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97"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29" w:lineRule="exact"/>
        <w:rPr>
          <w:sz w:val="24"/>
          <w:szCs w:val="24"/>
          <w:color w:val="auto"/>
        </w:rPr>
      </w:pPr>
    </w:p>
    <w:p>
      <w:pPr>
        <w:ind w:left="4560"/>
        <w:spacing w:after="0"/>
        <w:rPr>
          <w:sz w:val="20"/>
          <w:szCs w:val="20"/>
          <w:color w:val="auto"/>
        </w:rPr>
      </w:pPr>
      <w:r>
        <w:rPr>
          <w:rFonts w:ascii="Arial" w:cs="Arial" w:eastAsia="Arial" w:hAnsi="Arial"/>
          <w:sz w:val="19"/>
          <w:szCs w:val="19"/>
          <w:b w:val="1"/>
          <w:bCs w:val="1"/>
          <w:color w:val="auto"/>
        </w:rPr>
        <w:t>Washington, D.C. 20549</w:t>
      </w:r>
    </w:p>
    <w:p>
      <w:pPr>
        <w:spacing w:after="0" w:line="341"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SCHEDULE 14A</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09"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Securities Exchange Act of 1934</w:t>
      </w:r>
    </w:p>
    <w:p>
      <w:pPr>
        <w:spacing w:after="0" w:line="97" w:lineRule="exact"/>
        <w:rPr>
          <w:sz w:val="24"/>
          <w:szCs w:val="24"/>
          <w:color w:val="auto"/>
        </w:rPr>
      </w:pPr>
    </w:p>
    <w:p>
      <w:pPr>
        <w:jc w:val="center"/>
        <w:ind w:right="-1120"/>
        <w:spacing w:after="0"/>
        <w:tabs>
          <w:tab w:leader="none" w:pos="240" w:val="left"/>
        </w:tabs>
        <w:rPr>
          <w:sz w:val="20"/>
          <w:szCs w:val="20"/>
          <w:color w:val="auto"/>
        </w:rPr>
      </w:pPr>
      <w:r>
        <w:rPr>
          <w:rFonts w:ascii="Arial" w:cs="Arial" w:eastAsia="Arial" w:hAnsi="Arial"/>
          <w:sz w:val="19"/>
          <w:szCs w:val="19"/>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-12065</wp:posOffset>
            </wp:positionV>
            <wp:extent cx="1320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7620"/>
                    </a:xfrm>
                    <a:prstGeom prst="rect">
                      <a:avLst/>
                    </a:prstGeom>
                    <a:noFill/>
                  </pic:spPr>
                </pic:pic>
              </a:graphicData>
            </a:graphic>
          </wp:anchor>
        </w:drawing>
      </w:r>
    </w:p>
    <w:p>
      <w:pPr>
        <w:spacing w:after="0" w:line="3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2"/>
          <w:szCs w:val="12"/>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98" w:lineRule="exact"/>
        <w:rPr>
          <w:sz w:val="24"/>
          <w:szCs w:val="24"/>
          <w:color w:val="auto"/>
        </w:rPr>
      </w:pPr>
    </w:p>
    <w:p>
      <w:pPr>
        <w:ind w:left="540" w:hanging="531"/>
        <w:spacing w:after="0"/>
        <w:tabs>
          <w:tab w:leader="none" w:pos="540" w:val="left"/>
        </w:tabs>
        <w:numPr>
          <w:ilvl w:val="0"/>
          <w:numId w:val="1"/>
        </w:numPr>
        <w:rPr>
          <w:rFonts w:ascii="Wingdings" w:cs="Wingdings" w:eastAsia="Wingdings" w:hAnsi="Wingdings"/>
          <w:sz w:val="22"/>
          <w:szCs w:val="22"/>
          <w:b w:val="1"/>
          <w:bCs w:val="1"/>
          <w:color w:val="auto"/>
          <w:vertAlign w:val="superscript"/>
        </w:rPr>
      </w:pPr>
      <w:r>
        <w:rPr>
          <w:rFonts w:ascii="Arial" w:cs="Arial" w:eastAsia="Arial" w:hAnsi="Arial"/>
          <w:sz w:val="11"/>
          <w:szCs w:val="11"/>
          <w:color w:val="auto"/>
        </w:rPr>
        <w:t>Preliminary Proxy Statement</w:t>
      </w:r>
    </w:p>
    <w:p>
      <w:pPr>
        <w:ind w:left="540" w:hanging="531"/>
        <w:spacing w:after="0" w:line="218" w:lineRule="auto"/>
        <w:tabs>
          <w:tab w:leader="none" w:pos="540" w:val="left"/>
        </w:tabs>
        <w:numPr>
          <w:ilvl w:val="0"/>
          <w:numId w:val="2"/>
        </w:numPr>
        <w:rPr>
          <w:rFonts w:ascii="Wingdings" w:cs="Wingdings" w:eastAsia="Wingdings" w:hAnsi="Wingdings"/>
          <w:sz w:val="22"/>
          <w:szCs w:val="22"/>
          <w:b w:val="1"/>
          <w:bCs w:val="1"/>
          <w:color w:val="auto"/>
          <w:vertAlign w:val="superscript"/>
        </w:rPr>
      </w:pPr>
      <w:r>
        <w:rPr>
          <w:rFonts w:ascii="Arial" w:cs="Arial" w:eastAsia="Arial" w:hAnsi="Arial"/>
          <w:sz w:val="11"/>
          <w:szCs w:val="11"/>
          <w:color w:val="auto"/>
        </w:rPr>
        <w:t>Confidential, for Use of the Commission Only (as permitted by Rule 14a-6(e)(2))</w:t>
      </w:r>
    </w:p>
    <w:p>
      <w:pPr>
        <w:spacing w:after="0" w:line="100" w:lineRule="exact"/>
        <w:rPr>
          <w:rFonts w:ascii="Wingdings" w:cs="Wingdings" w:eastAsia="Wingdings" w:hAnsi="Wingdings"/>
          <w:sz w:val="22"/>
          <w:szCs w:val="22"/>
          <w:b w:val="1"/>
          <w:bCs w:val="1"/>
          <w:color w:val="auto"/>
          <w:vertAlign w:val="superscript"/>
        </w:rPr>
      </w:pPr>
    </w:p>
    <w:p>
      <w:pPr>
        <w:ind w:left="540" w:hanging="531"/>
        <w:spacing w:after="0" w:line="180" w:lineRule="auto"/>
        <w:tabs>
          <w:tab w:leader="none" w:pos="540" w:val="left"/>
        </w:tabs>
        <w:numPr>
          <w:ilvl w:val="0"/>
          <w:numId w:val="2"/>
        </w:numPr>
        <w:rPr>
          <w:rFonts w:ascii="Wingdings" w:cs="Wingdings" w:eastAsia="Wingdings" w:hAnsi="Wingdings"/>
          <w:sz w:val="16"/>
          <w:szCs w:val="16"/>
          <w:b w:val="1"/>
          <w:bCs w:val="1"/>
          <w:color w:val="auto"/>
          <w:vertAlign w:val="superscript"/>
        </w:rPr>
      </w:pPr>
      <w:r>
        <w:rPr>
          <w:rFonts w:ascii="Arial" w:cs="Arial" w:eastAsia="Arial" w:hAnsi="Arial"/>
          <w:sz w:val="9"/>
          <w:szCs w:val="9"/>
          <w:color w:val="auto"/>
        </w:rPr>
        <w:t>Definitive Proxy Statement</w:t>
      </w:r>
    </w:p>
    <w:p>
      <w:pPr>
        <w:spacing w:after="0" w:line="100" w:lineRule="exact"/>
        <w:rPr>
          <w:rFonts w:ascii="Wingdings" w:cs="Wingdings" w:eastAsia="Wingdings" w:hAnsi="Wingdings"/>
          <w:sz w:val="16"/>
          <w:szCs w:val="16"/>
          <w:b w:val="1"/>
          <w:bCs w:val="1"/>
          <w:color w:val="auto"/>
          <w:vertAlign w:val="superscript"/>
        </w:rPr>
      </w:pPr>
    </w:p>
    <w:p>
      <w:pPr>
        <w:ind w:left="540" w:hanging="531"/>
        <w:spacing w:after="0" w:line="180" w:lineRule="auto"/>
        <w:tabs>
          <w:tab w:leader="none" w:pos="540" w:val="left"/>
        </w:tabs>
        <w:numPr>
          <w:ilvl w:val="0"/>
          <w:numId w:val="2"/>
        </w:numPr>
        <w:rPr>
          <w:rFonts w:ascii="Wingdings" w:cs="Wingdings" w:eastAsia="Wingdings" w:hAnsi="Wingdings"/>
          <w:sz w:val="16"/>
          <w:szCs w:val="16"/>
          <w:b w:val="1"/>
          <w:bCs w:val="1"/>
          <w:color w:val="auto"/>
          <w:vertAlign w:val="superscript"/>
        </w:rPr>
      </w:pPr>
      <w:r>
        <w:rPr>
          <w:rFonts w:ascii="Arial" w:cs="Arial" w:eastAsia="Arial" w:hAnsi="Arial"/>
          <w:sz w:val="9"/>
          <w:szCs w:val="9"/>
          <w:color w:val="auto"/>
        </w:rPr>
        <w:t>Definitive Additional Materials</w:t>
      </w:r>
    </w:p>
    <w:p>
      <w:pPr>
        <w:spacing w:after="0" w:line="100" w:lineRule="exact"/>
        <w:rPr>
          <w:rFonts w:ascii="Wingdings" w:cs="Wingdings" w:eastAsia="Wingdings" w:hAnsi="Wingdings"/>
          <w:sz w:val="16"/>
          <w:szCs w:val="16"/>
          <w:b w:val="1"/>
          <w:bCs w:val="1"/>
          <w:color w:val="auto"/>
          <w:vertAlign w:val="superscript"/>
        </w:rPr>
      </w:pPr>
    </w:p>
    <w:p>
      <w:pPr>
        <w:ind w:left="540" w:hanging="531"/>
        <w:spacing w:after="0" w:line="180" w:lineRule="auto"/>
        <w:tabs>
          <w:tab w:leader="none" w:pos="540" w:val="left"/>
        </w:tabs>
        <w:numPr>
          <w:ilvl w:val="0"/>
          <w:numId w:val="2"/>
        </w:numPr>
        <w:rPr>
          <w:rFonts w:ascii="Wingdings" w:cs="Wingdings" w:eastAsia="Wingdings" w:hAnsi="Wingdings"/>
          <w:sz w:val="16"/>
          <w:szCs w:val="16"/>
          <w:b w:val="1"/>
          <w:bCs w:val="1"/>
          <w:color w:val="auto"/>
          <w:vertAlign w:val="superscript"/>
        </w:rPr>
      </w:pPr>
      <w:r>
        <w:rPr>
          <w:rFonts w:ascii="Arial" w:cs="Arial" w:eastAsia="Arial" w:hAnsi="Arial"/>
          <w:sz w:val="9"/>
          <w:szCs w:val="9"/>
          <w:color w:val="auto"/>
        </w:rPr>
        <w:t>Soliciting Material Pursuant to §240.14a-12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3" w:lineRule="exact"/>
        <w:rPr>
          <w:sz w:val="24"/>
          <w:szCs w:val="24"/>
          <w:color w:val="auto"/>
        </w:rPr>
      </w:pPr>
    </w:p>
    <w:p>
      <w:pPr>
        <w:ind w:left="4240"/>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50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28"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1"/>
          <w:szCs w:val="11"/>
          <w:color w:val="auto"/>
        </w:rPr>
        <w:t>Payment of Filing Fee (Check all boxes that apply):</w:t>
      </w:r>
    </w:p>
    <w:p>
      <w:pPr>
        <w:spacing w:after="0" w:line="34"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10" w:lineRule="exact"/>
        <w:rPr>
          <w:sz w:val="24"/>
          <w:szCs w:val="24"/>
          <w:color w:val="auto"/>
        </w:rPr>
      </w:pPr>
    </w:p>
    <w:p>
      <w:pPr>
        <w:ind w:left="520"/>
        <w:spacing w:after="0"/>
        <w:rPr>
          <w:sz w:val="20"/>
          <w:szCs w:val="20"/>
          <w:color w:val="auto"/>
        </w:rPr>
      </w:pPr>
      <w:r>
        <w:rPr>
          <w:rFonts w:ascii="Arial" w:cs="Arial" w:eastAsia="Arial" w:hAnsi="Arial"/>
          <w:sz w:val="11"/>
          <w:szCs w:val="11"/>
          <w:color w:val="auto"/>
        </w:rPr>
        <w:t>No fee required</w:t>
      </w:r>
    </w:p>
    <w:p>
      <w:pPr>
        <w:spacing w:after="0" w:line="34"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10" w:lineRule="exact"/>
        <w:rPr>
          <w:sz w:val="24"/>
          <w:szCs w:val="24"/>
          <w:color w:val="auto"/>
        </w:rPr>
      </w:pPr>
    </w:p>
    <w:p>
      <w:pPr>
        <w:ind w:left="520"/>
        <w:spacing w:after="0"/>
        <w:rPr>
          <w:sz w:val="20"/>
          <w:szCs w:val="20"/>
          <w:color w:val="auto"/>
        </w:rPr>
      </w:pPr>
      <w:r>
        <w:rPr>
          <w:rFonts w:ascii="Arial" w:cs="Arial" w:eastAsia="Arial" w:hAnsi="Arial"/>
          <w:sz w:val="11"/>
          <w:szCs w:val="11"/>
          <w:color w:val="auto"/>
        </w:rPr>
        <w:t>Fee paid previously with preliminary materials</w:t>
      </w:r>
    </w:p>
    <w:p>
      <w:pPr>
        <w:spacing w:after="0" w:line="25" w:lineRule="exact"/>
        <w:rPr>
          <w:sz w:val="24"/>
          <w:szCs w:val="24"/>
          <w:color w:val="auto"/>
        </w:rPr>
      </w:pPr>
    </w:p>
    <w:p>
      <w:pPr>
        <w:ind w:left="520" w:hanging="511"/>
        <w:spacing w:after="0"/>
        <w:tabs>
          <w:tab w:leader="none" w:pos="520" w:val="left"/>
        </w:tabs>
        <w:numPr>
          <w:ilvl w:val="0"/>
          <w:numId w:val="3"/>
        </w:numPr>
        <w:rPr>
          <w:rFonts w:ascii="Wingdings" w:cs="Wingdings" w:eastAsia="Wingdings" w:hAnsi="Wingdings"/>
          <w:sz w:val="11"/>
          <w:szCs w:val="11"/>
          <w:b w:val="1"/>
          <w:bCs w:val="1"/>
          <w:color w:val="auto"/>
        </w:rPr>
      </w:pPr>
      <w:r>
        <w:rPr>
          <w:rFonts w:ascii="Arial" w:cs="Arial" w:eastAsia="Arial" w:hAnsi="Arial"/>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895985</wp:posOffset>
            </wp:positionV>
            <wp:extent cx="717613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1" w:name="page2"/>
    <w:bookmarkEnd w:id="1"/>
    <w:p>
      <w:pPr>
        <w:ind w:left="1540"/>
        <w:spacing w:after="0"/>
        <w:rPr>
          <w:sz w:val="20"/>
          <w:szCs w:val="20"/>
          <w:color w:val="auto"/>
        </w:rPr>
      </w:pPr>
      <w:r>
        <w:rPr>
          <w:rFonts w:ascii="Arial" w:cs="Arial" w:eastAsia="Arial" w:hAnsi="Arial"/>
          <w:sz w:val="16"/>
          <w:szCs w:val="16"/>
          <w:color w:val="auto"/>
        </w:rPr>
        <w:t>PRELIMINARY PROXY STATEMENT—SUBJECT TO COMPLETION</w:t>
      </w:r>
    </w:p>
    <w:p>
      <w:pPr>
        <w:spacing w:after="0" w:line="77"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Notice of 2023</w:t>
      </w:r>
    </w:p>
    <w:p>
      <w:pPr>
        <w:spacing w:after="0" w:line="16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Annual Meeting of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182880</wp:posOffset>
            </wp:positionV>
            <wp:extent cx="7223125" cy="587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3125" cy="5872480"/>
                    </a:xfrm>
                    <a:prstGeom prst="rect">
                      <a:avLst/>
                    </a:prstGeom>
                    <a:noFill/>
                  </pic:spPr>
                </pic:pic>
              </a:graphicData>
            </a:graphic>
          </wp:anchor>
        </w:drawing>
      </w:r>
    </w:p>
    <w:p>
      <w:pPr>
        <w:sectPr>
          <w:pgSz w:w="11900" w:h="16838" w:orient="portrait"/>
          <w:cols w:equalWidth="0" w:num="1">
            <w:col w:w="10139"/>
          </w:cols>
          <w:pgMar w:left="320" w:top="966"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-121285</wp:posOffset>
            </wp:positionV>
            <wp:extent cx="17805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0540" cy="3820160"/>
                    </a:xfrm>
                    <a:prstGeom prst="rect">
                      <a:avLst/>
                    </a:prstGeom>
                    <a:noFill/>
                  </pic:spPr>
                </pic:pic>
              </a:graphicData>
            </a:graphic>
          </wp:anchor>
        </w:drawing>
      </w:r>
    </w:p>
    <w:p>
      <w:pPr>
        <w:spacing w:after="0" w:line="65" w:lineRule="exact"/>
        <w:rPr>
          <w:sz w:val="20"/>
          <w:szCs w:val="20"/>
          <w:color w:val="auto"/>
        </w:rPr>
      </w:pPr>
    </w:p>
    <w:p>
      <w:pPr>
        <w:ind w:right="5459"/>
        <w:spacing w:after="0" w:line="331" w:lineRule="auto"/>
        <w:rPr>
          <w:sz w:val="20"/>
          <w:szCs w:val="20"/>
          <w:color w:val="auto"/>
        </w:rPr>
      </w:pPr>
      <w:r>
        <w:rPr>
          <w:rFonts w:ascii="Arial" w:cs="Arial" w:eastAsia="Arial" w:hAnsi="Arial"/>
          <w:sz w:val="14"/>
          <w:szCs w:val="14"/>
          <w:color w:val="auto"/>
        </w:rPr>
        <w:t>Thank you for your continued support of, and investment in, Eli Lilly and Company. We are proud of Lilly’s achievements in 2022. We made several key regulatory and pipeline advancements with the potential to help people with diabetes, immune disorders, neurodegenerative conditions, and cancer. In particular, we introduced an important new type 2 diabetes treatment and added new indications to currently marketed products. And finally, we worked hard to deliver value to you, our shareholders. We delivered strong total shareholder returns through December 31, 2022, in terms of both total share price appreciation and dividends.</w:t>
      </w:r>
    </w:p>
    <w:p>
      <w:pPr>
        <w:spacing w:after="0" w:line="256" w:lineRule="exact"/>
        <w:rPr>
          <w:sz w:val="20"/>
          <w:szCs w:val="20"/>
          <w:color w:val="auto"/>
        </w:rPr>
      </w:pPr>
    </w:p>
    <w:p>
      <w:pPr>
        <w:ind w:right="5459"/>
        <w:spacing w:after="0" w:line="288" w:lineRule="auto"/>
        <w:rPr>
          <w:sz w:val="20"/>
          <w:szCs w:val="20"/>
          <w:color w:val="auto"/>
        </w:rPr>
      </w:pPr>
      <w:r>
        <w:rPr>
          <w:rFonts w:ascii="Arial" w:cs="Arial" w:eastAsia="Arial" w:hAnsi="Arial"/>
          <w:sz w:val="16"/>
          <w:szCs w:val="16"/>
          <w:color w:val="auto"/>
        </w:rPr>
        <w:t>We also strengthened our initiatives in support of patients and communities, including collaborating to enhance sustainable access to affordable insulin in Africa, expanding our use of solar energy at global facilities, and partnering with UNICEF to help improve health outcomes for 10 million children and adolescents.</w:t>
      </w:r>
    </w:p>
    <w:p>
      <w:pPr>
        <w:spacing w:after="0" w:line="76" w:lineRule="exact"/>
        <w:rPr>
          <w:sz w:val="20"/>
          <w:szCs w:val="20"/>
          <w:color w:val="auto"/>
        </w:rPr>
      </w:pPr>
    </w:p>
    <w:p>
      <w:pPr>
        <w:ind w:right="5499"/>
        <w:spacing w:after="0" w:line="333" w:lineRule="auto"/>
        <w:rPr>
          <w:sz w:val="20"/>
          <w:szCs w:val="20"/>
          <w:color w:val="auto"/>
        </w:rPr>
      </w:pPr>
      <w:r>
        <w:rPr>
          <w:rFonts w:ascii="Arial" w:cs="Arial" w:eastAsia="Arial" w:hAnsi="Arial"/>
          <w:sz w:val="14"/>
          <w:szCs w:val="14"/>
          <w:color w:val="auto"/>
        </w:rPr>
        <w:t>Our board continues to prioritize meaningful engagement with our shareholders and other key stakeholders. Since our 2022 annual meeting, we have spoken with a number of investors on an array of subjects, including: drug pricing transparency and global access to our products; product quality and safety; key enterprise risks and environmental, social and governance topics.</w:t>
      </w:r>
    </w:p>
    <w:p>
      <w:pPr>
        <w:spacing w:after="0" w:line="50" w:lineRule="exact"/>
        <w:rPr>
          <w:sz w:val="20"/>
          <w:szCs w:val="20"/>
          <w:color w:val="auto"/>
        </w:rPr>
      </w:pPr>
    </w:p>
    <w:p>
      <w:pPr>
        <w:ind w:right="5359"/>
        <w:spacing w:after="0" w:line="288" w:lineRule="auto"/>
        <w:rPr>
          <w:sz w:val="20"/>
          <w:szCs w:val="20"/>
          <w:color w:val="auto"/>
        </w:rPr>
      </w:pPr>
      <w:r>
        <w:rPr>
          <w:rFonts w:ascii="Arial" w:cs="Arial" w:eastAsia="Arial" w:hAnsi="Arial"/>
          <w:sz w:val="16"/>
          <w:szCs w:val="16"/>
          <w:color w:val="auto"/>
        </w:rPr>
        <w:t>We appreciate the thoughtful and constructive feedback that we receive from our stakeholders. As a result of this input, and as in past years, the board is putting forward management proposals at the 2023 annual meeting of shareholders (the Annual Meeting) to eliminate the classified board structure and supermajority voting requirements in our articles of incorporation.</w:t>
      </w:r>
    </w:p>
    <w:p>
      <w:pPr>
        <w:spacing w:after="0" w:line="299" w:lineRule="exact"/>
        <w:rPr>
          <w:sz w:val="20"/>
          <w:szCs w:val="20"/>
          <w:color w:val="auto"/>
        </w:rPr>
      </w:pPr>
    </w:p>
    <w:p>
      <w:pPr>
        <w:ind w:right="2759"/>
        <w:spacing w:after="0" w:line="316" w:lineRule="auto"/>
        <w:rPr>
          <w:sz w:val="20"/>
          <w:szCs w:val="20"/>
          <w:color w:val="auto"/>
        </w:rPr>
      </w:pPr>
      <w:r>
        <w:rPr>
          <w:rFonts w:ascii="Arial" w:cs="Arial" w:eastAsia="Arial" w:hAnsi="Arial"/>
          <w:sz w:val="16"/>
          <w:szCs w:val="16"/>
          <w:color w:val="auto"/>
        </w:rPr>
        <w:t>We remain committed to serving you and making life better for millions of people around the world. We look forward to welcoming you to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114935</wp:posOffset>
            </wp:positionV>
            <wp:extent cx="4754880" cy="838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4880" cy="83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David A. Ricks</w:t>
      </w:r>
    </w:p>
    <w:p>
      <w:pPr>
        <w:ind w:left="1440"/>
        <w:spacing w:after="0" w:line="185" w:lineRule="auto"/>
        <w:tabs>
          <w:tab w:leader="none" w:pos="5440" w:val="left"/>
        </w:tabs>
        <w:rPr>
          <w:sz w:val="20"/>
          <w:szCs w:val="20"/>
          <w:color w:val="auto"/>
        </w:rPr>
      </w:pPr>
      <w:r>
        <w:rPr>
          <w:rFonts w:ascii="Arial" w:cs="Arial" w:eastAsia="Arial" w:hAnsi="Arial"/>
          <w:sz w:val="16"/>
          <w:szCs w:val="16"/>
          <w:color w:val="auto"/>
        </w:rPr>
        <w:t>Chair, President and CEO</w:t>
      </w:r>
      <w:r>
        <w:rPr>
          <w:sz w:val="20"/>
          <w:szCs w:val="20"/>
          <w:color w:val="auto"/>
        </w:rPr>
        <w:tab/>
      </w:r>
      <w:r>
        <w:rPr>
          <w:rFonts w:ascii="Arial" w:cs="Arial" w:eastAsia="Arial" w:hAnsi="Arial"/>
          <w:sz w:val="21"/>
          <w:szCs w:val="21"/>
          <w:color w:val="auto"/>
          <w:vertAlign w:val="superscript"/>
        </w:rPr>
        <w:t>Juan Luciano</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723900</wp:posOffset>
            </wp:positionV>
            <wp:extent cx="717613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spacing w:after="0"/>
        <w:rPr>
          <w:sz w:val="20"/>
          <w:szCs w:val="20"/>
          <w:color w:val="auto"/>
        </w:rPr>
      </w:pPr>
      <w:r>
        <w:rPr>
          <w:rFonts w:ascii="Arial" w:cs="Arial" w:eastAsia="Arial" w:hAnsi="Arial"/>
          <w:sz w:val="44"/>
          <w:szCs w:val="4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Arial" w:cs="Arial" w:eastAsia="Arial" w:hAnsi="Arial"/>
                <w:sz w:val="16"/>
                <w:szCs w:val="16"/>
                <w:b w:val="1"/>
                <w:bCs w:val="1"/>
                <w:color w:val="auto"/>
              </w:rPr>
              <w:t>Notice of 2023 Annual Meeting of</w:t>
            </w:r>
          </w:p>
        </w:tc>
        <w:tc>
          <w:tcPr>
            <w:tcW w:w="80" w:type="dxa"/>
            <w:vAlign w:val="bottom"/>
            <w:vMerge w:val="restart"/>
          </w:tcPr>
          <w:p>
            <w:pPr>
              <w:spacing w:after="0"/>
              <w:rPr>
                <w:sz w:val="20"/>
                <w:szCs w:val="20"/>
                <w:color w:val="auto"/>
              </w:rPr>
            </w:pPr>
            <w:r>
              <w:rPr>
                <w:rFonts w:ascii="Arial" w:cs="Arial" w:eastAsia="Arial" w:hAnsi="Arial"/>
                <w:sz w:val="14"/>
                <w:szCs w:val="14"/>
                <w:color w:val="0000FF"/>
                <w:w w:val="76"/>
              </w:rPr>
              <w:t>1</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Shareholders</w:t>
            </w:r>
          </w:p>
        </w:tc>
        <w:tc>
          <w:tcPr>
            <w:tcW w:w="80" w:type="dxa"/>
            <w:vAlign w:val="bottom"/>
            <w:tcBorders>
              <w:bottom w:val="single" w:sz="8" w:color="0000FF"/>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160" w:type="dxa"/>
            <w:vAlign w:val="bottom"/>
            <w:vMerge w:val="continue"/>
          </w:tcPr>
          <w:p>
            <w:pPr>
              <w:spacing w:after="0"/>
              <w:rPr>
                <w:sz w:val="13"/>
                <w:szCs w:val="13"/>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0000FF"/>
                <w:w w:val="76"/>
              </w:rPr>
              <w:t>2</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Proxy Statement Summary</w:t>
            </w:r>
          </w:p>
        </w:tc>
        <w:tc>
          <w:tcPr>
            <w:tcW w:w="80" w:type="dxa"/>
            <w:vAlign w:val="bottom"/>
            <w:tcBorders>
              <w:bottom w:val="single" w:sz="8" w:color="0000FF"/>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10</w:t>
            </w:r>
          </w:p>
        </w:tc>
        <w:tc>
          <w:tcPr>
            <w:tcW w:w="0" w:type="dxa"/>
            <w:vAlign w:val="bottom"/>
          </w:tcPr>
          <w:p>
            <w:pPr>
              <w:spacing w:after="0"/>
              <w:rPr>
                <w:sz w:val="1"/>
                <w:szCs w:val="1"/>
                <w:color w:val="auto"/>
              </w:rPr>
            </w:pPr>
          </w:p>
        </w:tc>
      </w:tr>
      <w:tr>
        <w:trPr>
          <w:trHeight w:val="272"/>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Governance</w:t>
            </w:r>
          </w:p>
        </w:tc>
        <w:tc>
          <w:tcPr>
            <w:tcW w:w="160" w:type="dxa"/>
            <w:vAlign w:val="bottom"/>
            <w:tcBorders>
              <w:bottom w:val="single" w:sz="8" w:color="0000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3160" w:type="dxa"/>
            <w:vAlign w:val="bottom"/>
            <w:vMerge w:val="continue"/>
          </w:tcPr>
          <w:p>
            <w:pPr>
              <w:spacing w:after="0"/>
              <w:rPr>
                <w:sz w:val="10"/>
                <w:szCs w:val="10"/>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10</w:t>
            </w:r>
          </w:p>
        </w:tc>
        <w:tc>
          <w:tcPr>
            <w:tcW w:w="0" w:type="dxa"/>
            <w:vAlign w:val="bottom"/>
          </w:tcPr>
          <w:p>
            <w:pPr>
              <w:spacing w:after="0"/>
              <w:rPr>
                <w:sz w:val="1"/>
                <w:szCs w:val="1"/>
                <w:color w:val="auto"/>
              </w:rPr>
            </w:pPr>
          </w:p>
        </w:tc>
      </w:tr>
      <w:tr>
        <w:trPr>
          <w:trHeight w:val="237"/>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Director Qualifications</w:t>
            </w:r>
          </w:p>
        </w:tc>
        <w:tc>
          <w:tcPr>
            <w:tcW w:w="16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26</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Director Nominations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28</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D52B1E"/>
              </w:rPr>
              <w:t>Item 1 - Election of Directors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28</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Working Dynamics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30</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Board Structure</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33</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Governance Practices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41</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Board Alignment</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46</w:t>
            </w:r>
          </w:p>
        </w:tc>
        <w:tc>
          <w:tcPr>
            <w:tcW w:w="0" w:type="dxa"/>
            <w:vAlign w:val="bottom"/>
          </w:tcPr>
          <w:p>
            <w:pPr>
              <w:spacing w:after="0"/>
              <w:rPr>
                <w:sz w:val="1"/>
                <w:szCs w:val="1"/>
                <w:color w:val="auto"/>
              </w:rPr>
            </w:pPr>
          </w:p>
        </w:tc>
      </w:tr>
      <w:tr>
        <w:trPr>
          <w:trHeight w:val="195"/>
        </w:trPr>
        <w:tc>
          <w:tcPr>
            <w:tcW w:w="3160" w:type="dxa"/>
            <w:vAlign w:val="bottom"/>
          </w:tcPr>
          <w:p>
            <w:pPr>
              <w:ind w:left="360"/>
              <w:spacing w:after="0"/>
              <w:rPr>
                <w:sz w:val="20"/>
                <w:szCs w:val="20"/>
                <w:color w:val="auto"/>
              </w:rPr>
            </w:pPr>
            <w:r>
              <w:rPr>
                <w:rFonts w:ascii="Arial" w:cs="Arial" w:eastAsia="Arial" w:hAnsi="Arial"/>
                <w:sz w:val="14"/>
                <w:szCs w:val="14"/>
                <w:color w:val="auto"/>
              </w:rPr>
              <w:t>Communication with the Board of Directors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160" w:type="dxa"/>
            <w:vAlign w:val="bottom"/>
          </w:tcPr>
          <w:p>
            <w:pPr>
              <w:ind w:left="360"/>
              <w:spacing w:after="0"/>
              <w:rPr>
                <w:sz w:val="20"/>
                <w:szCs w:val="20"/>
                <w:color w:val="auto"/>
              </w:rPr>
            </w:pPr>
            <w:r>
              <w:rPr>
                <w:rFonts w:ascii="Arial" w:cs="Arial" w:eastAsia="Arial" w:hAnsi="Arial"/>
                <w:sz w:val="14"/>
                <w:szCs w:val="14"/>
                <w:color w:val="auto"/>
              </w:rPr>
              <w:t>Shareholder Engagement on Governance</w:t>
            </w:r>
          </w:p>
        </w:tc>
        <w:tc>
          <w:tcPr>
            <w:tcW w:w="1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78"/>
              </w:rPr>
              <w:t>46</w:t>
            </w: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auto"/>
              </w:rPr>
              <w:t>Issues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48</w:t>
            </w:r>
          </w:p>
        </w:tc>
        <w:tc>
          <w:tcPr>
            <w:tcW w:w="0" w:type="dxa"/>
            <w:vAlign w:val="bottom"/>
          </w:tcPr>
          <w:p>
            <w:pPr>
              <w:spacing w:after="0"/>
              <w:rPr>
                <w:sz w:val="1"/>
                <w:szCs w:val="1"/>
                <w:color w:val="auto"/>
              </w:rPr>
            </w:pPr>
          </w:p>
        </w:tc>
      </w:tr>
      <w:tr>
        <w:trPr>
          <w:trHeight w:val="206"/>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Ownership of Company Stock</w:t>
            </w:r>
          </w:p>
        </w:tc>
        <w:tc>
          <w:tcPr>
            <w:tcW w:w="160" w:type="dxa"/>
            <w:vAlign w:val="bottom"/>
            <w:tcBorders>
              <w:bottom w:val="single" w:sz="8" w:color="0000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60" w:type="dxa"/>
            <w:vAlign w:val="bottom"/>
            <w:vMerge w:val="continue"/>
          </w:tcPr>
          <w:p>
            <w:pPr>
              <w:spacing w:after="0"/>
              <w:rPr>
                <w:sz w:val="10"/>
                <w:szCs w:val="10"/>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49</w:t>
            </w:r>
          </w:p>
        </w:tc>
        <w:tc>
          <w:tcPr>
            <w:tcW w:w="0" w:type="dxa"/>
            <w:vAlign w:val="bottom"/>
          </w:tcPr>
          <w:p>
            <w:pPr>
              <w:spacing w:after="0"/>
              <w:rPr>
                <w:sz w:val="1"/>
                <w:szCs w:val="1"/>
                <w:color w:val="auto"/>
              </w:rPr>
            </w:pPr>
          </w:p>
        </w:tc>
      </w:tr>
      <w:tr>
        <w:trPr>
          <w:trHeight w:val="249"/>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Compensation</w:t>
            </w:r>
          </w:p>
        </w:tc>
        <w:tc>
          <w:tcPr>
            <w:tcW w:w="16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360"/>
              <w:spacing w:after="0"/>
              <w:rPr>
                <w:sz w:val="20"/>
                <w:szCs w:val="20"/>
                <w:color w:val="auto"/>
              </w:rPr>
            </w:pPr>
            <w:r>
              <w:rPr>
                <w:rFonts w:ascii="Arial" w:cs="Arial" w:eastAsia="Arial" w:hAnsi="Arial"/>
                <w:sz w:val="14"/>
                <w:szCs w:val="14"/>
                <w:color w:val="D52B1E"/>
              </w:rPr>
              <w:t>Item 2 - Approval, on an Advisory Basis, of</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49</w:t>
            </w:r>
          </w:p>
        </w:tc>
        <w:tc>
          <w:tcPr>
            <w:tcW w:w="0" w:type="dxa"/>
            <w:vAlign w:val="bottom"/>
          </w:tcPr>
          <w:p>
            <w:pPr>
              <w:spacing w:after="0"/>
              <w:rPr>
                <w:sz w:val="1"/>
                <w:szCs w:val="1"/>
                <w:color w:val="auto"/>
              </w:rPr>
            </w:pPr>
          </w:p>
        </w:tc>
      </w:tr>
      <w:tr>
        <w:trPr>
          <w:trHeight w:val="169"/>
        </w:trPr>
        <w:tc>
          <w:tcPr>
            <w:tcW w:w="3160" w:type="dxa"/>
            <w:vAlign w:val="bottom"/>
          </w:tcPr>
          <w:p>
            <w:pPr>
              <w:ind w:left="360"/>
              <w:spacing w:after="0"/>
              <w:rPr>
                <w:sz w:val="20"/>
                <w:szCs w:val="20"/>
                <w:color w:val="auto"/>
              </w:rPr>
            </w:pPr>
            <w:r>
              <w:rPr>
                <w:rFonts w:ascii="Arial" w:cs="Arial" w:eastAsia="Arial" w:hAnsi="Arial"/>
                <w:sz w:val="14"/>
                <w:szCs w:val="14"/>
                <w:color w:val="D52B1E"/>
              </w:rPr>
              <w:t>the Compensation Paid to the Company’s</w:t>
            </w:r>
          </w:p>
        </w:tc>
        <w:tc>
          <w:tcPr>
            <w:tcW w:w="16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D52B1E"/>
              </w:rPr>
              <w:t>Named Executive Officers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60" w:type="dxa"/>
            <w:vAlign w:val="bottom"/>
          </w:tcPr>
          <w:p>
            <w:pPr>
              <w:ind w:left="360"/>
              <w:spacing w:after="0"/>
              <w:rPr>
                <w:sz w:val="20"/>
                <w:szCs w:val="20"/>
                <w:color w:val="auto"/>
              </w:rPr>
            </w:pPr>
            <w:r>
              <w:rPr>
                <w:rFonts w:ascii="Arial" w:cs="Arial" w:eastAsia="Arial" w:hAnsi="Arial"/>
                <w:sz w:val="14"/>
                <w:szCs w:val="14"/>
                <w:color w:val="auto"/>
              </w:rPr>
              <w:t>Talent and Compensation Committee</w:t>
            </w:r>
          </w:p>
        </w:tc>
        <w:tc>
          <w:tcPr>
            <w:tcW w:w="1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78"/>
              </w:rPr>
              <w:t>49</w:t>
            </w: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auto"/>
              </w:rPr>
              <w:t>Matters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51</w:t>
            </w:r>
          </w:p>
        </w:tc>
        <w:tc>
          <w:tcPr>
            <w:tcW w:w="0" w:type="dxa"/>
            <w:vAlign w:val="bottom"/>
          </w:tcPr>
          <w:p>
            <w:pPr>
              <w:spacing w:after="0"/>
              <w:rPr>
                <w:sz w:val="1"/>
                <w:szCs w:val="1"/>
                <w:color w:val="auto"/>
              </w:rPr>
            </w:pPr>
          </w:p>
        </w:tc>
      </w:tr>
      <w:tr>
        <w:trPr>
          <w:trHeight w:val="194"/>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Compensation Discussion and Analysis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70</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Executive Compensation</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79</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CEO Pay Ratio</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80</w:t>
            </w:r>
          </w:p>
        </w:tc>
        <w:tc>
          <w:tcPr>
            <w:tcW w:w="0" w:type="dxa"/>
            <w:vAlign w:val="bottom"/>
          </w:tcPr>
          <w:p>
            <w:pPr>
              <w:spacing w:after="0"/>
              <w:rPr>
                <w:sz w:val="1"/>
                <w:szCs w:val="1"/>
                <w:color w:val="auto"/>
              </w:rPr>
            </w:pPr>
          </w:p>
        </w:tc>
      </w:tr>
      <w:tr>
        <w:trPr>
          <w:trHeight w:val="195"/>
        </w:trPr>
        <w:tc>
          <w:tcPr>
            <w:tcW w:w="3160" w:type="dxa"/>
            <w:vAlign w:val="bottom"/>
            <w:vMerge w:val="restart"/>
          </w:tcPr>
          <w:p>
            <w:pPr>
              <w:ind w:left="360"/>
              <w:spacing w:after="0"/>
              <w:rPr>
                <w:sz w:val="20"/>
                <w:szCs w:val="20"/>
                <w:color w:val="auto"/>
              </w:rPr>
            </w:pPr>
            <w:r>
              <w:rPr>
                <w:rFonts w:ascii="Arial" w:cs="Arial" w:eastAsia="Arial" w:hAnsi="Arial"/>
                <w:sz w:val="14"/>
                <w:szCs w:val="14"/>
                <w:color w:val="auto"/>
              </w:rPr>
              <w:t>Pay versus Performance</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60" w:type="dxa"/>
            <w:vAlign w:val="bottom"/>
          </w:tcPr>
          <w:p>
            <w:pPr>
              <w:ind w:left="360"/>
              <w:spacing w:after="0"/>
              <w:rPr>
                <w:sz w:val="20"/>
                <w:szCs w:val="20"/>
                <w:color w:val="auto"/>
              </w:rPr>
            </w:pPr>
            <w:r>
              <w:rPr>
                <w:rFonts w:ascii="Arial" w:cs="Arial" w:eastAsia="Arial" w:hAnsi="Arial"/>
                <w:sz w:val="14"/>
                <w:szCs w:val="14"/>
                <w:color w:val="D52B1E"/>
              </w:rPr>
              <w:t>Item 3 - Advisory Vote on Frequency of</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84</w:t>
            </w:r>
          </w:p>
        </w:tc>
        <w:tc>
          <w:tcPr>
            <w:tcW w:w="0" w:type="dxa"/>
            <w:vAlign w:val="bottom"/>
          </w:tcPr>
          <w:p>
            <w:pPr>
              <w:spacing w:after="0"/>
              <w:rPr>
                <w:sz w:val="1"/>
                <w:szCs w:val="1"/>
                <w:color w:val="auto"/>
              </w:rPr>
            </w:pPr>
          </w:p>
        </w:tc>
      </w:tr>
      <w:tr>
        <w:trPr>
          <w:trHeight w:val="169"/>
        </w:trPr>
        <w:tc>
          <w:tcPr>
            <w:tcW w:w="3160" w:type="dxa"/>
            <w:vAlign w:val="bottom"/>
          </w:tcPr>
          <w:p>
            <w:pPr>
              <w:ind w:left="360"/>
              <w:spacing w:after="0"/>
              <w:rPr>
                <w:sz w:val="20"/>
                <w:szCs w:val="20"/>
                <w:color w:val="auto"/>
              </w:rPr>
            </w:pPr>
            <w:r>
              <w:rPr>
                <w:rFonts w:ascii="Arial" w:cs="Arial" w:eastAsia="Arial" w:hAnsi="Arial"/>
                <w:sz w:val="14"/>
                <w:szCs w:val="14"/>
                <w:color w:val="D52B1E"/>
              </w:rPr>
              <w:t>Future Advisory Votes on Named Executive</w:t>
            </w:r>
          </w:p>
        </w:tc>
        <w:tc>
          <w:tcPr>
            <w:tcW w:w="16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D52B1E"/>
              </w:rPr>
              <w:t>Officer Compensation</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85</w:t>
            </w:r>
          </w:p>
        </w:tc>
        <w:tc>
          <w:tcPr>
            <w:tcW w:w="0" w:type="dxa"/>
            <w:vAlign w:val="bottom"/>
          </w:tcPr>
          <w:p>
            <w:pPr>
              <w:spacing w:after="0"/>
              <w:rPr>
                <w:sz w:val="1"/>
                <w:szCs w:val="1"/>
                <w:color w:val="auto"/>
              </w:rPr>
            </w:pPr>
          </w:p>
        </w:tc>
      </w:tr>
      <w:tr>
        <w:trPr>
          <w:trHeight w:val="194"/>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Audit Matters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3160" w:type="dxa"/>
            <w:vAlign w:val="bottom"/>
          </w:tcPr>
          <w:p>
            <w:pPr>
              <w:ind w:left="360"/>
              <w:spacing w:after="0"/>
              <w:rPr>
                <w:sz w:val="20"/>
                <w:szCs w:val="20"/>
                <w:color w:val="auto"/>
              </w:rPr>
            </w:pPr>
            <w:r>
              <w:rPr>
                <w:rFonts w:ascii="Arial" w:cs="Arial" w:eastAsia="Arial" w:hAnsi="Arial"/>
                <w:sz w:val="14"/>
                <w:szCs w:val="14"/>
                <w:color w:val="D52B1E"/>
              </w:rPr>
              <w:t>Item 4 - Ratification of the Appointment of</w:t>
            </w:r>
          </w:p>
        </w:tc>
        <w:tc>
          <w:tcPr>
            <w:tcW w:w="1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78"/>
              </w:rPr>
              <w:t>84</w:t>
            </w: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D52B1E"/>
              </w:rPr>
              <w:t>the Independent Auditor</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87</w:t>
            </w:r>
          </w:p>
        </w:tc>
        <w:tc>
          <w:tcPr>
            <w:tcW w:w="0" w:type="dxa"/>
            <w:vAlign w:val="bottom"/>
          </w:tcPr>
          <w:p>
            <w:pPr>
              <w:spacing w:after="0"/>
              <w:rPr>
                <w:sz w:val="1"/>
                <w:szCs w:val="1"/>
                <w:color w:val="auto"/>
              </w:rPr>
            </w:pPr>
          </w:p>
        </w:tc>
      </w:tr>
      <w:tr>
        <w:trPr>
          <w:trHeight w:val="194"/>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Management Proposals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160" w:type="dxa"/>
            <w:vAlign w:val="bottom"/>
          </w:tcPr>
          <w:p>
            <w:pPr>
              <w:ind w:left="360"/>
              <w:spacing w:after="0"/>
              <w:rPr>
                <w:sz w:val="20"/>
                <w:szCs w:val="20"/>
                <w:color w:val="auto"/>
              </w:rPr>
            </w:pPr>
            <w:r>
              <w:rPr>
                <w:rFonts w:ascii="Arial" w:cs="Arial" w:eastAsia="Arial" w:hAnsi="Arial"/>
                <w:sz w:val="14"/>
                <w:szCs w:val="14"/>
                <w:color w:val="D52B1E"/>
              </w:rPr>
              <w:t>Item 5 - Proposal to Amend the Company’s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87</w:t>
            </w:r>
          </w:p>
        </w:tc>
        <w:tc>
          <w:tcPr>
            <w:tcW w:w="0" w:type="dxa"/>
            <w:vAlign w:val="bottom"/>
          </w:tcPr>
          <w:p>
            <w:pPr>
              <w:spacing w:after="0"/>
              <w:rPr>
                <w:sz w:val="1"/>
                <w:szCs w:val="1"/>
                <w:color w:val="auto"/>
              </w:rPr>
            </w:pPr>
          </w:p>
        </w:tc>
      </w:tr>
      <w:tr>
        <w:trPr>
          <w:trHeight w:val="169"/>
        </w:trPr>
        <w:tc>
          <w:tcPr>
            <w:tcW w:w="3160" w:type="dxa"/>
            <w:vAlign w:val="bottom"/>
          </w:tcPr>
          <w:p>
            <w:pPr>
              <w:ind w:left="360"/>
              <w:spacing w:after="0"/>
              <w:rPr>
                <w:sz w:val="20"/>
                <w:szCs w:val="20"/>
                <w:color w:val="auto"/>
              </w:rPr>
            </w:pPr>
            <w:r>
              <w:rPr>
                <w:rFonts w:ascii="Arial" w:cs="Arial" w:eastAsia="Arial" w:hAnsi="Arial"/>
                <w:sz w:val="14"/>
                <w:szCs w:val="14"/>
                <w:color w:val="D52B1E"/>
              </w:rPr>
              <w:t>Articles of Incorporation to Eliminate the</w:t>
            </w:r>
          </w:p>
        </w:tc>
        <w:tc>
          <w:tcPr>
            <w:tcW w:w="16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D52B1E"/>
              </w:rPr>
              <w:t>Classified Board Structure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60" w:type="dxa"/>
            <w:vAlign w:val="bottom"/>
          </w:tcPr>
          <w:p>
            <w:pPr>
              <w:ind w:left="360"/>
              <w:spacing w:after="0"/>
              <w:rPr>
                <w:sz w:val="20"/>
                <w:szCs w:val="20"/>
                <w:color w:val="auto"/>
              </w:rPr>
            </w:pPr>
            <w:r>
              <w:rPr>
                <w:rFonts w:ascii="Arial" w:cs="Arial" w:eastAsia="Arial" w:hAnsi="Arial"/>
                <w:sz w:val="14"/>
                <w:szCs w:val="14"/>
                <w:color w:val="D52B1E"/>
              </w:rPr>
              <w:t>Item 6 - Proposal to Amend the Company’s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88</w:t>
            </w:r>
          </w:p>
        </w:tc>
        <w:tc>
          <w:tcPr>
            <w:tcW w:w="0" w:type="dxa"/>
            <w:vAlign w:val="bottom"/>
          </w:tcPr>
          <w:p>
            <w:pPr>
              <w:spacing w:after="0"/>
              <w:rPr>
                <w:sz w:val="1"/>
                <w:szCs w:val="1"/>
                <w:color w:val="auto"/>
              </w:rPr>
            </w:pPr>
          </w:p>
        </w:tc>
      </w:tr>
      <w:tr>
        <w:trPr>
          <w:trHeight w:val="169"/>
        </w:trPr>
        <w:tc>
          <w:tcPr>
            <w:tcW w:w="3160" w:type="dxa"/>
            <w:vAlign w:val="bottom"/>
          </w:tcPr>
          <w:p>
            <w:pPr>
              <w:ind w:left="360"/>
              <w:spacing w:after="0"/>
              <w:rPr>
                <w:sz w:val="20"/>
                <w:szCs w:val="20"/>
                <w:color w:val="auto"/>
              </w:rPr>
            </w:pPr>
            <w:r>
              <w:rPr>
                <w:rFonts w:ascii="Arial" w:cs="Arial" w:eastAsia="Arial" w:hAnsi="Arial"/>
                <w:sz w:val="14"/>
                <w:szCs w:val="14"/>
                <w:color w:val="D52B1E"/>
              </w:rPr>
              <w:t>Articles of Incorporation to Eliminate</w:t>
            </w:r>
          </w:p>
        </w:tc>
        <w:tc>
          <w:tcPr>
            <w:tcW w:w="16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ind w:left="360"/>
              <w:spacing w:after="0"/>
              <w:rPr>
                <w:sz w:val="20"/>
                <w:szCs w:val="20"/>
                <w:color w:val="auto"/>
              </w:rPr>
            </w:pPr>
            <w:r>
              <w:rPr>
                <w:rFonts w:ascii="Arial" w:cs="Arial" w:eastAsia="Arial" w:hAnsi="Arial"/>
                <w:sz w:val="14"/>
                <w:szCs w:val="14"/>
                <w:color w:val="D52B1E"/>
              </w:rPr>
              <w:t>Supermajority Voting Provisions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89</w:t>
            </w:r>
          </w:p>
        </w:tc>
        <w:tc>
          <w:tcPr>
            <w:tcW w:w="0" w:type="dxa"/>
            <w:vAlign w:val="bottom"/>
          </w:tcPr>
          <w:p>
            <w:pPr>
              <w:spacing w:after="0"/>
              <w:rPr>
                <w:sz w:val="1"/>
                <w:szCs w:val="1"/>
                <w:color w:val="auto"/>
              </w:rPr>
            </w:pPr>
          </w:p>
        </w:tc>
      </w:tr>
      <w:tr>
        <w:trPr>
          <w:trHeight w:val="194"/>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Shareholder Proposals</w:t>
            </w:r>
          </w:p>
        </w:tc>
        <w:tc>
          <w:tcPr>
            <w:tcW w:w="16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3160" w:type="dxa"/>
            <w:vAlign w:val="bottom"/>
          </w:tcPr>
          <w:p>
            <w:pPr>
              <w:ind w:left="360"/>
              <w:spacing w:after="0"/>
              <w:rPr>
                <w:sz w:val="20"/>
                <w:szCs w:val="20"/>
                <w:color w:val="auto"/>
              </w:rPr>
            </w:pPr>
            <w:r>
              <w:rPr>
                <w:rFonts w:ascii="Arial" w:cs="Arial" w:eastAsia="Arial" w:hAnsi="Arial"/>
                <w:sz w:val="14"/>
                <w:szCs w:val="14"/>
                <w:color w:val="D52B1E"/>
              </w:rPr>
              <w:t>Item 7 - Proposal to Publish an Annual</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0000FF"/>
                <w:w w:val="78"/>
              </w:rPr>
              <w:t>89</w:t>
            </w:r>
          </w:p>
        </w:tc>
        <w:tc>
          <w:tcPr>
            <w:tcW w:w="0" w:type="dxa"/>
            <w:vAlign w:val="bottom"/>
          </w:tcPr>
          <w:p>
            <w:pPr>
              <w:spacing w:after="0"/>
              <w:rPr>
                <w:sz w:val="1"/>
                <w:szCs w:val="1"/>
                <w:color w:val="auto"/>
              </w:rPr>
            </w:pPr>
          </w:p>
        </w:tc>
      </w:tr>
      <w:tr>
        <w:trPr>
          <w:trHeight w:val="146"/>
        </w:trPr>
        <w:tc>
          <w:tcPr>
            <w:tcW w:w="3160" w:type="dxa"/>
            <w:vAlign w:val="bottom"/>
          </w:tcPr>
          <w:p>
            <w:pPr>
              <w:ind w:left="360"/>
              <w:spacing w:after="0" w:line="121" w:lineRule="exact"/>
              <w:rPr>
                <w:sz w:val="20"/>
                <w:szCs w:val="20"/>
                <w:color w:val="auto"/>
              </w:rPr>
            </w:pPr>
            <w:r>
              <w:rPr>
                <w:rFonts w:ascii="Arial" w:cs="Arial" w:eastAsia="Arial" w:hAnsi="Arial"/>
                <w:sz w:val="14"/>
                <w:szCs w:val="14"/>
                <w:color w:val="D52B1E"/>
              </w:rPr>
              <w:t>Report Disclosing Lobbying Activities</w:t>
            </w:r>
          </w:p>
        </w:tc>
        <w:tc>
          <w:tcPr>
            <w:tcW w:w="16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ind w:left="360"/>
              <w:spacing w:after="0"/>
              <w:rPr>
                <w:sz w:val="20"/>
                <w:szCs w:val="20"/>
                <w:color w:val="auto"/>
              </w:rPr>
            </w:pPr>
            <w:r>
              <w:rPr>
                <w:rFonts w:ascii="Arial" w:cs="Arial" w:eastAsia="Arial" w:hAnsi="Arial"/>
                <w:sz w:val="14"/>
                <w:szCs w:val="14"/>
                <w:color w:val="D52B1E"/>
              </w:rPr>
              <w:t>Item 8 - Proposal to Eliminate Supermajority</w:t>
            </w:r>
          </w:p>
        </w:tc>
        <w:tc>
          <w:tcPr>
            <w:tcW w:w="240" w:type="dxa"/>
            <w:vAlign w:val="bottom"/>
            <w:gridSpan w:val="4"/>
            <w:vMerge w:val="restart"/>
          </w:tcPr>
          <w:p>
            <w:pPr>
              <w:spacing w:after="0"/>
              <w:rPr>
                <w:sz w:val="20"/>
                <w:szCs w:val="20"/>
                <w:color w:val="auto"/>
              </w:rPr>
            </w:pPr>
            <w:r>
              <w:rPr>
                <w:rFonts w:ascii="Arial" w:cs="Arial" w:eastAsia="Arial" w:hAnsi="Arial"/>
                <w:sz w:val="16"/>
                <w:szCs w:val="16"/>
                <w:color w:val="0000FF"/>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Voting Requirements</w:t>
            </w:r>
          </w:p>
        </w:tc>
        <w:tc>
          <w:tcPr>
            <w:tcW w:w="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180" w:type="dxa"/>
            <w:vAlign w:val="bottom"/>
          </w:tcPr>
          <w:p>
            <w:pPr>
              <w:ind w:left="360"/>
              <w:spacing w:after="0"/>
              <w:rPr>
                <w:sz w:val="20"/>
                <w:szCs w:val="20"/>
                <w:color w:val="auto"/>
              </w:rPr>
            </w:pPr>
            <w:r>
              <w:rPr>
                <w:rFonts w:ascii="Arial" w:cs="Arial" w:eastAsia="Arial" w:hAnsi="Arial"/>
                <w:sz w:val="14"/>
                <w:szCs w:val="14"/>
                <w:color w:val="D52B1E"/>
              </w:rPr>
              <w:t>Item 9 - Proposal to Establish and Report on</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a Process by which the Impact of Extended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360"/>
              <w:spacing w:after="0"/>
              <w:rPr>
                <w:sz w:val="20"/>
                <w:szCs w:val="20"/>
                <w:color w:val="auto"/>
              </w:rPr>
            </w:pPr>
            <w:r>
              <w:rPr>
                <w:rFonts w:ascii="Arial" w:cs="Arial" w:eastAsia="Arial" w:hAnsi="Arial"/>
                <w:sz w:val="14"/>
                <w:szCs w:val="14"/>
                <w:color w:val="D52B1E"/>
              </w:rPr>
              <w:t>Patent Exclusivities on Product Access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Would be Considered in Deciding Whether</w:t>
            </w:r>
          </w:p>
        </w:tc>
        <w:tc>
          <w:tcPr>
            <w:tcW w:w="200" w:type="dxa"/>
            <w:vAlign w:val="bottom"/>
            <w:gridSpan w:val="3"/>
            <w:vMerge w:val="restart"/>
          </w:tcPr>
          <w:p>
            <w:pPr>
              <w:spacing w:after="0"/>
              <w:rPr>
                <w:sz w:val="20"/>
                <w:szCs w:val="20"/>
                <w:color w:val="auto"/>
              </w:rPr>
            </w:pPr>
            <w:r>
              <w:rPr>
                <w:rFonts w:ascii="Arial" w:cs="Arial" w:eastAsia="Arial" w:hAnsi="Arial"/>
                <w:sz w:val="16"/>
                <w:szCs w:val="16"/>
                <w:color w:val="0000FF"/>
              </w:rPr>
              <w:t>94</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to Apply for Secondary and Tertiary Patents</w:t>
            </w:r>
          </w:p>
        </w:tc>
        <w:tc>
          <w:tcPr>
            <w:tcW w:w="200" w:type="dxa"/>
            <w:vAlign w:val="bottom"/>
            <w:tcBorders>
              <w:bottom w:val="single" w:sz="8" w:color="0000FF"/>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180" w:type="dxa"/>
            <w:vAlign w:val="bottom"/>
          </w:tcPr>
          <w:p>
            <w:pPr>
              <w:ind w:left="360"/>
              <w:spacing w:after="0"/>
              <w:rPr>
                <w:sz w:val="20"/>
                <w:szCs w:val="20"/>
                <w:color w:val="auto"/>
              </w:rPr>
            </w:pPr>
            <w:r>
              <w:rPr>
                <w:rFonts w:ascii="Arial" w:cs="Arial" w:eastAsia="Arial" w:hAnsi="Arial"/>
                <w:sz w:val="14"/>
                <w:szCs w:val="14"/>
                <w:color w:val="D52B1E"/>
              </w:rPr>
              <w:t>Item 10 - Proposal to Report on Risks of</w:t>
            </w:r>
          </w:p>
        </w:tc>
        <w:tc>
          <w:tcPr>
            <w:tcW w:w="240" w:type="dxa"/>
            <w:vAlign w:val="bottom"/>
            <w:gridSpan w:val="4"/>
            <w:vMerge w:val="restart"/>
          </w:tcPr>
          <w:p>
            <w:pPr>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Supporting Abortion</w:t>
            </w:r>
          </w:p>
        </w:tc>
        <w:tc>
          <w:tcPr>
            <w:tcW w:w="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180" w:type="dxa"/>
            <w:vAlign w:val="bottom"/>
          </w:tcPr>
          <w:p>
            <w:pPr>
              <w:ind w:left="360"/>
              <w:spacing w:after="0"/>
              <w:rPr>
                <w:sz w:val="20"/>
                <w:szCs w:val="20"/>
                <w:color w:val="auto"/>
              </w:rPr>
            </w:pPr>
            <w:r>
              <w:rPr>
                <w:rFonts w:ascii="Arial" w:cs="Arial" w:eastAsia="Arial" w:hAnsi="Arial"/>
                <w:sz w:val="14"/>
                <w:szCs w:val="14"/>
                <w:color w:val="D52B1E"/>
              </w:rPr>
              <w:t>Item 11 - Proposal to Disclose Lobbying</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Activities and Alignment with Public Policy</w:t>
            </w:r>
          </w:p>
        </w:tc>
        <w:tc>
          <w:tcPr>
            <w:tcW w:w="240" w:type="dxa"/>
            <w:vAlign w:val="bottom"/>
            <w:gridSpan w:val="4"/>
            <w:vMerge w:val="restart"/>
          </w:tcPr>
          <w:p>
            <w:pPr>
              <w:spacing w:after="0"/>
              <w:rPr>
                <w:sz w:val="20"/>
                <w:szCs w:val="20"/>
                <w:color w:val="auto"/>
              </w:rPr>
            </w:pPr>
            <w:r>
              <w:rPr>
                <w:rFonts w:ascii="Arial" w:cs="Arial" w:eastAsia="Arial" w:hAnsi="Arial"/>
                <w:sz w:val="16"/>
                <w:szCs w:val="16"/>
                <w:color w:val="0000FF"/>
              </w:rPr>
              <w:t>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Positions and Statements</w:t>
            </w:r>
          </w:p>
        </w:tc>
        <w:tc>
          <w:tcPr>
            <w:tcW w:w="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180" w:type="dxa"/>
            <w:vAlign w:val="bottom"/>
          </w:tcPr>
          <w:p>
            <w:pPr>
              <w:ind w:left="360"/>
              <w:spacing w:after="0"/>
              <w:rPr>
                <w:sz w:val="20"/>
                <w:szCs w:val="20"/>
                <w:color w:val="auto"/>
              </w:rPr>
            </w:pPr>
            <w:r>
              <w:rPr>
                <w:rFonts w:ascii="Arial" w:cs="Arial" w:eastAsia="Arial" w:hAnsi="Arial"/>
                <w:sz w:val="14"/>
                <w:szCs w:val="14"/>
                <w:color w:val="D52B1E"/>
              </w:rPr>
              <w:t>Item 12 - Proposal to Report on</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Effectiveness of the Company’s Diversity,</w:t>
            </w:r>
          </w:p>
        </w:tc>
        <w:tc>
          <w:tcPr>
            <w:tcW w:w="260" w:type="dxa"/>
            <w:vAlign w:val="bottom"/>
            <w:gridSpan w:val="5"/>
            <w:vMerge w:val="restart"/>
          </w:tcPr>
          <w:p>
            <w:pPr>
              <w:spacing w:after="0"/>
              <w:rPr>
                <w:sz w:val="20"/>
                <w:szCs w:val="20"/>
                <w:color w:val="auto"/>
              </w:rPr>
            </w:pPr>
            <w:r>
              <w:rPr>
                <w:rFonts w:ascii="Arial" w:cs="Arial" w:eastAsia="Arial" w:hAnsi="Arial"/>
                <w:sz w:val="16"/>
                <w:szCs w:val="16"/>
                <w:color w:val="0000FF"/>
                <w:w w:val="89"/>
              </w:rPr>
              <w:t>102</w:t>
            </w:r>
          </w:p>
        </w:tc>
        <w:tc>
          <w:tcPr>
            <w:tcW w:w="0" w:type="dxa"/>
            <w:vAlign w:val="bottom"/>
          </w:tcPr>
          <w:p>
            <w:pPr>
              <w:spacing w:after="0"/>
              <w:rPr>
                <w:sz w:val="1"/>
                <w:szCs w:val="1"/>
                <w:color w:val="auto"/>
              </w:rPr>
            </w:pPr>
          </w:p>
        </w:tc>
      </w:tr>
      <w:tr>
        <w:trPr>
          <w:trHeight w:val="146"/>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Equity, and Inclusion Efforts</w:t>
            </w:r>
          </w:p>
        </w:tc>
        <w:tc>
          <w:tcPr>
            <w:tcW w:w="260" w:type="dxa"/>
            <w:vAlign w:val="bottom"/>
            <w:tcBorders>
              <w:bottom w:val="single" w:sz="8" w:color="0000FF"/>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180" w:type="dxa"/>
            <w:vAlign w:val="bottom"/>
          </w:tcPr>
          <w:p>
            <w:pPr>
              <w:ind w:left="360"/>
              <w:spacing w:after="0"/>
              <w:rPr>
                <w:sz w:val="20"/>
                <w:szCs w:val="20"/>
                <w:color w:val="auto"/>
              </w:rPr>
            </w:pPr>
            <w:r>
              <w:rPr>
                <w:rFonts w:ascii="Arial" w:cs="Arial" w:eastAsia="Arial" w:hAnsi="Arial"/>
                <w:sz w:val="14"/>
                <w:szCs w:val="14"/>
                <w:color w:val="D52B1E"/>
              </w:rPr>
              <w:t>Item 13 - Proposal to Adopt a Policy to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Require Certain Third-Party Organizations to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360"/>
              <w:spacing w:after="0"/>
              <w:rPr>
                <w:sz w:val="20"/>
                <w:szCs w:val="20"/>
                <w:color w:val="auto"/>
              </w:rPr>
            </w:pPr>
            <w:r>
              <w:rPr>
                <w:rFonts w:ascii="Arial" w:cs="Arial" w:eastAsia="Arial" w:hAnsi="Arial"/>
                <w:sz w:val="14"/>
                <w:szCs w:val="14"/>
                <w:color w:val="D52B1E"/>
              </w:rPr>
              <w:t>Annually Report Expenditures for Political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360"/>
              <w:spacing w:after="0"/>
              <w:rPr>
                <w:sz w:val="20"/>
                <w:szCs w:val="20"/>
                <w:color w:val="auto"/>
              </w:rPr>
            </w:pPr>
            <w:r>
              <w:rPr>
                <w:rFonts w:ascii="Arial" w:cs="Arial" w:eastAsia="Arial" w:hAnsi="Arial"/>
                <w:sz w:val="14"/>
                <w:szCs w:val="14"/>
                <w:color w:val="D52B1E"/>
              </w:rPr>
              <w:t>Activities before Lilly Contributes to an</w:t>
            </w:r>
          </w:p>
        </w:tc>
        <w:tc>
          <w:tcPr>
            <w:tcW w:w="260" w:type="dxa"/>
            <w:vAlign w:val="bottom"/>
            <w:gridSpan w:val="5"/>
            <w:vMerge w:val="restart"/>
          </w:tcPr>
          <w:p>
            <w:pPr>
              <w:spacing w:after="0"/>
              <w:rPr>
                <w:sz w:val="20"/>
                <w:szCs w:val="20"/>
                <w:color w:val="auto"/>
              </w:rPr>
            </w:pPr>
            <w:r>
              <w:rPr>
                <w:rFonts w:ascii="Arial" w:cs="Arial" w:eastAsia="Arial" w:hAnsi="Arial"/>
                <w:sz w:val="16"/>
                <w:szCs w:val="16"/>
                <w:color w:val="0000FF"/>
                <w:w w:val="89"/>
              </w:rPr>
              <w:t>104</w:t>
            </w:r>
          </w:p>
        </w:tc>
        <w:tc>
          <w:tcPr>
            <w:tcW w:w="0" w:type="dxa"/>
            <w:vAlign w:val="bottom"/>
          </w:tcPr>
          <w:p>
            <w:pPr>
              <w:spacing w:after="0"/>
              <w:rPr>
                <w:sz w:val="1"/>
                <w:szCs w:val="1"/>
                <w:color w:val="auto"/>
              </w:rPr>
            </w:pPr>
          </w:p>
        </w:tc>
      </w:tr>
      <w:tr>
        <w:trPr>
          <w:trHeight w:val="146"/>
        </w:trPr>
        <w:tc>
          <w:tcPr>
            <w:tcW w:w="3180" w:type="dxa"/>
            <w:vAlign w:val="bottom"/>
          </w:tcPr>
          <w:p>
            <w:pPr>
              <w:ind w:left="360"/>
              <w:spacing w:after="0" w:line="121" w:lineRule="exact"/>
              <w:rPr>
                <w:sz w:val="20"/>
                <w:szCs w:val="20"/>
                <w:color w:val="auto"/>
              </w:rPr>
            </w:pPr>
            <w:r>
              <w:rPr>
                <w:rFonts w:ascii="Arial" w:cs="Arial" w:eastAsia="Arial" w:hAnsi="Arial"/>
                <w:sz w:val="14"/>
                <w:szCs w:val="14"/>
                <w:color w:val="D52B1E"/>
              </w:rPr>
              <w:t>Organization</w:t>
            </w:r>
          </w:p>
        </w:tc>
        <w:tc>
          <w:tcPr>
            <w:tcW w:w="260" w:type="dxa"/>
            <w:vAlign w:val="bottom"/>
            <w:tcBorders>
              <w:bottom w:val="single" w:sz="8" w:color="0000FF"/>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2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9"/>
              </w:rPr>
              <w:t>107</w:t>
            </w:r>
          </w:p>
        </w:tc>
        <w:tc>
          <w:tcPr>
            <w:tcW w:w="0" w:type="dxa"/>
            <w:vAlign w:val="bottom"/>
          </w:tcPr>
          <w:p>
            <w:pPr>
              <w:spacing w:after="0"/>
              <w:rPr>
                <w:sz w:val="1"/>
                <w:szCs w:val="1"/>
                <w:color w:val="auto"/>
              </w:rPr>
            </w:pPr>
          </w:p>
        </w:tc>
      </w:tr>
      <w:tr>
        <w:trPr>
          <w:trHeight w:val="98"/>
        </w:trPr>
        <w:tc>
          <w:tcPr>
            <w:tcW w:w="3180" w:type="dxa"/>
            <w:vAlign w:val="bottom"/>
            <w:vMerge w:val="continue"/>
          </w:tcPr>
          <w:p>
            <w:pPr>
              <w:spacing w:after="0"/>
              <w:rPr>
                <w:sz w:val="8"/>
                <w:szCs w:val="8"/>
                <w:color w:val="auto"/>
              </w:rPr>
            </w:pPr>
          </w:p>
        </w:tc>
        <w:tc>
          <w:tcPr>
            <w:tcW w:w="260" w:type="dxa"/>
            <w:vAlign w:val="bottom"/>
            <w:gridSpan w:val="5"/>
            <w:vMerge w:val="restart"/>
          </w:tcPr>
          <w:p>
            <w:pPr>
              <w:spacing w:after="0"/>
              <w:rPr>
                <w:sz w:val="20"/>
                <w:szCs w:val="20"/>
                <w:color w:val="auto"/>
              </w:rPr>
            </w:pPr>
            <w:r>
              <w:rPr>
                <w:rFonts w:ascii="Arial" w:cs="Arial" w:eastAsia="Arial" w:hAnsi="Arial"/>
                <w:sz w:val="16"/>
                <w:szCs w:val="16"/>
                <w:color w:val="0000FF"/>
                <w:w w:val="89"/>
              </w:rPr>
              <w:t>107</w:t>
            </w:r>
          </w:p>
        </w:tc>
        <w:tc>
          <w:tcPr>
            <w:tcW w:w="0" w:type="dxa"/>
            <w:vAlign w:val="bottom"/>
          </w:tcPr>
          <w:p>
            <w:pPr>
              <w:spacing w:after="0"/>
              <w:rPr>
                <w:sz w:val="1"/>
                <w:szCs w:val="1"/>
                <w:color w:val="auto"/>
              </w:rPr>
            </w:pPr>
          </w:p>
        </w:tc>
      </w:tr>
      <w:tr>
        <w:trPr>
          <w:trHeight w:val="260"/>
        </w:trPr>
        <w:tc>
          <w:tcPr>
            <w:tcW w:w="3180" w:type="dxa"/>
            <w:vAlign w:val="bottom"/>
            <w:vMerge w:val="restart"/>
          </w:tcPr>
          <w:p>
            <w:pPr>
              <w:ind w:left="360"/>
              <w:spacing w:after="0"/>
              <w:rPr>
                <w:sz w:val="20"/>
                <w:szCs w:val="20"/>
                <w:color w:val="auto"/>
              </w:rPr>
            </w:pPr>
            <w:r>
              <w:rPr>
                <w:rFonts w:ascii="Arial" w:cs="Arial" w:eastAsia="Arial" w:hAnsi="Arial"/>
                <w:sz w:val="14"/>
                <w:szCs w:val="14"/>
                <w:color w:val="auto"/>
              </w:rPr>
              <w:t>Meeting and Voting Logistics</w:t>
            </w:r>
          </w:p>
        </w:tc>
        <w:tc>
          <w:tcPr>
            <w:tcW w:w="260" w:type="dxa"/>
            <w:vAlign w:val="bottom"/>
            <w:tcBorders>
              <w:bottom w:val="single" w:sz="8" w:color="0000FF"/>
            </w:tcBorders>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180" w:type="dxa"/>
            <w:vAlign w:val="bottom"/>
            <w:vMerge w:val="continue"/>
          </w:tcPr>
          <w:p>
            <w:pPr>
              <w:spacing w:after="0"/>
              <w:rPr>
                <w:sz w:val="14"/>
                <w:szCs w:val="14"/>
                <w:color w:val="auto"/>
              </w:rPr>
            </w:pPr>
          </w:p>
        </w:tc>
        <w:tc>
          <w:tcPr>
            <w:tcW w:w="240" w:type="dxa"/>
            <w:vAlign w:val="bottom"/>
            <w:gridSpan w:val="4"/>
            <w:vMerge w:val="restart"/>
          </w:tcPr>
          <w:p>
            <w:pPr>
              <w:spacing w:after="0"/>
              <w:rPr>
                <w:sz w:val="20"/>
                <w:szCs w:val="20"/>
                <w:color w:val="auto"/>
              </w:rPr>
            </w:pPr>
            <w:r>
              <w:rPr>
                <w:rFonts w:ascii="Arial" w:cs="Arial" w:eastAsia="Arial" w:hAnsi="Arial"/>
                <w:sz w:val="16"/>
                <w:szCs w:val="16"/>
                <w:color w:val="0000FF"/>
                <w:w w:val="82"/>
              </w:rPr>
              <w:t>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vMerge w:val="restart"/>
          </w:tcPr>
          <w:p>
            <w:pPr>
              <w:ind w:left="360"/>
              <w:spacing w:after="0"/>
              <w:rPr>
                <w:sz w:val="20"/>
                <w:szCs w:val="20"/>
                <w:color w:val="auto"/>
              </w:rPr>
            </w:pPr>
            <w:r>
              <w:rPr>
                <w:rFonts w:ascii="Arial" w:cs="Arial" w:eastAsia="Arial" w:hAnsi="Arial"/>
                <w:sz w:val="14"/>
                <w:szCs w:val="14"/>
                <w:color w:val="auto"/>
              </w:rPr>
              <w:t>Other Matters</w:t>
            </w:r>
          </w:p>
        </w:tc>
        <w:tc>
          <w:tcPr>
            <w:tcW w:w="240" w:type="dxa"/>
            <w:vAlign w:val="bottom"/>
            <w:tcBorders>
              <w:bottom w:val="single" w:sz="8" w:color="0000FF"/>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180" w:type="dxa"/>
            <w:vAlign w:val="bottom"/>
          </w:tcPr>
          <w:p>
            <w:pPr>
              <w:spacing w:after="0"/>
              <w:rPr>
                <w:sz w:val="20"/>
                <w:szCs w:val="20"/>
                <w:color w:val="auto"/>
              </w:rPr>
            </w:pPr>
            <w:r>
              <w:rPr>
                <w:rFonts w:ascii="Arial" w:cs="Arial" w:eastAsia="Arial" w:hAnsi="Arial"/>
                <w:sz w:val="16"/>
                <w:szCs w:val="16"/>
                <w:b w:val="1"/>
                <w:bCs w:val="1"/>
                <w:color w:val="auto"/>
              </w:rPr>
              <w:t>Appendix A - Summary of Adjustments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b w:val="1"/>
                <w:bCs w:val="1"/>
                <w:color w:val="auto"/>
              </w:rPr>
              <w:t>Related to the Annual Cash Bonus and</w:t>
            </w:r>
          </w:p>
        </w:tc>
        <w:tc>
          <w:tcPr>
            <w:tcW w:w="260" w:type="dxa"/>
            <w:vAlign w:val="bottom"/>
            <w:gridSpan w:val="5"/>
          </w:tcPr>
          <w:p>
            <w:pPr>
              <w:spacing w:after="0"/>
              <w:rPr>
                <w:sz w:val="20"/>
                <w:szCs w:val="20"/>
                <w:color w:val="auto"/>
              </w:rPr>
            </w:pPr>
            <w:r>
              <w:rPr>
                <w:rFonts w:ascii="Arial" w:cs="Arial" w:eastAsia="Arial" w:hAnsi="Arial"/>
                <w:sz w:val="16"/>
                <w:szCs w:val="16"/>
                <w:color w:val="auto"/>
                <w:w w:val="96"/>
              </w:rPr>
              <w:t>A-</w:t>
            </w:r>
            <w:r>
              <w:rPr>
                <w:rFonts w:ascii="Arial" w:cs="Arial" w:eastAsia="Arial" w:hAnsi="Arial"/>
                <w:sz w:val="16"/>
                <w:szCs w:val="16"/>
                <w:color w:val="0000FF"/>
                <w:w w:val="96"/>
              </w:rPr>
              <w:t>1</w:t>
            </w:r>
          </w:p>
        </w:tc>
        <w:tc>
          <w:tcPr>
            <w:tcW w:w="0" w:type="dxa"/>
            <w:vAlign w:val="bottom"/>
          </w:tcPr>
          <w:p>
            <w:pPr>
              <w:spacing w:after="0"/>
              <w:rPr>
                <w:sz w:val="1"/>
                <w:szCs w:val="1"/>
                <w:color w:val="auto"/>
              </w:rPr>
            </w:pPr>
          </w:p>
        </w:tc>
      </w:tr>
      <w:tr>
        <w:trPr>
          <w:trHeight w:val="55"/>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Performance Award</w:t>
            </w:r>
          </w:p>
        </w:tc>
        <w:tc>
          <w:tcPr>
            <w:tcW w:w="160" w:type="dxa"/>
            <w:vAlign w:val="bottom"/>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20" w:type="dxa"/>
            <w:vAlign w:val="bottom"/>
            <w:tcBorders>
              <w:bottom w:val="single" w:sz="8" w:color="0000FF"/>
            </w:tcBorders>
          </w:tcPr>
          <w:p>
            <w:pPr>
              <w:spacing w:after="0"/>
              <w:rPr>
                <w:sz w:val="4"/>
                <w:szCs w:val="4"/>
                <w:color w:val="auto"/>
              </w:rPr>
            </w:pPr>
          </w:p>
        </w:tc>
        <w:tc>
          <w:tcPr>
            <w:tcW w:w="40" w:type="dxa"/>
            <w:vAlign w:val="bottom"/>
            <w:tcBorders>
              <w:bottom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3180" w:type="dxa"/>
            <w:vAlign w:val="bottom"/>
          </w:tcPr>
          <w:p>
            <w:pPr>
              <w:spacing w:after="0"/>
              <w:rPr>
                <w:sz w:val="20"/>
                <w:szCs w:val="20"/>
                <w:color w:val="auto"/>
              </w:rPr>
            </w:pPr>
            <w:r>
              <w:rPr>
                <w:rFonts w:ascii="Arial" w:cs="Arial" w:eastAsia="Arial" w:hAnsi="Arial"/>
                <w:sz w:val="16"/>
                <w:szCs w:val="16"/>
                <w:b w:val="1"/>
                <w:bCs w:val="1"/>
                <w:color w:val="auto"/>
              </w:rPr>
              <w:t>Appendix B - Proposed Amendments to</w:t>
            </w:r>
          </w:p>
        </w:tc>
        <w:tc>
          <w:tcPr>
            <w:tcW w:w="180" w:type="dxa"/>
            <w:vAlign w:val="bottom"/>
            <w:gridSpan w:val="2"/>
            <w:vMerge w:val="restart"/>
          </w:tcPr>
          <w:p>
            <w:pPr>
              <w:spacing w:after="0"/>
              <w:rPr>
                <w:sz w:val="20"/>
                <w:szCs w:val="20"/>
                <w:color w:val="auto"/>
              </w:rPr>
            </w:pPr>
            <w:r>
              <w:rPr>
                <w:rFonts w:ascii="Arial" w:cs="Arial" w:eastAsia="Arial" w:hAnsi="Arial"/>
                <w:sz w:val="16"/>
                <w:szCs w:val="16"/>
                <w:color w:val="auto"/>
                <w:w w:val="99"/>
              </w:rPr>
              <w:t>B-</w:t>
            </w:r>
          </w:p>
        </w:tc>
        <w:tc>
          <w:tcPr>
            <w:tcW w:w="60" w:type="dxa"/>
            <w:vAlign w:val="bottom"/>
            <w:gridSpan w:val="2"/>
            <w:vMerge w:val="restart"/>
          </w:tcPr>
          <w:p>
            <w:pPr>
              <w:jc w:val="right"/>
              <w:spacing w:after="0"/>
              <w:rPr>
                <w:sz w:val="20"/>
                <w:szCs w:val="20"/>
                <w:color w:val="auto"/>
              </w:rPr>
            </w:pPr>
            <w:r>
              <w:rPr>
                <w:rFonts w:ascii="Arial" w:cs="Arial" w:eastAsia="Arial" w:hAnsi="Arial"/>
                <w:sz w:val="10"/>
                <w:szCs w:val="10"/>
                <w:color w:val="0000FF"/>
                <w:w w:val="7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the Company’s Articles of Incorporation</w:t>
            </w:r>
          </w:p>
        </w:tc>
        <w:tc>
          <w:tcPr>
            <w:tcW w:w="180" w:type="dxa"/>
            <w:vAlign w:val="bottom"/>
            <w:gridSpan w:val="2"/>
            <w:vMerge w:val="continue"/>
          </w:tcPr>
          <w:p>
            <w:pPr>
              <w:spacing w:after="0"/>
              <w:rPr>
                <w:sz w:val="7"/>
                <w:szCs w:val="7"/>
                <w:color w:val="auto"/>
              </w:rPr>
            </w:pPr>
          </w:p>
        </w:tc>
        <w:tc>
          <w:tcPr>
            <w:tcW w:w="60" w:type="dxa"/>
            <w:vAlign w:val="bottom"/>
            <w:tcBorders>
              <w:bottom w:val="single" w:sz="8" w:color="0000FF"/>
            </w:tcBorders>
            <w:gridSpan w:val="2"/>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18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D52B1E"/>
        </w:rPr>
        <w:t>Frequently Referenced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2321560" cy="2974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21560" cy="2974340"/>
                    </a:xfrm>
                    <a:prstGeom prst="rect">
                      <a:avLst/>
                    </a:prstGeom>
                    <a:noFill/>
                  </pic:spPr>
                </pic:pic>
              </a:graphicData>
            </a:graphic>
          </wp:anchor>
        </w:drawing>
      </w:r>
    </w:p>
    <w:p>
      <w:pPr>
        <w:spacing w:after="0" w:line="81"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11</w:t>
      </w:r>
    </w:p>
    <w:p>
      <w:pPr>
        <w:ind w:left="160"/>
        <w:spacing w:after="0"/>
        <w:rPr>
          <w:sz w:val="20"/>
          <w:szCs w:val="20"/>
          <w:color w:val="auto"/>
        </w:rPr>
      </w:pPr>
      <w:r>
        <w:rPr>
          <w:rFonts w:ascii="Arial" w:cs="Arial" w:eastAsia="Arial" w:hAnsi="Arial"/>
          <w:sz w:val="14"/>
          <w:szCs w:val="14"/>
          <w:color w:val="auto"/>
        </w:rPr>
        <w:t>Board Diversity</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12</w:t>
      </w:r>
    </w:p>
    <w:p>
      <w:pPr>
        <w:ind w:left="160"/>
        <w:spacing w:after="0"/>
        <w:rPr>
          <w:sz w:val="20"/>
          <w:szCs w:val="20"/>
          <w:color w:val="auto"/>
        </w:rPr>
      </w:pPr>
      <w:r>
        <w:rPr>
          <w:rFonts w:ascii="Arial" w:cs="Arial" w:eastAsia="Arial" w:hAnsi="Arial"/>
          <w:sz w:val="14"/>
          <w:szCs w:val="14"/>
          <w:color w:val="auto"/>
        </w:rPr>
        <w:t>Board Skills Matrix</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Board and Committee Oversight of:</w:t>
      </w:r>
    </w:p>
    <w:p>
      <w:pPr>
        <w:spacing w:after="0" w:line="43"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33</w:t>
      </w:r>
    </w:p>
    <w:p>
      <w:pPr>
        <w:ind w:left="300"/>
        <w:spacing w:after="0"/>
        <w:rPr>
          <w:sz w:val="20"/>
          <w:szCs w:val="20"/>
          <w:color w:val="auto"/>
        </w:rPr>
      </w:pPr>
      <w:r>
        <w:rPr>
          <w:rFonts w:ascii="Arial" w:cs="Arial" w:eastAsia="Arial" w:hAnsi="Arial"/>
          <w:sz w:val="14"/>
          <w:szCs w:val="14"/>
          <w:color w:val="auto"/>
        </w:rPr>
        <w:t>ESG</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36</w:t>
      </w:r>
    </w:p>
    <w:p>
      <w:pPr>
        <w:ind w:left="300"/>
        <w:spacing w:after="0"/>
        <w:rPr>
          <w:sz w:val="20"/>
          <w:szCs w:val="20"/>
          <w:color w:val="auto"/>
        </w:rPr>
      </w:pPr>
      <w:r>
        <w:rPr>
          <w:rFonts w:ascii="Arial" w:cs="Arial" w:eastAsia="Arial" w:hAnsi="Arial"/>
          <w:sz w:val="14"/>
          <w:szCs w:val="14"/>
          <w:color w:val="auto"/>
        </w:rPr>
        <w:t>Cybersecurity</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33</w:t>
      </w:r>
    </w:p>
    <w:p>
      <w:pPr>
        <w:ind w:left="300"/>
        <w:spacing w:after="0"/>
        <w:rPr>
          <w:sz w:val="20"/>
          <w:szCs w:val="20"/>
          <w:color w:val="auto"/>
        </w:rPr>
      </w:pPr>
      <w:r>
        <w:rPr>
          <w:rFonts w:ascii="Arial" w:cs="Arial" w:eastAsia="Arial" w:hAnsi="Arial"/>
          <w:sz w:val="14"/>
          <w:szCs w:val="14"/>
          <w:color w:val="auto"/>
        </w:rPr>
        <w:t>Human Capital Management</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36</w:t>
      </w:r>
    </w:p>
    <w:p>
      <w:pPr>
        <w:ind w:left="300"/>
        <w:spacing w:after="0"/>
        <w:rPr>
          <w:sz w:val="20"/>
          <w:szCs w:val="20"/>
          <w:color w:val="auto"/>
        </w:rPr>
      </w:pPr>
      <w:r>
        <w:rPr>
          <w:rFonts w:ascii="Arial" w:cs="Arial" w:eastAsia="Arial" w:hAnsi="Arial"/>
          <w:sz w:val="14"/>
          <w:szCs w:val="14"/>
          <w:color w:val="auto"/>
        </w:rPr>
        <w:t>Political Activities</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28</w:t>
      </w:r>
    </w:p>
    <w:p>
      <w:pPr>
        <w:ind w:left="160"/>
        <w:spacing w:after="0"/>
        <w:rPr>
          <w:sz w:val="20"/>
          <w:szCs w:val="20"/>
          <w:color w:val="auto"/>
        </w:rPr>
      </w:pPr>
      <w:r>
        <w:rPr>
          <w:rFonts w:ascii="Arial" w:cs="Arial" w:eastAsia="Arial" w:hAnsi="Arial"/>
          <w:sz w:val="14"/>
          <w:szCs w:val="14"/>
          <w:color w:val="auto"/>
        </w:rPr>
        <w:t>Lead Independent Director Duties</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68</w:t>
      </w:r>
    </w:p>
    <w:p>
      <w:pPr>
        <w:jc w:val="center"/>
        <w:ind w:right="2300"/>
        <w:spacing w:after="0"/>
        <w:rPr>
          <w:sz w:val="20"/>
          <w:szCs w:val="20"/>
          <w:color w:val="auto"/>
        </w:rPr>
      </w:pPr>
      <w:r>
        <w:rPr>
          <w:rFonts w:ascii="Arial" w:cs="Arial" w:eastAsia="Arial" w:hAnsi="Arial"/>
          <w:sz w:val="14"/>
          <w:szCs w:val="14"/>
          <w:color w:val="auto"/>
        </w:rPr>
        <w:t>Share Ownership and Retention Guidelines</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69</w:t>
      </w:r>
    </w:p>
    <w:p>
      <w:pPr>
        <w:jc w:val="center"/>
        <w:ind w:right="2320"/>
        <w:spacing w:after="0"/>
        <w:rPr>
          <w:sz w:val="20"/>
          <w:szCs w:val="20"/>
          <w:color w:val="auto"/>
        </w:rPr>
      </w:pPr>
      <w:r>
        <w:rPr>
          <w:rFonts w:ascii="Arial" w:cs="Arial" w:eastAsia="Arial" w:hAnsi="Arial"/>
          <w:sz w:val="14"/>
          <w:szCs w:val="14"/>
          <w:color w:val="auto"/>
        </w:rPr>
        <w:t>Compensation Recovery Policy (Clawback)</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69</w:t>
      </w:r>
    </w:p>
    <w:p>
      <w:pPr>
        <w:ind w:left="160"/>
        <w:spacing w:after="0"/>
        <w:rPr>
          <w:sz w:val="20"/>
          <w:szCs w:val="20"/>
          <w:color w:val="auto"/>
        </w:rPr>
      </w:pPr>
      <w:r>
        <w:rPr>
          <w:rFonts w:ascii="Arial" w:cs="Arial" w:eastAsia="Arial" w:hAnsi="Arial"/>
          <w:sz w:val="14"/>
          <w:szCs w:val="14"/>
          <w:color w:val="auto"/>
        </w:rPr>
        <w:t>Hedging and Pledging Restrictions</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0000FF"/>
        </w:rPr>
        <w:t>41</w:t>
      </w:r>
    </w:p>
    <w:p>
      <w:pPr>
        <w:ind w:left="160"/>
        <w:spacing w:after="0"/>
        <w:rPr>
          <w:sz w:val="20"/>
          <w:szCs w:val="20"/>
          <w:color w:val="auto"/>
        </w:rPr>
      </w:pPr>
      <w:r>
        <w:rPr>
          <w:rFonts w:ascii="Arial" w:cs="Arial" w:eastAsia="Arial" w:hAnsi="Arial"/>
          <w:sz w:val="14"/>
          <w:szCs w:val="14"/>
          <w:color w:val="auto"/>
        </w:rPr>
        <w:t>Transactions with Related Persons</w:t>
      </w:r>
    </w:p>
    <w:p>
      <w:pPr>
        <w:spacing w:after="0" w:line="200" w:lineRule="exact"/>
        <w:rPr>
          <w:sz w:val="20"/>
          <w:szCs w:val="20"/>
          <w:color w:val="auto"/>
        </w:rPr>
      </w:pPr>
    </w:p>
    <w:p>
      <w:pPr>
        <w:sectPr>
          <w:pgSz w:w="11900" w:h="16838" w:orient="portrait"/>
          <w:cols w:equalWidth="0" w:num="2">
            <w:col w:w="5200" w:space="720"/>
            <w:col w:w="5320"/>
          </w:cols>
          <w:pgMar w:left="320" w:top="666" w:right="339" w:bottom="1440" w:gutter="0" w:footer="0" w:header="0"/>
        </w:sectPr>
      </w:pP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This proxy statement contains forward-looking statements, including those regarding our emissions, diversity and inclusion and other sustainability commitments and goals; our strategies and financial performance; our development of new products and technologies, and other statements that are not historical fact, and actual results could differ materially. Risks that could cause actual results to differ are set forth in the “Risk Factors” section of, and elsewhere in, our 2022 Annual Report on Form 10-K and other filings with the Securities and Exchange Commission. All forward-looking statements are based on management estimates, projections, and assumptions as of the date hereof, and we undertake no obligation to update any such statements. 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448945</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8"/>
          <w:szCs w:val="28"/>
          <w:b w:val="1"/>
          <w:bCs w:val="1"/>
          <w:color w:val="D52B1E"/>
        </w:rPr>
        <w:t>Notice of 2023 Annual Meeting of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A1DE"/>
        </w:rPr>
        <w:t>ITEMS OF BUSINESS</w:t>
      </w:r>
    </w:p>
    <w:p>
      <w:pPr>
        <w:spacing w:after="0" w:line="6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1</w:t>
      </w:r>
      <w:r>
        <w:rPr>
          <w:sz w:val="20"/>
          <w:szCs w:val="20"/>
          <w:color w:val="auto"/>
        </w:rPr>
        <w:tab/>
      </w:r>
      <w:r>
        <w:rPr>
          <w:rFonts w:ascii="Arial" w:cs="Arial" w:eastAsia="Arial" w:hAnsi="Arial"/>
          <w:sz w:val="13"/>
          <w:szCs w:val="13"/>
          <w:color w:val="auto"/>
        </w:rPr>
        <w:t>Election of each of the four director nominees to serve three-year terms</w:t>
      </w:r>
    </w:p>
    <w:p>
      <w:pPr>
        <w:spacing w:after="0" w:line="5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2</w:t>
      </w:r>
      <w:r>
        <w:rPr>
          <w:sz w:val="20"/>
          <w:szCs w:val="20"/>
          <w:color w:val="auto"/>
        </w:rPr>
        <w:tab/>
      </w:r>
      <w:r>
        <w:rPr>
          <w:rFonts w:ascii="Arial" w:cs="Arial" w:eastAsia="Arial" w:hAnsi="Arial"/>
          <w:sz w:val="14"/>
          <w:szCs w:val="14"/>
          <w:color w:val="auto"/>
        </w:rPr>
        <w:t>Approval, on an advisory basis, of the compensation paid to the company’s named executive officers</w:t>
      </w:r>
    </w:p>
    <w:p>
      <w:pPr>
        <w:spacing w:after="0" w:line="5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3</w:t>
      </w:r>
      <w:r>
        <w:rPr>
          <w:sz w:val="20"/>
          <w:szCs w:val="20"/>
          <w:color w:val="auto"/>
        </w:rPr>
        <w:tab/>
      </w:r>
      <w:r>
        <w:rPr>
          <w:rFonts w:ascii="Arial" w:cs="Arial" w:eastAsia="Arial" w:hAnsi="Arial"/>
          <w:sz w:val="14"/>
          <w:szCs w:val="14"/>
          <w:color w:val="auto"/>
        </w:rPr>
        <w:t>Advisory vote on frequency of future advisory votes on named executive officer compensation</w:t>
      </w:r>
    </w:p>
    <w:p>
      <w:pPr>
        <w:spacing w:after="0" w:line="5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4</w:t>
      </w:r>
      <w:r>
        <w:rPr>
          <w:sz w:val="20"/>
          <w:szCs w:val="20"/>
          <w:color w:val="auto"/>
        </w:rPr>
        <w:tab/>
      </w:r>
      <w:r>
        <w:rPr>
          <w:rFonts w:ascii="Arial" w:cs="Arial" w:eastAsia="Arial" w:hAnsi="Arial"/>
          <w:sz w:val="13"/>
          <w:szCs w:val="13"/>
          <w:color w:val="auto"/>
        </w:rPr>
        <w:t>Ratification of the appointment of Ernst &amp; Young LLP as the independent auditor for 2023</w:t>
      </w:r>
    </w:p>
    <w:p>
      <w:pPr>
        <w:spacing w:after="0" w:line="4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5</w:t>
      </w:r>
      <w:r>
        <w:rPr>
          <w:sz w:val="20"/>
          <w:szCs w:val="20"/>
          <w:color w:val="auto"/>
        </w:rPr>
        <w:tab/>
      </w:r>
      <w:r>
        <w:rPr>
          <w:rFonts w:ascii="Arial" w:cs="Arial" w:eastAsia="Arial" w:hAnsi="Arial"/>
          <w:sz w:val="13"/>
          <w:szCs w:val="13"/>
          <w:color w:val="auto"/>
        </w:rPr>
        <w:t>Approval of amendments to the company’s articles of incorporation to eliminate the classified board structure</w:t>
      </w:r>
    </w:p>
    <w:p>
      <w:pPr>
        <w:spacing w:after="0" w:line="5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6</w:t>
      </w:r>
      <w:r>
        <w:rPr>
          <w:sz w:val="20"/>
          <w:szCs w:val="20"/>
          <w:color w:val="auto"/>
        </w:rPr>
        <w:tab/>
      </w:r>
      <w:r>
        <w:rPr>
          <w:rFonts w:ascii="Arial" w:cs="Arial" w:eastAsia="Arial" w:hAnsi="Arial"/>
          <w:sz w:val="14"/>
          <w:szCs w:val="14"/>
          <w:color w:val="auto"/>
        </w:rPr>
        <w:t>Approval of amendments to the company’s articles of incorporation to eliminate supermajority voting provisions</w:t>
      </w:r>
    </w:p>
    <w:p>
      <w:pPr>
        <w:spacing w:after="0" w:line="5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7</w:t>
      </w:r>
      <w:r>
        <w:rPr>
          <w:sz w:val="20"/>
          <w:szCs w:val="20"/>
          <w:color w:val="auto"/>
        </w:rPr>
        <w:tab/>
      </w:r>
      <w:r>
        <w:rPr>
          <w:rFonts w:ascii="Arial" w:cs="Arial" w:eastAsia="Arial" w:hAnsi="Arial"/>
          <w:sz w:val="13"/>
          <w:szCs w:val="13"/>
          <w:color w:val="auto"/>
        </w:rPr>
        <w:t>Shareholder proposal to publish an annual report disclosing lobbying activities</w:t>
      </w:r>
    </w:p>
    <w:p>
      <w:pPr>
        <w:spacing w:after="0" w:line="4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8</w:t>
      </w:r>
      <w:r>
        <w:rPr>
          <w:sz w:val="20"/>
          <w:szCs w:val="20"/>
          <w:color w:val="auto"/>
        </w:rPr>
        <w:tab/>
      </w:r>
      <w:r>
        <w:rPr>
          <w:rFonts w:ascii="Arial" w:cs="Arial" w:eastAsia="Arial" w:hAnsi="Arial"/>
          <w:sz w:val="13"/>
          <w:szCs w:val="13"/>
          <w:color w:val="auto"/>
        </w:rPr>
        <w:t>Shareholder proposal to eliminate supermajority voting requirements</w:t>
      </w:r>
    </w:p>
    <w:p>
      <w:pPr>
        <w:spacing w:after="0" w:line="50" w:lineRule="exact"/>
        <w:rPr>
          <w:sz w:val="20"/>
          <w:szCs w:val="20"/>
          <w:color w:val="auto"/>
        </w:rPr>
      </w:pPr>
    </w:p>
    <w:p>
      <w:pPr>
        <w:ind w:left="760" w:right="2319" w:hanging="747"/>
        <w:spacing w:after="0" w:line="279" w:lineRule="auto"/>
        <w:tabs>
          <w:tab w:leader="none" w:pos="740" w:val="left"/>
        </w:tabs>
        <w:rPr>
          <w:sz w:val="20"/>
          <w:szCs w:val="20"/>
          <w:color w:val="auto"/>
        </w:rPr>
      </w:pPr>
      <w:r>
        <w:rPr>
          <w:rFonts w:ascii="Arial" w:cs="Arial" w:eastAsia="Arial" w:hAnsi="Arial"/>
          <w:sz w:val="16"/>
          <w:szCs w:val="16"/>
          <w:b w:val="1"/>
          <w:bCs w:val="1"/>
          <w:color w:val="D52B1E"/>
        </w:rPr>
        <w:t>Item 9</w:t>
      </w:r>
      <w:r>
        <w:rPr>
          <w:sz w:val="20"/>
          <w:szCs w:val="20"/>
          <w:color w:val="auto"/>
        </w:rPr>
        <w:tab/>
      </w:r>
      <w:r>
        <w:rPr>
          <w:rFonts w:ascii="Arial" w:cs="Arial" w:eastAsia="Arial" w:hAnsi="Arial"/>
          <w:sz w:val="14"/>
          <w:szCs w:val="14"/>
          <w:color w:val="auto"/>
        </w:rPr>
        <w:t>Shareholder proposal to establish and report on a process by which the impact of extended patent exclusivities on product access would be considered in deciding whether to apply for secondary and tertiary patents</w:t>
      </w:r>
    </w:p>
    <w:p>
      <w:pPr>
        <w:spacing w:after="0" w:line="1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D52B1E"/>
        </w:rPr>
        <w:t>Item 10</w:t>
      </w:r>
      <w:r>
        <w:rPr>
          <w:sz w:val="20"/>
          <w:szCs w:val="20"/>
          <w:color w:val="auto"/>
        </w:rPr>
        <w:tab/>
      </w:r>
      <w:r>
        <w:rPr>
          <w:rFonts w:ascii="Arial" w:cs="Arial" w:eastAsia="Arial" w:hAnsi="Arial"/>
          <w:sz w:val="14"/>
          <w:szCs w:val="14"/>
          <w:color w:val="auto"/>
        </w:rPr>
        <w:t>Shareholder proposal to report on risks of supporting abortion</w:t>
      </w:r>
    </w:p>
    <w:p>
      <w:pPr>
        <w:spacing w:after="0" w:line="50" w:lineRule="exact"/>
        <w:rPr>
          <w:sz w:val="20"/>
          <w:szCs w:val="20"/>
          <w:color w:val="auto"/>
        </w:rPr>
      </w:pPr>
    </w:p>
    <w:p>
      <w:pPr>
        <w:ind w:right="2599"/>
        <w:spacing w:after="0" w:line="304" w:lineRule="auto"/>
        <w:rPr>
          <w:sz w:val="20"/>
          <w:szCs w:val="20"/>
          <w:color w:val="auto"/>
        </w:rPr>
      </w:pPr>
      <w:r>
        <w:rPr>
          <w:rFonts w:ascii="Arial" w:cs="Arial" w:eastAsia="Arial" w:hAnsi="Arial"/>
          <w:sz w:val="16"/>
          <w:szCs w:val="16"/>
          <w:b w:val="1"/>
          <w:bCs w:val="1"/>
          <w:color w:val="D52B1E"/>
        </w:rPr>
        <w:t xml:space="preserve">Item 11 </w:t>
      </w:r>
      <w:r>
        <w:rPr>
          <w:rFonts w:ascii="Arial" w:cs="Arial" w:eastAsia="Arial" w:hAnsi="Arial"/>
          <w:sz w:val="14"/>
          <w:szCs w:val="14"/>
          <w:color w:val="000000"/>
        </w:rPr>
        <w:t>Shareholder proposal to disclose lobbying activities and alignment with public policy positions and statements</w:t>
      </w:r>
      <w:r>
        <w:rPr>
          <w:rFonts w:ascii="Arial" w:cs="Arial" w:eastAsia="Arial" w:hAnsi="Arial"/>
          <w:sz w:val="16"/>
          <w:szCs w:val="16"/>
          <w:b w:val="1"/>
          <w:bCs w:val="1"/>
          <w:color w:val="D52B1E"/>
        </w:rPr>
        <w:t xml:space="preserve"> Item 12 </w:t>
      </w:r>
      <w:r>
        <w:rPr>
          <w:rFonts w:ascii="Arial" w:cs="Arial" w:eastAsia="Arial" w:hAnsi="Arial"/>
          <w:sz w:val="14"/>
          <w:szCs w:val="14"/>
          <w:color w:val="000000"/>
        </w:rPr>
        <w:t>Shareholder proposal to report on effectiveness of the company’s diversity, equity, and inclusion efforts</w:t>
      </w:r>
    </w:p>
    <w:p>
      <w:pPr>
        <w:spacing w:after="0" w:line="1" w:lineRule="exact"/>
        <w:rPr>
          <w:sz w:val="20"/>
          <w:szCs w:val="20"/>
          <w:color w:val="auto"/>
        </w:rPr>
      </w:pPr>
    </w:p>
    <w:p>
      <w:pPr>
        <w:ind w:left="760" w:right="2379" w:hanging="747"/>
        <w:spacing w:after="0" w:line="279" w:lineRule="auto"/>
        <w:tabs>
          <w:tab w:leader="none" w:pos="740" w:val="left"/>
        </w:tabs>
        <w:rPr>
          <w:sz w:val="20"/>
          <w:szCs w:val="20"/>
          <w:color w:val="auto"/>
        </w:rPr>
      </w:pPr>
      <w:r>
        <w:rPr>
          <w:rFonts w:ascii="Arial" w:cs="Arial" w:eastAsia="Arial" w:hAnsi="Arial"/>
          <w:sz w:val="16"/>
          <w:szCs w:val="16"/>
          <w:b w:val="1"/>
          <w:bCs w:val="1"/>
          <w:color w:val="D52B1E"/>
        </w:rPr>
        <w:t>Item 13</w:t>
      </w:r>
      <w:r>
        <w:rPr>
          <w:sz w:val="20"/>
          <w:szCs w:val="20"/>
          <w:color w:val="auto"/>
        </w:rPr>
        <w:tab/>
      </w:r>
      <w:r>
        <w:rPr>
          <w:rFonts w:ascii="Arial" w:cs="Arial" w:eastAsia="Arial" w:hAnsi="Arial"/>
          <w:sz w:val="14"/>
          <w:szCs w:val="14"/>
          <w:color w:val="auto"/>
        </w:rPr>
        <w:t>Shareholder proposal to adopt a policy to require certain third-party organizations to annually report expenditures for political activities before Lilly contributes to an organization</w:t>
      </w:r>
    </w:p>
    <w:p>
      <w:pPr>
        <w:sectPr>
          <w:pgSz w:w="11900" w:h="16838" w:orient="portrait"/>
          <w:cols w:equalWidth="0" w:num="1">
            <w:col w:w="10139"/>
          </w:cols>
          <w:pgMar w:left="320" w:top="1003" w:right="1440"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ADMISSION</w:t>
      </w:r>
    </w:p>
    <w:p>
      <w:pPr>
        <w:spacing w:after="0" w:line="5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2023 annual meeting of shareholders (the Annual Meeting) of Eli Lilly and Company will be held virtually via live webcast.</w:t>
      </w:r>
    </w:p>
    <w:p>
      <w:pPr>
        <w:spacing w:after="0" w:line="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The webcast is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live webcast by visiting </w:t>
      </w:r>
      <w:r>
        <w:rPr>
          <w:rFonts w:ascii="Arial" w:cs="Arial" w:eastAsia="Arial" w:hAnsi="Arial"/>
          <w:sz w:val="16"/>
          <w:szCs w:val="16"/>
          <w:color w:val="D52B1E"/>
        </w:rPr>
        <w:t>virtualshareholdersmeeting.com/LLY2023</w:t>
      </w:r>
      <w:r>
        <w:rPr>
          <w:rFonts w:ascii="Arial" w:cs="Arial" w:eastAsia="Arial" w:hAnsi="Arial"/>
          <w:sz w:val="16"/>
          <w:szCs w:val="16"/>
          <w:color w:val="auto"/>
        </w:rPr>
        <w:t>. To be admitted to the Annual Meeting webcast, you must enter the 16-digit control number found on the proxy card, voting instruction form, or notice you received. For further information on Annual Meeting logistics, see the section titled “</w:t>
      </w:r>
      <w:r>
        <w:rPr>
          <w:rFonts w:ascii="Arial" w:cs="Arial" w:eastAsia="Arial" w:hAnsi="Arial"/>
          <w:sz w:val="16"/>
          <w:szCs w:val="16"/>
          <w:u w:val="single" w:color="auto"/>
          <w:color w:val="0000FF"/>
        </w:rPr>
        <w:t>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Information—Meeting and Voting Logistics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39"/>
        <w:spacing w:after="0"/>
        <w:rPr>
          <w:sz w:val="20"/>
          <w:szCs w:val="20"/>
          <w:color w:val="auto"/>
        </w:rPr>
      </w:pPr>
      <w:r>
        <w:rPr>
          <w:rFonts w:ascii="Arial" w:cs="Arial" w:eastAsia="Arial" w:hAnsi="Arial"/>
          <w:sz w:val="17"/>
          <w:szCs w:val="17"/>
          <w:b w:val="1"/>
          <w:bCs w:val="1"/>
          <w:color w:val="D52B1E"/>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-586105</wp:posOffset>
            </wp:positionV>
            <wp:extent cx="422910" cy="422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2910" cy="422910"/>
                    </a:xfrm>
                    <a:prstGeom prst="rect">
                      <a:avLst/>
                    </a:prstGeom>
                    <a:noFill/>
                  </pic:spPr>
                </pic:pic>
              </a:graphicData>
            </a:graphic>
          </wp:anchor>
        </w:drawing>
      </w:r>
    </w:p>
    <w:p>
      <w:pPr>
        <w:spacing w:after="0" w:line="18" w:lineRule="exact"/>
        <w:rPr>
          <w:sz w:val="20"/>
          <w:szCs w:val="20"/>
          <w:color w:val="auto"/>
        </w:rPr>
      </w:pPr>
    </w:p>
    <w:p>
      <w:pPr>
        <w:jc w:val="center"/>
        <w:ind w:right="2339"/>
        <w:spacing w:after="0"/>
        <w:rPr>
          <w:sz w:val="20"/>
          <w:szCs w:val="20"/>
          <w:color w:val="auto"/>
        </w:rPr>
      </w:pPr>
      <w:r>
        <w:rPr>
          <w:rFonts w:ascii="Arial" w:cs="Arial" w:eastAsia="Arial" w:hAnsi="Arial"/>
          <w:sz w:val="12"/>
          <w:szCs w:val="12"/>
          <w:b w:val="1"/>
          <w:bCs w:val="1"/>
          <w:color w:val="auto"/>
        </w:rPr>
        <w:t>8:30 a.m. EDT</w:t>
      </w:r>
    </w:p>
    <w:p>
      <w:pPr>
        <w:spacing w:after="0" w:line="14" w:lineRule="exact"/>
        <w:rPr>
          <w:sz w:val="20"/>
          <w:szCs w:val="20"/>
          <w:color w:val="auto"/>
        </w:rPr>
      </w:pPr>
    </w:p>
    <w:p>
      <w:pPr>
        <w:jc w:val="center"/>
        <w:ind w:right="2339"/>
        <w:spacing w:after="0"/>
        <w:rPr>
          <w:sz w:val="20"/>
          <w:szCs w:val="20"/>
          <w:color w:val="auto"/>
        </w:rPr>
      </w:pPr>
      <w:r>
        <w:rPr>
          <w:rFonts w:ascii="Arial" w:cs="Arial" w:eastAsia="Arial" w:hAnsi="Arial"/>
          <w:sz w:val="12"/>
          <w:szCs w:val="12"/>
          <w:b w:val="1"/>
          <w:bCs w:val="1"/>
          <w:color w:val="auto"/>
        </w:rPr>
        <w:t>Monday, May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73025</wp:posOffset>
            </wp:positionV>
            <wp:extent cx="385445" cy="38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39"/>
        <w:spacing w:after="0"/>
        <w:rPr>
          <w:sz w:val="20"/>
          <w:szCs w:val="20"/>
          <w:color w:val="auto"/>
        </w:rPr>
      </w:pPr>
      <w:r>
        <w:rPr>
          <w:rFonts w:ascii="Arial" w:cs="Arial" w:eastAsia="Arial" w:hAnsi="Arial"/>
          <w:sz w:val="17"/>
          <w:szCs w:val="17"/>
          <w:b w:val="1"/>
          <w:bCs w:val="1"/>
          <w:color w:val="D52B1E"/>
        </w:rPr>
        <w:t>WHERE</w:t>
      </w:r>
    </w:p>
    <w:p>
      <w:pPr>
        <w:spacing w:after="0" w:line="38" w:lineRule="exact"/>
        <w:rPr>
          <w:sz w:val="20"/>
          <w:szCs w:val="20"/>
          <w:color w:val="auto"/>
        </w:rPr>
      </w:pPr>
    </w:p>
    <w:p>
      <w:pPr>
        <w:jc w:val="center"/>
        <w:ind w:right="2339"/>
        <w:spacing w:after="0"/>
        <w:rPr>
          <w:sz w:val="20"/>
          <w:szCs w:val="20"/>
          <w:color w:val="auto"/>
        </w:rPr>
      </w:pPr>
      <w:r>
        <w:rPr>
          <w:rFonts w:ascii="Arial" w:cs="Arial" w:eastAsia="Arial" w:hAnsi="Arial"/>
          <w:sz w:val="12"/>
          <w:szCs w:val="12"/>
          <w:b w:val="1"/>
          <w:bCs w:val="1"/>
          <w:color w:val="auto"/>
        </w:rPr>
        <w:t>Virtually at www.virtualshareholder</w:t>
      </w:r>
    </w:p>
    <w:p>
      <w:pPr>
        <w:spacing w:after="0" w:line="14" w:lineRule="exact"/>
        <w:rPr>
          <w:sz w:val="20"/>
          <w:szCs w:val="20"/>
          <w:color w:val="auto"/>
        </w:rPr>
      </w:pPr>
    </w:p>
    <w:p>
      <w:pPr>
        <w:jc w:val="center"/>
        <w:ind w:right="2339"/>
        <w:spacing w:after="0"/>
        <w:rPr>
          <w:sz w:val="20"/>
          <w:szCs w:val="20"/>
          <w:color w:val="auto"/>
        </w:rPr>
      </w:pPr>
      <w:r>
        <w:rPr>
          <w:rFonts w:ascii="Arial" w:cs="Arial" w:eastAsia="Arial" w:hAnsi="Arial"/>
          <w:sz w:val="12"/>
          <w:szCs w:val="12"/>
          <w:b w:val="1"/>
          <w:bCs w:val="1"/>
          <w:color w:val="auto"/>
        </w:rPr>
        <w:t>meeting.com/LLY2023</w:t>
      </w:r>
    </w:p>
    <w:p>
      <w:pPr>
        <w:spacing w:after="0" w:line="21" w:lineRule="exact"/>
        <w:rPr>
          <w:sz w:val="20"/>
          <w:szCs w:val="20"/>
          <w:color w:val="auto"/>
        </w:rPr>
      </w:pPr>
    </w:p>
    <w:p>
      <w:pPr>
        <w:sectPr>
          <w:pgSz w:w="11900" w:h="16838" w:orient="portrait"/>
          <w:cols w:equalWidth="0" w:num="2">
            <w:col w:w="5400" w:space="320"/>
            <w:col w:w="4419"/>
          </w:cols>
          <w:pgMar w:left="320" w:top="1003" w:right="1440" w:bottom="1440" w:gutter="0" w:footer="0" w:header="0"/>
          <w:type w:val="continuous"/>
        </w:sectPr>
      </w:pPr>
    </w:p>
    <w:p>
      <w:pPr>
        <w:ind w:right="100"/>
        <w:spacing w:after="0" w:line="249" w:lineRule="auto"/>
        <w:rPr>
          <w:sz w:val="20"/>
          <w:szCs w:val="20"/>
          <w:color w:val="auto"/>
        </w:rPr>
      </w:pPr>
      <w:r>
        <w:rPr>
          <w:rFonts w:ascii="Arial" w:cs="Arial" w:eastAsia="Arial" w:hAnsi="Arial"/>
          <w:sz w:val="16"/>
          <w:szCs w:val="16"/>
          <w:color w:val="auto"/>
        </w:rPr>
        <w:t>This proxy statement is dated March 17, 2023. We mailed a notice of internet availability of proxy materials on or about that date to our shareholders of record as of February 21, 2023 (other than those who previously requested electronic or paper delivery of our proxy materials and certain participants in The Lilly Employee 401(k) plan (401(k)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YOUR VOTE IS IMPORTANT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759"/>
        <w:spacing w:after="0"/>
        <w:rPr>
          <w:sz w:val="20"/>
          <w:szCs w:val="20"/>
          <w:color w:val="auto"/>
        </w:rPr>
      </w:pPr>
      <w:r>
        <w:rPr>
          <w:rFonts w:ascii="Arial" w:cs="Arial" w:eastAsia="Arial" w:hAnsi="Arial"/>
          <w:sz w:val="16"/>
          <w:szCs w:val="16"/>
          <w:b w:val="1"/>
          <w:bCs w:val="1"/>
          <w:color w:val="D52B1E"/>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-563880</wp:posOffset>
            </wp:positionV>
            <wp:extent cx="407670" cy="407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7670" cy="40767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February 21, 2023</w:t>
      </w:r>
    </w:p>
    <w:p>
      <w:pPr>
        <w:spacing w:after="0" w:line="205" w:lineRule="exact"/>
        <w:rPr>
          <w:sz w:val="20"/>
          <w:szCs w:val="20"/>
          <w:color w:val="auto"/>
        </w:rPr>
      </w:pPr>
    </w:p>
    <w:p>
      <w:pPr>
        <w:sectPr>
          <w:pgSz w:w="11900" w:h="16838" w:orient="portrait"/>
          <w:cols w:equalWidth="0" w:num="2">
            <w:col w:w="5420" w:space="720"/>
            <w:col w:w="3999"/>
          </w:cols>
          <w:pgMar w:left="320" w:top="1003" w:right="1440" w:bottom="1440" w:gutter="0" w:footer="0" w:header="0"/>
          <w:type w:val="continuous"/>
        </w:sectPr>
      </w:pPr>
    </w:p>
    <w:p>
      <w:pPr>
        <w:ind w:right="2439"/>
        <w:spacing w:after="0" w:line="252" w:lineRule="auto"/>
        <w:rPr>
          <w:sz w:val="20"/>
          <w:szCs w:val="20"/>
          <w:color w:val="auto"/>
        </w:rPr>
      </w:pPr>
      <w:r>
        <w:rPr>
          <w:rFonts w:ascii="Arial" w:cs="Arial" w:eastAsia="Arial" w:hAnsi="Arial"/>
          <w:sz w:val="16"/>
          <w:szCs w:val="16"/>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 form by mail, so that a quorum may be represented at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Anat Hakim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and Secretary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76200</wp:posOffset>
            </wp:positionV>
            <wp:extent cx="498475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4750" cy="497205"/>
                    </a:xfrm>
                    <a:prstGeom prst="rect">
                      <a:avLst/>
                    </a:prstGeom>
                    <a:noFill/>
                  </pic:spPr>
                </pic:pic>
              </a:graphicData>
            </a:graphic>
          </wp:anchor>
        </w:drawing>
      </w:r>
    </w:p>
    <w:p>
      <w:pPr>
        <w:spacing w:after="0" w:line="182" w:lineRule="exact"/>
        <w:rPr>
          <w:sz w:val="20"/>
          <w:szCs w:val="20"/>
          <w:color w:val="auto"/>
        </w:rPr>
      </w:pPr>
    </w:p>
    <w:p>
      <w:pPr>
        <w:jc w:val="center"/>
        <w:ind w:right="2219"/>
        <w:spacing w:after="0"/>
        <w:rPr>
          <w:sz w:val="20"/>
          <w:szCs w:val="20"/>
          <w:color w:val="auto"/>
        </w:rPr>
      </w:pPr>
      <w:r>
        <w:rPr>
          <w:rFonts w:ascii="Arial" w:cs="Arial" w:eastAsia="Arial" w:hAnsi="Arial"/>
          <w:sz w:val="13"/>
          <w:szCs w:val="13"/>
          <w:color w:val="FFFFFF"/>
        </w:rPr>
        <w:t>IMPORTANT NOTICE REGARDING THE AVAILABILITY OF PROXY MATERIALS FOR THE SHAREHOLDER MEETING</w:t>
      </w:r>
    </w:p>
    <w:p>
      <w:pPr>
        <w:jc w:val="center"/>
        <w:ind w:right="2219"/>
        <w:spacing w:after="0" w:line="233" w:lineRule="auto"/>
        <w:rPr>
          <w:sz w:val="20"/>
          <w:szCs w:val="20"/>
          <w:color w:val="auto"/>
        </w:rPr>
      </w:pPr>
      <w:r>
        <w:rPr>
          <w:rFonts w:ascii="Arial" w:cs="Arial" w:eastAsia="Arial" w:hAnsi="Arial"/>
          <w:sz w:val="14"/>
          <w:szCs w:val="14"/>
          <w:color w:val="FFFFFF"/>
        </w:rPr>
        <w:t>TO BE HELD MAY 1, 2023:</w:t>
      </w:r>
    </w:p>
    <w:p>
      <w:pPr>
        <w:jc w:val="center"/>
        <w:ind w:right="2219"/>
        <w:spacing w:after="0" w:line="209" w:lineRule="auto"/>
        <w:rPr>
          <w:sz w:val="20"/>
          <w:szCs w:val="20"/>
          <w:color w:val="auto"/>
        </w:rPr>
      </w:pPr>
      <w:r>
        <w:rPr>
          <w:rFonts w:ascii="Arial" w:cs="Arial" w:eastAsia="Arial" w:hAnsi="Arial"/>
          <w:sz w:val="14"/>
          <w:szCs w:val="14"/>
          <w:color w:val="FFFFFF"/>
        </w:rPr>
        <w:t>The annual report to shareholders and proxy statement are available at ProxyVote.com</w:t>
      </w:r>
    </w:p>
    <w:p>
      <w:pPr>
        <w:jc w:val="center"/>
        <w:ind w:right="2219"/>
        <w:spacing w:after="0"/>
        <w:rPr>
          <w:sz w:val="20"/>
          <w:szCs w:val="20"/>
          <w:color w:val="auto"/>
        </w:rPr>
      </w:pPr>
      <w:r>
        <w:rPr>
          <w:rFonts w:ascii="Arial" w:cs="Arial" w:eastAsia="Arial" w:hAnsi="Arial"/>
          <w:sz w:val="14"/>
          <w:szCs w:val="14"/>
          <w:color w:val="FFFFFF"/>
        </w:rPr>
        <w:t>as well as on our website at lilly.com/policies-reports/annual-report.</w:t>
      </w: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03"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45"/>
          <w:szCs w:val="45"/>
          <w:b w:val="1"/>
          <w:bCs w:val="1"/>
          <w:color w:val="auto"/>
        </w:rPr>
        <w:t>Proxy Statement Summary</w:t>
      </w:r>
    </w:p>
    <w:p>
      <w:pPr>
        <w:spacing w:after="0" w:line="380"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Powered by Purpose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purpose is to unite caring with discovery to create medicines that make life better for people around the world. This purpose fuels every aspect of our business, as we aspire to:</w:t>
      </w:r>
    </w:p>
    <w:p>
      <w:pPr>
        <w:spacing w:after="0" w:line="101" w:lineRule="exact"/>
        <w:rPr>
          <w:sz w:val="20"/>
          <w:szCs w:val="20"/>
          <w:color w:val="auto"/>
        </w:rPr>
      </w:pPr>
    </w:p>
    <w:p>
      <w:pPr>
        <w:ind w:left="340" w:right="520" w:hanging="350"/>
        <w:spacing w:after="0" w:line="281" w:lineRule="auto"/>
        <w:rPr>
          <w:sz w:val="20"/>
          <w:szCs w:val="20"/>
          <w:color w:val="auto"/>
        </w:rPr>
      </w:pPr>
      <w:r>
        <w:rPr>
          <w:rFonts w:ascii="Arial" w:cs="Arial" w:eastAsia="Arial" w:hAnsi="Arial"/>
          <w:sz w:val="16"/>
          <w:szCs w:val="16"/>
          <w:b w:val="1"/>
          <w:bCs w:val="1"/>
          <w:color w:val="00A1DE"/>
        </w:rPr>
        <w:t xml:space="preserve">Discover </w:t>
      </w:r>
      <w:r>
        <w:rPr>
          <w:rFonts w:ascii="Arial" w:cs="Arial" w:eastAsia="Arial" w:hAnsi="Arial"/>
          <w:sz w:val="15"/>
          <w:szCs w:val="15"/>
          <w:color w:val="000000"/>
        </w:rPr>
        <w:t>first or best-in-class molecules from internal and external sources that address significant unmet needs by integrating disease understanding with</w:t>
      </w:r>
      <w:r>
        <w:rPr>
          <w:rFonts w:ascii="Arial" w:cs="Arial" w:eastAsia="Arial" w:hAnsi="Arial"/>
          <w:sz w:val="16"/>
          <w:szCs w:val="16"/>
          <w:b w:val="1"/>
          <w:bCs w:val="1"/>
          <w:color w:val="00A1DE"/>
        </w:rPr>
        <w:t xml:space="preserve"> </w:t>
      </w:r>
      <w:r>
        <w:rPr>
          <w:rFonts w:ascii="Arial" w:cs="Arial" w:eastAsia="Arial" w:hAnsi="Arial"/>
          <w:sz w:val="15"/>
          <w:szCs w:val="15"/>
          <w:color w:val="000000"/>
        </w:rPr>
        <w:t>innovative scientific capabilities;</w:t>
      </w:r>
    </w:p>
    <w:p>
      <w:pPr>
        <w:spacing w:after="0" w:line="1" w:lineRule="exact"/>
        <w:rPr>
          <w:sz w:val="20"/>
          <w:szCs w:val="20"/>
          <w:color w:val="auto"/>
        </w:rPr>
      </w:pPr>
    </w:p>
    <w:p>
      <w:pPr>
        <w:ind w:right="1200"/>
        <w:spacing w:after="0" w:line="327" w:lineRule="auto"/>
        <w:rPr>
          <w:sz w:val="20"/>
          <w:szCs w:val="20"/>
          <w:color w:val="auto"/>
        </w:rPr>
      </w:pPr>
      <w:r>
        <w:rPr>
          <w:rFonts w:ascii="Arial" w:cs="Arial" w:eastAsia="Arial" w:hAnsi="Arial"/>
          <w:sz w:val="16"/>
          <w:szCs w:val="16"/>
          <w:b w:val="1"/>
          <w:bCs w:val="1"/>
          <w:color w:val="00A1DE"/>
        </w:rPr>
        <w:t xml:space="preserve">Develop </w:t>
      </w:r>
      <w:r>
        <w:rPr>
          <w:rFonts w:ascii="Arial" w:cs="Arial" w:eastAsia="Arial" w:hAnsi="Arial"/>
          <w:sz w:val="15"/>
          <w:szCs w:val="15"/>
          <w:color w:val="000000"/>
        </w:rPr>
        <w:t>molecules faster than competitors by executing clinical plans that maximize the human and economic value of the medicines we launch;</w:t>
      </w:r>
      <w:r>
        <w:rPr>
          <w:rFonts w:ascii="Arial" w:cs="Arial" w:eastAsia="Arial" w:hAnsi="Arial"/>
          <w:sz w:val="16"/>
          <w:szCs w:val="16"/>
          <w:b w:val="1"/>
          <w:bCs w:val="1"/>
          <w:color w:val="00A1DE"/>
        </w:rPr>
        <w:t xml:space="preserve"> Reach </w:t>
      </w:r>
      <w:r>
        <w:rPr>
          <w:rFonts w:ascii="Arial" w:cs="Arial" w:eastAsia="Arial" w:hAnsi="Arial"/>
          <w:sz w:val="15"/>
          <w:szCs w:val="15"/>
          <w:color w:val="000000"/>
        </w:rPr>
        <w:t>people around the world by creating volume-driven uptake and broad access to a safe and reliable supply of life-changing medicines;</w:t>
      </w:r>
    </w:p>
    <w:p>
      <w:pPr>
        <w:spacing w:after="0" w:line="1" w:lineRule="exact"/>
        <w:rPr>
          <w:sz w:val="20"/>
          <w:szCs w:val="20"/>
          <w:color w:val="auto"/>
        </w:rPr>
      </w:pPr>
    </w:p>
    <w:p>
      <w:pPr>
        <w:ind w:right="260"/>
        <w:spacing w:after="0" w:line="433" w:lineRule="auto"/>
        <w:rPr>
          <w:sz w:val="20"/>
          <w:szCs w:val="20"/>
          <w:color w:val="auto"/>
        </w:rPr>
      </w:pPr>
      <w:r>
        <w:rPr>
          <w:rFonts w:ascii="Arial" w:cs="Arial" w:eastAsia="Arial" w:hAnsi="Arial"/>
          <w:sz w:val="16"/>
          <w:szCs w:val="16"/>
          <w:b w:val="1"/>
          <w:bCs w:val="1"/>
          <w:color w:val="00A1DE"/>
        </w:rPr>
        <w:t xml:space="preserve">Scale </w:t>
      </w:r>
      <w:r>
        <w:rPr>
          <w:rFonts w:ascii="Arial" w:cs="Arial" w:eastAsia="Arial" w:hAnsi="Arial"/>
          <w:sz w:val="15"/>
          <w:szCs w:val="15"/>
          <w:color w:val="000000"/>
        </w:rPr>
        <w:t>our business by prioritizing investments into medicines that can deliver the greatest value for customers and can drive long-term sustainable growth; and</w:t>
      </w:r>
      <w:r>
        <w:rPr>
          <w:rFonts w:ascii="Arial" w:cs="Arial" w:eastAsia="Arial" w:hAnsi="Arial"/>
          <w:sz w:val="16"/>
          <w:szCs w:val="16"/>
          <w:b w:val="1"/>
          <w:bCs w:val="1"/>
          <w:color w:val="00A1DE"/>
        </w:rPr>
        <w:t xml:space="preserve"> Reinvest </w:t>
      </w:r>
      <w:r>
        <w:rPr>
          <w:rFonts w:ascii="Arial" w:cs="Arial" w:eastAsia="Arial" w:hAnsi="Arial"/>
          <w:sz w:val="15"/>
          <w:szCs w:val="15"/>
          <w:color w:val="000000"/>
        </w:rPr>
        <w:t>profits into our next wave of innovation and generate value for our investors.</w:t>
      </w:r>
    </w:p>
    <w:p>
      <w:pPr>
        <w:spacing w:after="0" w:line="95"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Highlights of 2022 Performance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continued to progress our strategy in 2022, focusing on four dimensions: operating performance, environmental, social and governance matters, our innovation pipeline and other business development, and shareholder return (both absolute and relative). See our Annual Report on Form 10-K for the fiscal year ended December 31, 2022,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847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ind w:left="60"/>
        <w:spacing w:after="0"/>
        <w:rPr>
          <w:sz w:val="20"/>
          <w:szCs w:val="20"/>
          <w:color w:val="auto"/>
        </w:rPr>
      </w:pPr>
      <w:r>
        <w:rPr>
          <w:sz w:val="1"/>
          <w:szCs w:val="1"/>
          <w:color w:val="auto"/>
        </w:rPr>
        <w:drawing>
          <wp:inline distT="0" distB="0" distL="0" distR="0">
            <wp:extent cx="311785" cy="3117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785" cy="311785"/>
                    </a:xfrm>
                    <a:prstGeom prst="rect">
                      <a:avLst/>
                    </a:prstGeom>
                    <a:noFill/>
                    <a:ln>
                      <a:noFill/>
                    </a:ln>
                  </pic:spPr>
                </pic:pic>
              </a:graphicData>
            </a:graphic>
          </wp:inline>
        </w:drawing>
      </w:r>
      <w:r>
        <w:rPr>
          <w:rFonts w:ascii="Arial" w:cs="Arial" w:eastAsia="Arial" w:hAnsi="Arial"/>
          <w:sz w:val="22"/>
          <w:szCs w:val="22"/>
          <w:b w:val="1"/>
          <w:bCs w:val="1"/>
          <w:color w:val="auto"/>
        </w:rPr>
        <w:t xml:space="preserv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49847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76" w:lineRule="exact"/>
        <w:rPr>
          <w:sz w:val="20"/>
          <w:szCs w:val="20"/>
          <w:color w:val="auto"/>
        </w:rPr>
      </w:pPr>
    </w:p>
    <w:tbl>
      <w:tblPr>
        <w:tblLayout w:type="fixed"/>
        <w:tblInd w:w="760" w:type="dxa"/>
        <w:tblCellMar>
          <w:top w:w="0" w:type="dxa"/>
          <w:left w:w="0" w:type="dxa"/>
          <w:bottom w:w="0" w:type="dxa"/>
          <w:right w:w="0" w:type="dxa"/>
        </w:tblCellMar>
      </w:tblPr>
      <w:tr>
        <w:trPr>
          <w:trHeight w:val="261"/>
        </w:trPr>
        <w:tc>
          <w:tcPr>
            <w:tcW w:w="1540" w:type="dxa"/>
            <w:vAlign w:val="bottom"/>
            <w:vMerge w:val="restart"/>
          </w:tcPr>
          <w:p>
            <w:pPr>
              <w:jc w:val="center"/>
              <w:ind w:right="390"/>
              <w:spacing w:after="0"/>
              <w:rPr>
                <w:sz w:val="20"/>
                <w:szCs w:val="20"/>
                <w:color w:val="auto"/>
              </w:rPr>
            </w:pPr>
            <w:r>
              <w:rPr>
                <w:rFonts w:ascii="Arial" w:cs="Arial" w:eastAsia="Arial" w:hAnsi="Arial"/>
                <w:sz w:val="22"/>
                <w:szCs w:val="22"/>
                <w:b w:val="1"/>
                <w:bCs w:val="1"/>
                <w:color w:val="EE2724"/>
                <w:w w:val="98"/>
              </w:rPr>
              <w:t>$28.5</w:t>
            </w:r>
          </w:p>
        </w:tc>
        <w:tc>
          <w:tcPr>
            <w:tcW w:w="3140" w:type="dxa"/>
            <w:vAlign w:val="bottom"/>
          </w:tcPr>
          <w:p>
            <w:pPr>
              <w:jc w:val="center"/>
              <w:ind w:left="114"/>
              <w:spacing w:after="0"/>
              <w:rPr>
                <w:sz w:val="20"/>
                <w:szCs w:val="20"/>
                <w:color w:val="auto"/>
              </w:rPr>
            </w:pPr>
            <w:r>
              <w:rPr>
                <w:rFonts w:ascii="Arial" w:cs="Arial" w:eastAsia="Arial" w:hAnsi="Arial"/>
                <w:sz w:val="22"/>
                <w:szCs w:val="22"/>
                <w:b w:val="1"/>
                <w:bCs w:val="1"/>
                <w:color w:val="D52B1E"/>
                <w:w w:val="98"/>
              </w:rPr>
              <w:t>$6.90</w:t>
            </w:r>
          </w:p>
        </w:tc>
        <w:tc>
          <w:tcPr>
            <w:tcW w:w="2000" w:type="dxa"/>
            <w:vAlign w:val="bottom"/>
          </w:tcPr>
          <w:p>
            <w:pPr>
              <w:jc w:val="center"/>
              <w:ind w:left="152"/>
              <w:spacing w:after="0"/>
              <w:rPr>
                <w:sz w:val="20"/>
                <w:szCs w:val="20"/>
                <w:color w:val="auto"/>
              </w:rPr>
            </w:pPr>
            <w:r>
              <w:rPr>
                <w:rFonts w:ascii="Arial" w:cs="Arial" w:eastAsia="Arial" w:hAnsi="Arial"/>
                <w:sz w:val="22"/>
                <w:szCs w:val="22"/>
                <w:b w:val="1"/>
                <w:bCs w:val="1"/>
                <w:color w:val="D52B1E"/>
              </w:rPr>
              <w:t>$7.94</w:t>
            </w: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3140" w:type="dxa"/>
            <w:vAlign w:val="bottom"/>
            <w:vMerge w:val="restart"/>
          </w:tcPr>
          <w:p>
            <w:pPr>
              <w:jc w:val="center"/>
              <w:ind w:left="114"/>
              <w:spacing w:after="0"/>
              <w:rPr>
                <w:sz w:val="20"/>
                <w:szCs w:val="20"/>
                <w:color w:val="auto"/>
              </w:rPr>
            </w:pPr>
            <w:r>
              <w:rPr>
                <w:rFonts w:ascii="Arial" w:cs="Arial" w:eastAsia="Arial" w:hAnsi="Arial"/>
                <w:sz w:val="16"/>
                <w:szCs w:val="16"/>
                <w:b w:val="1"/>
                <w:bCs w:val="1"/>
                <w:color w:val="auto"/>
                <w:w w:val="97"/>
              </w:rPr>
              <w:t xml:space="preserve">earnings per share </w:t>
            </w:r>
            <w:r>
              <w:rPr>
                <w:rFonts w:ascii="Arial" w:cs="Arial" w:eastAsia="Arial" w:hAnsi="Arial"/>
                <w:sz w:val="16"/>
                <w:szCs w:val="16"/>
                <w:color w:val="auto"/>
                <w:w w:val="97"/>
              </w:rPr>
              <w:t>(EPS)</w:t>
            </w:r>
          </w:p>
        </w:tc>
        <w:tc>
          <w:tcPr>
            <w:tcW w:w="2000" w:type="dxa"/>
            <w:vAlign w:val="bottom"/>
            <w:vMerge w:val="restart"/>
          </w:tcPr>
          <w:p>
            <w:pPr>
              <w:jc w:val="center"/>
              <w:ind w:left="112"/>
              <w:spacing w:after="0"/>
              <w:rPr>
                <w:sz w:val="20"/>
                <w:szCs w:val="20"/>
                <w:color w:val="auto"/>
              </w:rPr>
            </w:pPr>
            <w:r>
              <w:rPr>
                <w:rFonts w:ascii="Arial" w:cs="Arial" w:eastAsia="Arial" w:hAnsi="Arial"/>
                <w:sz w:val="16"/>
                <w:szCs w:val="16"/>
                <w:b w:val="1"/>
                <w:bCs w:val="1"/>
                <w:color w:val="auto"/>
                <w:w w:val="97"/>
              </w:rPr>
              <w:t>EPS on a</w:t>
            </w:r>
          </w:p>
        </w:tc>
        <w:tc>
          <w:tcPr>
            <w:tcW w:w="0" w:type="dxa"/>
            <w:vAlign w:val="bottom"/>
          </w:tcPr>
          <w:p>
            <w:pPr>
              <w:spacing w:after="0"/>
              <w:rPr>
                <w:sz w:val="1"/>
                <w:szCs w:val="1"/>
                <w:color w:val="auto"/>
              </w:rPr>
            </w:pPr>
          </w:p>
        </w:tc>
      </w:tr>
      <w:tr>
        <w:trPr>
          <w:trHeight w:val="67"/>
        </w:trPr>
        <w:tc>
          <w:tcPr>
            <w:tcW w:w="1540" w:type="dxa"/>
            <w:vAlign w:val="bottom"/>
            <w:vMerge w:val="restart"/>
          </w:tcPr>
          <w:p>
            <w:pPr>
              <w:jc w:val="center"/>
              <w:ind w:right="370"/>
              <w:spacing w:after="0" w:line="164" w:lineRule="exact"/>
              <w:rPr>
                <w:sz w:val="20"/>
                <w:szCs w:val="20"/>
                <w:color w:val="auto"/>
              </w:rPr>
            </w:pPr>
            <w:r>
              <w:rPr>
                <w:rFonts w:ascii="Arial" w:cs="Arial" w:eastAsia="Arial" w:hAnsi="Arial"/>
                <w:sz w:val="16"/>
                <w:szCs w:val="16"/>
                <w:b w:val="1"/>
                <w:bCs w:val="1"/>
                <w:color w:val="auto"/>
              </w:rPr>
              <w:t>billion</w:t>
            </w:r>
          </w:p>
        </w:tc>
        <w:tc>
          <w:tcPr>
            <w:tcW w:w="314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540" w:type="dxa"/>
            <w:vAlign w:val="bottom"/>
            <w:vMerge w:val="continue"/>
          </w:tcPr>
          <w:p>
            <w:pPr>
              <w:spacing w:after="0"/>
              <w:rPr>
                <w:sz w:val="8"/>
                <w:szCs w:val="8"/>
                <w:color w:val="auto"/>
              </w:rPr>
            </w:pPr>
          </w:p>
        </w:tc>
        <w:tc>
          <w:tcPr>
            <w:tcW w:w="3140" w:type="dxa"/>
            <w:vAlign w:val="bottom"/>
            <w:vMerge w:val="restart"/>
          </w:tcPr>
          <w:p>
            <w:pPr>
              <w:jc w:val="center"/>
              <w:ind w:left="114"/>
              <w:spacing w:after="0"/>
              <w:rPr>
                <w:sz w:val="20"/>
                <w:szCs w:val="20"/>
                <w:color w:val="auto"/>
              </w:rPr>
            </w:pPr>
            <w:r>
              <w:rPr>
                <w:rFonts w:ascii="Arial" w:cs="Arial" w:eastAsia="Arial" w:hAnsi="Arial"/>
                <w:sz w:val="16"/>
                <w:szCs w:val="16"/>
                <w:color w:val="auto"/>
                <w:w w:val="97"/>
              </w:rPr>
              <w:t>in 2022 on a reported basis, up from</w:t>
            </w:r>
          </w:p>
        </w:tc>
        <w:tc>
          <w:tcPr>
            <w:tcW w:w="2000" w:type="dxa"/>
            <w:vAlign w:val="bottom"/>
            <w:vMerge w:val="restart"/>
          </w:tcPr>
          <w:p>
            <w:pPr>
              <w:jc w:val="center"/>
              <w:ind w:left="132"/>
              <w:spacing w:after="0"/>
              <w:rPr>
                <w:sz w:val="20"/>
                <w:szCs w:val="20"/>
                <w:color w:val="auto"/>
              </w:rPr>
            </w:pPr>
            <w:r>
              <w:rPr>
                <w:rFonts w:ascii="Arial" w:cs="Arial" w:eastAsia="Arial" w:hAnsi="Arial"/>
                <w:sz w:val="16"/>
                <w:szCs w:val="16"/>
                <w:b w:val="1"/>
                <w:bCs w:val="1"/>
                <w:color w:val="auto"/>
                <w:w w:val="97"/>
              </w:rPr>
              <w:t xml:space="preserve">non-GAAP basis </w:t>
            </w:r>
            <w:r>
              <w:rPr>
                <w:rFonts w:ascii="Arial" w:cs="Arial" w:eastAsia="Arial" w:hAnsi="Arial"/>
                <w:sz w:val="16"/>
                <w:szCs w:val="16"/>
                <w:color w:val="auto"/>
                <w:w w:val="97"/>
              </w:rPr>
              <w:t>in 2022</w:t>
            </w:r>
          </w:p>
        </w:tc>
        <w:tc>
          <w:tcPr>
            <w:tcW w:w="0" w:type="dxa"/>
            <w:vAlign w:val="bottom"/>
          </w:tcPr>
          <w:p>
            <w:pPr>
              <w:spacing w:after="0"/>
              <w:rPr>
                <w:sz w:val="1"/>
                <w:szCs w:val="1"/>
                <w:color w:val="auto"/>
              </w:rPr>
            </w:pPr>
          </w:p>
        </w:tc>
      </w:tr>
      <w:tr>
        <w:trPr>
          <w:trHeight w:val="90"/>
        </w:trPr>
        <w:tc>
          <w:tcPr>
            <w:tcW w:w="1540" w:type="dxa"/>
            <w:vAlign w:val="bottom"/>
            <w:vMerge w:val="restart"/>
          </w:tcPr>
          <w:p>
            <w:pPr>
              <w:jc w:val="center"/>
              <w:ind w:right="330"/>
              <w:spacing w:after="0"/>
              <w:rPr>
                <w:sz w:val="20"/>
                <w:szCs w:val="20"/>
                <w:color w:val="auto"/>
              </w:rPr>
            </w:pPr>
            <w:r>
              <w:rPr>
                <w:rFonts w:ascii="Arial" w:cs="Arial" w:eastAsia="Arial" w:hAnsi="Arial"/>
                <w:sz w:val="16"/>
                <w:szCs w:val="16"/>
                <w:color w:val="auto"/>
                <w:w w:val="97"/>
              </w:rPr>
              <w:t>in 2022 revenue</w:t>
            </w:r>
          </w:p>
        </w:tc>
        <w:tc>
          <w:tcPr>
            <w:tcW w:w="314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40" w:type="dxa"/>
            <w:vAlign w:val="bottom"/>
            <w:vMerge w:val="continue"/>
          </w:tcPr>
          <w:p>
            <w:pPr>
              <w:spacing w:after="0"/>
              <w:rPr>
                <w:sz w:val="9"/>
                <w:szCs w:val="9"/>
                <w:color w:val="auto"/>
              </w:rPr>
            </w:pPr>
          </w:p>
        </w:tc>
        <w:tc>
          <w:tcPr>
            <w:tcW w:w="3140" w:type="dxa"/>
            <w:vAlign w:val="bottom"/>
            <w:vMerge w:val="restart"/>
          </w:tcPr>
          <w:p>
            <w:pPr>
              <w:jc w:val="center"/>
              <w:ind w:left="114"/>
              <w:spacing w:after="0"/>
              <w:rPr>
                <w:sz w:val="20"/>
                <w:szCs w:val="20"/>
                <w:color w:val="auto"/>
              </w:rPr>
            </w:pPr>
            <w:r>
              <w:rPr>
                <w:rFonts w:ascii="Arial" w:cs="Arial" w:eastAsia="Arial" w:hAnsi="Arial"/>
                <w:sz w:val="16"/>
                <w:szCs w:val="16"/>
                <w:color w:val="auto"/>
                <w:w w:val="96"/>
              </w:rPr>
              <w:t>$6.12 in 2021</w:t>
            </w: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3580"/>
        <w:spacing w:after="0" w:line="257" w:lineRule="auto"/>
        <w:rPr>
          <w:sz w:val="20"/>
          <w:szCs w:val="20"/>
          <w:color w:val="auto"/>
        </w:rPr>
      </w:pPr>
      <w:r>
        <w:rPr>
          <w:rFonts w:ascii="Arial" w:cs="Arial" w:eastAsia="Arial" w:hAnsi="Arial"/>
          <w:sz w:val="16"/>
          <w:szCs w:val="16"/>
          <w:color w:val="auto"/>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r>
        <w:rPr>
          <w:rFonts w:ascii="Arial" w:cs="Arial" w:eastAsia="Arial" w:hAnsi="Arial"/>
          <w:sz w:val="16"/>
          <w:szCs w:val="16"/>
          <w:u w:val="single" w:color="auto"/>
          <w:color w:val="0000FF"/>
        </w:rPr>
        <w:t>Appendix 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49847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47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49847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151" w:lineRule="exact"/>
        <w:rPr>
          <w:sz w:val="20"/>
          <w:szCs w:val="20"/>
          <w:color w:val="auto"/>
        </w:rPr>
      </w:pPr>
    </w:p>
    <w:p>
      <w:pPr>
        <w:ind w:left="80"/>
        <w:spacing w:after="0"/>
        <w:rPr>
          <w:sz w:val="20"/>
          <w:szCs w:val="20"/>
          <w:color w:val="auto"/>
        </w:rPr>
      </w:pPr>
      <w:r>
        <w:rPr>
          <w:sz w:val="1"/>
          <w:szCs w:val="1"/>
          <w:color w:val="auto"/>
        </w:rPr>
        <w:drawing>
          <wp:inline distT="0" distB="0" distL="0" distR="0">
            <wp:extent cx="267335" cy="2673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335" cy="267335"/>
                    </a:xfrm>
                    <a:prstGeom prst="rect">
                      <a:avLst/>
                    </a:prstGeom>
                    <a:noFill/>
                    <a:ln>
                      <a:noFill/>
                    </a:ln>
                  </pic:spPr>
                </pic:pic>
              </a:graphicData>
            </a:graphic>
          </wp:inline>
        </w:drawing>
      </w:r>
      <w:r>
        <w:rPr>
          <w:rFonts w:ascii="Arial" w:cs="Arial" w:eastAsia="Arial" w:hAnsi="Arial"/>
          <w:sz w:val="22"/>
          <w:szCs w:val="22"/>
          <w:b w:val="1"/>
          <w:bCs w:val="1"/>
          <w:color w:val="auto"/>
        </w:rPr>
        <w:t xml:space="preserve"> 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49847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p>
      <w:pPr>
        <w:spacing w:after="0" w:line="102" w:lineRule="exact"/>
        <w:rPr>
          <w:sz w:val="20"/>
          <w:szCs w:val="20"/>
          <w:color w:val="auto"/>
        </w:rPr>
      </w:pPr>
    </w:p>
    <w:p>
      <w:pPr>
        <w:ind w:right="740"/>
        <w:spacing w:after="0" w:line="256" w:lineRule="auto"/>
        <w:rPr>
          <w:sz w:val="20"/>
          <w:szCs w:val="20"/>
          <w:color w:val="auto"/>
        </w:rPr>
      </w:pPr>
      <w:r>
        <w:rPr>
          <w:rFonts w:ascii="Arial" w:cs="Arial" w:eastAsia="Arial" w:hAnsi="Arial"/>
          <w:sz w:val="16"/>
          <w:szCs w:val="16"/>
          <w:color w:val="auto"/>
        </w:rPr>
        <w:t xml:space="preserve">Innovative collaboration to deliver </w:t>
      </w:r>
      <w:r>
        <w:rPr>
          <w:rFonts w:ascii="Arial" w:cs="Arial" w:eastAsia="Arial" w:hAnsi="Arial"/>
          <w:sz w:val="16"/>
          <w:szCs w:val="16"/>
          <w:b w:val="1"/>
          <w:bCs w:val="1"/>
          <w:color w:val="auto"/>
        </w:rPr>
        <w:t>high-quality,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affordable </w:t>
      </w:r>
      <w:r>
        <w:rPr>
          <w:rFonts w:ascii="Arial" w:cs="Arial" w:eastAsia="Arial" w:hAnsi="Arial"/>
          <w:sz w:val="16"/>
          <w:szCs w:val="16"/>
          <w:color w:val="auto"/>
        </w:rPr>
        <w:t>human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analogue </w:t>
      </w:r>
      <w:r>
        <w:rPr>
          <w:rFonts w:ascii="Arial" w:cs="Arial" w:eastAsia="Arial" w:hAnsi="Arial"/>
          <w:sz w:val="16"/>
          <w:szCs w:val="16"/>
          <w:b w:val="1"/>
          <w:bCs w:val="1"/>
          <w:color w:val="auto"/>
        </w:rPr>
        <w:t>insulin to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-429260</wp:posOffset>
            </wp:positionV>
            <wp:extent cx="207645" cy="326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7645" cy="326390"/>
                    </a:xfrm>
                    <a:prstGeom prst="rect">
                      <a:avLst/>
                    </a:prstGeom>
                    <a:noFill/>
                  </pic:spPr>
                </pic:pic>
              </a:graphicData>
            </a:graphic>
          </wp:anchor>
        </w:drawing>
      </w:r>
    </w:p>
    <w:p>
      <w:pPr>
        <w:spacing w:after="0" w:line="34"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color w:val="auto"/>
        </w:rPr>
        <w:t xml:space="preserve">least one million people </w:t>
      </w:r>
      <w:r>
        <w:rPr>
          <w:rFonts w:ascii="Arial" w:cs="Arial" w:eastAsia="Arial" w:hAnsi="Arial"/>
          <w:sz w:val="14"/>
          <w:szCs w:val="14"/>
          <w:color w:val="auto"/>
        </w:rPr>
        <w:t>living with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type 1 and type 2 diabetes </w:t>
      </w:r>
      <w:r>
        <w:rPr>
          <w:rFonts w:ascii="Arial" w:cs="Arial" w:eastAsia="Arial" w:hAnsi="Arial"/>
          <w:sz w:val="14"/>
          <w:szCs w:val="14"/>
          <w:b w:val="1"/>
          <w:bCs w:val="1"/>
          <w:color w:val="auto"/>
        </w:rPr>
        <w:t>in low- to</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b w:val="1"/>
          <w:bCs w:val="1"/>
          <w:color w:val="auto"/>
        </w:rPr>
        <w:t>middle-income countries</w:t>
      </w:r>
      <w:r>
        <w:rPr>
          <w:rFonts w:ascii="Arial" w:cs="Arial" w:eastAsia="Arial" w:hAnsi="Arial"/>
          <w:sz w:val="16"/>
          <w:szCs w:val="16"/>
          <w:color w:val="auto"/>
        </w:rPr>
        <w:t>, most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in Africa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left="140"/>
        <w:spacing w:after="0" w:line="258" w:lineRule="auto"/>
        <w:rPr>
          <w:sz w:val="20"/>
          <w:szCs w:val="20"/>
          <w:color w:val="auto"/>
        </w:rPr>
      </w:pPr>
      <w:r>
        <w:rPr>
          <w:rFonts w:ascii="Arial" w:cs="Arial" w:eastAsia="Arial" w:hAnsi="Arial"/>
          <w:sz w:val="16"/>
          <w:szCs w:val="16"/>
          <w:color w:val="auto"/>
        </w:rPr>
        <w:t>N</w:t>
      </w:r>
      <w:r>
        <w:rPr>
          <w:rFonts w:ascii="Arial" w:cs="Arial" w:eastAsia="Arial" w:hAnsi="Arial"/>
          <w:sz w:val="16"/>
          <w:szCs w:val="16"/>
          <w:b w:val="1"/>
          <w:bCs w:val="1"/>
          <w:color w:val="auto"/>
        </w:rPr>
        <w:t>ew solar parking canopy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Fegersheim, France </w:t>
      </w:r>
      <w:r>
        <w:rPr>
          <w:rFonts w:ascii="Arial" w:cs="Arial" w:eastAsia="Arial" w:hAnsi="Arial"/>
          <w:sz w:val="16"/>
          <w:szCs w:val="16"/>
          <w:color w:val="auto"/>
        </w:rPr>
        <w:t>capable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producing approximately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52B1E"/>
        </w:rPr>
        <w:t>4,200</w:t>
      </w:r>
    </w:p>
    <w:p>
      <w:pPr>
        <w:spacing w:after="0" w:line="46" w:lineRule="exact"/>
        <w:rPr>
          <w:sz w:val="20"/>
          <w:szCs w:val="20"/>
          <w:color w:val="auto"/>
        </w:rPr>
      </w:pPr>
    </w:p>
    <w:p>
      <w:pPr>
        <w:jc w:val="center"/>
        <w:spacing w:after="0" w:line="301" w:lineRule="auto"/>
        <w:rPr>
          <w:sz w:val="20"/>
          <w:szCs w:val="20"/>
          <w:color w:val="auto"/>
        </w:rPr>
      </w:pPr>
      <w:r>
        <w:rPr>
          <w:rFonts w:ascii="Arial" w:cs="Arial" w:eastAsia="Arial" w:hAnsi="Arial"/>
          <w:sz w:val="14"/>
          <w:szCs w:val="14"/>
          <w:color w:val="auto"/>
        </w:rPr>
        <w:t>megawatt-hours of electricity a year, progressing our 2030 goal to be carbon neutral in our own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46990</wp:posOffset>
            </wp:positionV>
            <wp:extent cx="49847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47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Achieved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-233045</wp:posOffset>
            </wp:positionV>
            <wp:extent cx="593725" cy="222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3725" cy="222250"/>
                    </a:xfrm>
                    <a:prstGeom prst="rect">
                      <a:avLst/>
                    </a:prstGeom>
                    <a:noFill/>
                  </pic:spPr>
                </pic:pic>
              </a:graphicData>
            </a:graphic>
          </wp:anchor>
        </w:drawing>
      </w:r>
    </w:p>
    <w:p>
      <w:pPr>
        <w:spacing w:after="0" w:line="2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D52B1E"/>
        </w:rPr>
        <w:t>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score for each of our </w:t>
      </w:r>
      <w:r>
        <w:rPr>
          <w:rFonts w:ascii="Arial" w:cs="Arial" w:eastAsia="Arial" w:hAnsi="Arial"/>
          <w:sz w:val="14"/>
          <w:szCs w:val="14"/>
          <w:b w:val="1"/>
          <w:bCs w:val="1"/>
          <w:color w:val="auto"/>
        </w:rPr>
        <w:t>climate and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2022 CDP submissions</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above the sector average</w:t>
      </w:r>
    </w:p>
    <w:p>
      <w:pPr>
        <w:spacing w:after="0" w:line="265" w:lineRule="exact"/>
        <w:rPr>
          <w:sz w:val="20"/>
          <w:szCs w:val="20"/>
          <w:color w:val="auto"/>
        </w:rPr>
      </w:pPr>
    </w:p>
    <w:p>
      <w:pPr>
        <w:sectPr>
          <w:pgSz w:w="11900" w:h="16838" w:orient="portrait"/>
          <w:cols w:equalWidth="0" w:num="3">
            <w:col w:w="2560" w:space="220"/>
            <w:col w:w="2520" w:space="80"/>
            <w:col w:w="5840"/>
          </w:cols>
          <w:pgMar w:left="320" w:top="853" w:right="359" w:bottom="1440" w:gutter="0" w:footer="0" w:header="0"/>
          <w:type w:val="continuous"/>
        </w:sectPr>
      </w:pPr>
    </w:p>
    <w:p>
      <w:pPr>
        <w:ind w:left="1600"/>
        <w:spacing w:after="0"/>
        <w:rPr>
          <w:sz w:val="20"/>
          <w:szCs w:val="20"/>
          <w:color w:val="auto"/>
        </w:rPr>
      </w:pPr>
      <w:r>
        <w:rPr>
          <w:rFonts w:ascii="Arial" w:cs="Arial" w:eastAsia="Arial" w:hAnsi="Arial"/>
          <w:sz w:val="17"/>
          <w:szCs w:val="17"/>
          <w:b w:val="1"/>
          <w:bCs w:val="1"/>
          <w:color w:val="929292"/>
        </w:rPr>
        <w:t>Racial Justice Pledge Progress From 2020 through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jc w:val="right"/>
              <w:ind w:right="876"/>
              <w:spacing w:after="0"/>
              <w:rPr>
                <w:sz w:val="20"/>
                <w:szCs w:val="20"/>
                <w:color w:val="auto"/>
              </w:rPr>
            </w:pPr>
            <w:r>
              <w:rPr>
                <w:rFonts w:ascii="Arial" w:cs="Arial" w:eastAsia="Arial" w:hAnsi="Arial"/>
                <w:sz w:val="22"/>
                <w:szCs w:val="22"/>
                <w:b w:val="1"/>
                <w:bCs w:val="1"/>
                <w:color w:val="EE2724"/>
              </w:rPr>
              <w:t>30,000+</w:t>
            </w:r>
          </w:p>
        </w:tc>
        <w:tc>
          <w:tcPr>
            <w:tcW w:w="2480" w:type="dxa"/>
            <w:vAlign w:val="bottom"/>
          </w:tcPr>
          <w:p>
            <w:pPr>
              <w:ind w:left="900"/>
              <w:spacing w:after="0"/>
              <w:rPr>
                <w:sz w:val="20"/>
                <w:szCs w:val="20"/>
                <w:color w:val="auto"/>
              </w:rPr>
            </w:pPr>
            <w:r>
              <w:rPr>
                <w:rFonts w:ascii="Arial" w:cs="Arial" w:eastAsia="Arial" w:hAnsi="Arial"/>
                <w:sz w:val="22"/>
                <w:szCs w:val="22"/>
                <w:b w:val="1"/>
                <w:bCs w:val="1"/>
                <w:color w:val="EE2724"/>
              </w:rPr>
              <w:t>$214.7M</w:t>
            </w:r>
          </w:p>
        </w:tc>
        <w:tc>
          <w:tcPr>
            <w:tcW w:w="2680" w:type="dxa"/>
            <w:vAlign w:val="bottom"/>
          </w:tcPr>
          <w:p>
            <w:pPr>
              <w:jc w:val="right"/>
              <w:ind w:right="996"/>
              <w:spacing w:after="0"/>
              <w:rPr>
                <w:sz w:val="20"/>
                <w:szCs w:val="20"/>
                <w:color w:val="auto"/>
              </w:rPr>
            </w:pPr>
            <w:r>
              <w:rPr>
                <w:rFonts w:ascii="Arial" w:cs="Arial" w:eastAsia="Arial" w:hAnsi="Arial"/>
                <w:sz w:val="22"/>
                <w:szCs w:val="22"/>
                <w:b w:val="1"/>
                <w:bCs w:val="1"/>
                <w:color w:val="EE2724"/>
              </w:rPr>
              <w:t>70+</w:t>
            </w:r>
          </w:p>
        </w:tc>
      </w:tr>
      <w:tr>
        <w:trPr>
          <w:trHeight w:val="177"/>
        </w:trPr>
        <w:tc>
          <w:tcPr>
            <w:tcW w:w="268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7"/>
              </w:rPr>
              <w:t>volunteer hours</w:t>
            </w:r>
          </w:p>
        </w:tc>
        <w:tc>
          <w:tcPr>
            <w:tcW w:w="2480" w:type="dxa"/>
            <w:vAlign w:val="bottom"/>
          </w:tcPr>
          <w:p>
            <w:pPr>
              <w:jc w:val="center"/>
              <w:ind w:left="156"/>
              <w:spacing w:after="0" w:line="178" w:lineRule="exact"/>
              <w:rPr>
                <w:sz w:val="20"/>
                <w:szCs w:val="20"/>
                <w:color w:val="auto"/>
              </w:rPr>
            </w:pPr>
            <w:r>
              <w:rPr>
                <w:rFonts w:ascii="Arial" w:cs="Arial" w:eastAsia="Arial" w:hAnsi="Arial"/>
                <w:sz w:val="16"/>
                <w:szCs w:val="16"/>
                <w:b w:val="1"/>
                <w:bCs w:val="1"/>
                <w:color w:val="auto"/>
                <w:w w:val="98"/>
              </w:rPr>
              <w:t>increase</w:t>
            </w:r>
          </w:p>
        </w:tc>
        <w:tc>
          <w:tcPr>
            <w:tcW w:w="2680" w:type="dxa"/>
            <w:vAlign w:val="bottom"/>
          </w:tcPr>
          <w:p>
            <w:pPr>
              <w:jc w:val="center"/>
              <w:ind w:left="116"/>
              <w:spacing w:after="0" w:line="178" w:lineRule="exact"/>
              <w:rPr>
                <w:sz w:val="20"/>
                <w:szCs w:val="20"/>
                <w:color w:val="auto"/>
              </w:rPr>
            </w:pPr>
            <w:r>
              <w:rPr>
                <w:rFonts w:ascii="Arial" w:cs="Arial" w:eastAsia="Arial" w:hAnsi="Arial"/>
                <w:sz w:val="16"/>
                <w:szCs w:val="16"/>
                <w:b w:val="1"/>
                <w:bCs w:val="1"/>
                <w:color w:val="auto"/>
                <w:w w:val="97"/>
              </w:rPr>
              <w:t>apprentices</w:t>
            </w:r>
          </w:p>
        </w:tc>
      </w:tr>
      <w:tr>
        <w:trPr>
          <w:trHeight w:val="187"/>
        </w:trPr>
        <w:tc>
          <w:tcPr>
            <w:tcW w:w="2680" w:type="dxa"/>
            <w:vAlign w:val="bottom"/>
          </w:tcPr>
          <w:p>
            <w:pPr>
              <w:jc w:val="center"/>
              <w:spacing w:after="0"/>
              <w:rPr>
                <w:sz w:val="20"/>
                <w:szCs w:val="20"/>
                <w:color w:val="auto"/>
              </w:rPr>
            </w:pPr>
            <w:r>
              <w:rPr>
                <w:rFonts w:ascii="Arial" w:cs="Arial" w:eastAsia="Arial" w:hAnsi="Arial"/>
                <w:sz w:val="16"/>
                <w:szCs w:val="16"/>
                <w:color w:val="auto"/>
                <w:w w:val="97"/>
              </w:rPr>
              <w:t>served by employees to</w:t>
            </w:r>
          </w:p>
        </w:tc>
        <w:tc>
          <w:tcPr>
            <w:tcW w:w="2480" w:type="dxa"/>
            <w:vAlign w:val="bottom"/>
          </w:tcPr>
          <w:p>
            <w:pPr>
              <w:jc w:val="center"/>
              <w:ind w:left="176"/>
              <w:spacing w:after="0"/>
              <w:rPr>
                <w:sz w:val="20"/>
                <w:szCs w:val="20"/>
                <w:color w:val="auto"/>
              </w:rPr>
            </w:pPr>
            <w:r>
              <w:rPr>
                <w:rFonts w:ascii="Arial" w:cs="Arial" w:eastAsia="Arial" w:hAnsi="Arial"/>
                <w:sz w:val="16"/>
                <w:szCs w:val="16"/>
                <w:color w:val="auto"/>
                <w:w w:val="97"/>
              </w:rPr>
              <w:t>in Black Business</w:t>
            </w:r>
          </w:p>
        </w:tc>
        <w:tc>
          <w:tcPr>
            <w:tcW w:w="2680" w:type="dxa"/>
            <w:vAlign w:val="bottom"/>
          </w:tcPr>
          <w:p>
            <w:pPr>
              <w:jc w:val="center"/>
              <w:ind w:left="136"/>
              <w:spacing w:after="0"/>
              <w:rPr>
                <w:sz w:val="20"/>
                <w:szCs w:val="20"/>
                <w:color w:val="auto"/>
              </w:rPr>
            </w:pPr>
            <w:r>
              <w:rPr>
                <w:rFonts w:ascii="Arial" w:cs="Arial" w:eastAsia="Arial" w:hAnsi="Arial"/>
                <w:sz w:val="16"/>
                <w:szCs w:val="16"/>
                <w:color w:val="auto"/>
                <w:w w:val="97"/>
              </w:rPr>
              <w:t>from underrepresented groups</w:t>
            </w:r>
          </w:p>
        </w:tc>
      </w:tr>
      <w:tr>
        <w:trPr>
          <w:trHeight w:val="187"/>
        </w:trPr>
        <w:tc>
          <w:tcPr>
            <w:tcW w:w="2680" w:type="dxa"/>
            <w:vAlign w:val="bottom"/>
          </w:tcPr>
          <w:p>
            <w:pPr>
              <w:jc w:val="center"/>
              <w:spacing w:after="0"/>
              <w:rPr>
                <w:sz w:val="20"/>
                <w:szCs w:val="20"/>
                <w:color w:val="auto"/>
              </w:rPr>
            </w:pPr>
            <w:r>
              <w:rPr>
                <w:rFonts w:ascii="Arial" w:cs="Arial" w:eastAsia="Arial" w:hAnsi="Arial"/>
                <w:sz w:val="16"/>
                <w:szCs w:val="16"/>
                <w:color w:val="auto"/>
                <w:w w:val="96"/>
              </w:rPr>
              <w:t>advance racial justice</w:t>
            </w:r>
          </w:p>
        </w:tc>
        <w:tc>
          <w:tcPr>
            <w:tcW w:w="2480" w:type="dxa"/>
            <w:vAlign w:val="bottom"/>
          </w:tcPr>
          <w:p>
            <w:pPr>
              <w:jc w:val="center"/>
              <w:ind w:left="176"/>
              <w:spacing w:after="0"/>
              <w:rPr>
                <w:sz w:val="20"/>
                <w:szCs w:val="20"/>
                <w:color w:val="auto"/>
              </w:rPr>
            </w:pPr>
            <w:r>
              <w:rPr>
                <w:rFonts w:ascii="Arial" w:cs="Arial" w:eastAsia="Arial" w:hAnsi="Arial"/>
                <w:sz w:val="16"/>
                <w:szCs w:val="16"/>
                <w:color w:val="auto"/>
                <w:w w:val="97"/>
              </w:rPr>
              <w:t>Enterprises spend; 150%</w:t>
            </w:r>
          </w:p>
        </w:tc>
        <w:tc>
          <w:tcPr>
            <w:tcW w:w="2680" w:type="dxa"/>
            <w:vAlign w:val="bottom"/>
          </w:tcPr>
          <w:p>
            <w:pPr>
              <w:jc w:val="center"/>
              <w:ind w:left="116"/>
              <w:spacing w:after="0"/>
              <w:rPr>
                <w:sz w:val="20"/>
                <w:szCs w:val="20"/>
                <w:color w:val="auto"/>
              </w:rPr>
            </w:pPr>
            <w:r>
              <w:rPr>
                <w:rFonts w:ascii="Arial" w:cs="Arial" w:eastAsia="Arial" w:hAnsi="Arial"/>
                <w:sz w:val="16"/>
                <w:szCs w:val="16"/>
                <w:color w:val="auto"/>
                <w:w w:val="97"/>
              </w:rPr>
              <w:t>trained for family sustaining jobs at</w:t>
            </w:r>
          </w:p>
        </w:tc>
      </w:tr>
      <w:tr>
        <w:trPr>
          <w:trHeight w:val="209"/>
        </w:trPr>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initiatives since 2020</w:t>
            </w:r>
          </w:p>
        </w:tc>
        <w:tc>
          <w:tcPr>
            <w:tcW w:w="2480" w:type="dxa"/>
            <w:vAlign w:val="bottom"/>
            <w:tcBorders>
              <w:bottom w:val="single" w:sz="8" w:color="auto"/>
            </w:tcBorders>
          </w:tcPr>
          <w:p>
            <w:pPr>
              <w:jc w:val="center"/>
              <w:ind w:left="156"/>
              <w:spacing w:after="0"/>
              <w:rPr>
                <w:sz w:val="20"/>
                <w:szCs w:val="20"/>
                <w:color w:val="auto"/>
              </w:rPr>
            </w:pPr>
            <w:r>
              <w:rPr>
                <w:rFonts w:ascii="Arial" w:cs="Arial" w:eastAsia="Arial" w:hAnsi="Arial"/>
                <w:sz w:val="16"/>
                <w:szCs w:val="16"/>
                <w:color w:val="auto"/>
                <w:w w:val="96"/>
              </w:rPr>
              <w:t>increase over 2020</w:t>
            </w:r>
          </w:p>
        </w:tc>
        <w:tc>
          <w:tcPr>
            <w:tcW w:w="2680" w:type="dxa"/>
            <w:vAlign w:val="bottom"/>
            <w:tcBorders>
              <w:bottom w:val="single" w:sz="8" w:color="auto"/>
            </w:tcBorders>
          </w:tcPr>
          <w:p>
            <w:pPr>
              <w:jc w:val="center"/>
              <w:ind w:left="116"/>
              <w:spacing w:after="0"/>
              <w:rPr>
                <w:sz w:val="20"/>
                <w:szCs w:val="20"/>
                <w:color w:val="auto"/>
              </w:rPr>
            </w:pPr>
            <w:r>
              <w:rPr>
                <w:rFonts w:ascii="Arial" w:cs="Arial" w:eastAsia="Arial" w:hAnsi="Arial"/>
                <w:sz w:val="16"/>
                <w:szCs w:val="16"/>
                <w:color w:val="auto"/>
                <w:w w:val="96"/>
              </w:rPr>
              <w:t>Lilly without a four-year degree</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 additional information on our Racial Justice Pledge and progress see “</w:t>
      </w:r>
      <w:r>
        <w:rPr>
          <w:rFonts w:ascii="Arial" w:cs="Arial" w:eastAsia="Arial" w:hAnsi="Arial"/>
          <w:sz w:val="12"/>
          <w:szCs w:val="12"/>
          <w:u w:val="single" w:color="auto"/>
          <w:color w:val="0000FF"/>
        </w:rPr>
        <w:t>Governance</w:t>
      </w:r>
      <w:r>
        <w:rPr>
          <w:rFonts w:ascii="Arial" w:cs="Arial" w:eastAsia="Arial" w:hAnsi="Arial"/>
          <w:sz w:val="15"/>
          <w:szCs w:val="15"/>
          <w:u w:val="single" w:color="auto"/>
          <w:color w:val="0000FF"/>
        </w:rPr>
        <w:t>—</w:t>
      </w:r>
      <w:r>
        <w:rPr>
          <w:rFonts w:ascii="Arial" w:cs="Arial" w:eastAsia="Arial" w:hAnsi="Arial"/>
          <w:sz w:val="12"/>
          <w:szCs w:val="12"/>
          <w:u w:val="single" w:color="auto"/>
          <w:color w:val="0000FF"/>
        </w:rPr>
        <w:t>How We Operate an Effective Board</w:t>
      </w:r>
      <w:r>
        <w:rPr>
          <w:rFonts w:ascii="Arial" w:cs="Arial" w:eastAsia="Arial" w:hAnsi="Arial"/>
          <w:sz w:val="15"/>
          <w:szCs w:val="15"/>
          <w:u w:val="single" w:color="auto"/>
          <w:color w:val="0000FF"/>
        </w:rPr>
        <w:t>—</w:t>
      </w:r>
      <w:r>
        <w:rPr>
          <w:rFonts w:ascii="Arial" w:cs="Arial" w:eastAsia="Arial" w:hAnsi="Arial"/>
          <w:sz w:val="12"/>
          <w:szCs w:val="12"/>
          <w:u w:val="single" w:color="auto"/>
          <w:color w:val="0000FF"/>
        </w:rPr>
        <w:t>Governance Practices</w:t>
      </w:r>
      <w:r>
        <w:rPr>
          <w:rFonts w:ascii="Arial" w:cs="Arial" w:eastAsia="Arial" w:hAnsi="Arial"/>
          <w:sz w:val="15"/>
          <w:szCs w:val="15"/>
          <w:u w:val="single" w:color="auto"/>
          <w:color w:val="0000FF"/>
        </w:rPr>
        <w:t>—</w:t>
      </w:r>
      <w:r>
        <w:rPr>
          <w:rFonts w:ascii="Arial" w:cs="Arial" w:eastAsia="Arial" w:hAnsi="Arial"/>
          <w:sz w:val="12"/>
          <w:szCs w:val="12"/>
          <w:u w:val="single" w:color="auto"/>
          <w:color w:val="0000FF"/>
        </w:rPr>
        <w:t>Human Capital Management</w:t>
      </w:r>
      <w:r>
        <w:rPr>
          <w:rFonts w:ascii="Arial" w:cs="Arial" w:eastAsia="Arial" w:hAnsi="Arial"/>
          <w:sz w:val="12"/>
          <w:szCs w:val="12"/>
          <w:color w:val="auto"/>
        </w:rPr>
        <w: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6" w:name="page7"/>
    <w:bookmarkEnd w:id="6"/>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198755</wp:posOffset>
            </wp:positionH>
            <wp:positionV relativeFrom="page">
              <wp:posOffset>890270</wp:posOffset>
            </wp:positionV>
            <wp:extent cx="49847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4750" cy="7620"/>
                    </a:xfrm>
                    <a:prstGeom prst="rect">
                      <a:avLst/>
                    </a:prstGeom>
                    <a:noFill/>
                  </pic:spPr>
                </pic:pic>
              </a:graphicData>
            </a:graphic>
          </wp:anchor>
        </w:drawing>
        <w:drawing>
          <wp:inline distT="0" distB="0" distL="0" distR="0">
            <wp:extent cx="348615" cy="3187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615" cy="318770"/>
                    </a:xfrm>
                    <a:prstGeom prst="rect">
                      <a:avLst/>
                    </a:prstGeom>
                    <a:noFill/>
                    <a:ln>
                      <a:noFill/>
                    </a:ln>
                  </pic:spPr>
                </pic:pic>
              </a:graphicData>
            </a:graphic>
          </wp:inline>
        </w:drawing>
      </w:r>
      <w:r>
        <w:rPr>
          <w:rFonts w:ascii="Arial" w:cs="Arial" w:eastAsia="Arial" w:hAnsi="Arial"/>
          <w:sz w:val="21"/>
          <w:szCs w:val="21"/>
          <w:b w:val="1"/>
          <w:bCs w:val="1"/>
          <w:color w:val="auto"/>
        </w:rPr>
        <w:t xml:space="preserve"> Innovation Pipeline and Other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498475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4750" cy="170815"/>
                    </a:xfrm>
                    <a:prstGeom prst="rect">
                      <a:avLst/>
                    </a:prstGeom>
                    <a:noFill/>
                  </pic:spPr>
                </pic:pic>
              </a:graphicData>
            </a:graphic>
          </wp:anchor>
        </w:drawing>
      </w:r>
    </w:p>
    <w:p>
      <w:pPr>
        <w:spacing w:after="0" w:line="78"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929292"/>
        </w:rPr>
        <w:t>New Indications</w:t>
      </w:r>
    </w:p>
    <w:p>
      <w:pPr>
        <w:sectPr>
          <w:pgSz w:w="11900" w:h="16838" w:orient="portrait"/>
          <w:cols w:equalWidth="0" w:num="1">
            <w:col w:w="10139"/>
          </w:cols>
          <w:pgMar w:left="320" w:top="1368" w:right="1440"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U.S. approval </w:t>
      </w:r>
      <w:r>
        <w:rPr>
          <w:rFonts w:ascii="Arial" w:cs="Arial" w:eastAsia="Arial" w:hAnsi="Arial"/>
          <w:sz w:val="15"/>
          <w:szCs w:val="15"/>
          <w:color w:val="auto"/>
        </w:rPr>
        <w:t>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Mounjaro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(tirzepatide), the first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and only GIP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GLP-1 receptor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agonist, </w:t>
      </w:r>
      <w:r>
        <w:rPr>
          <w:rFonts w:ascii="Arial" w:cs="Arial" w:eastAsia="Arial" w:hAnsi="Arial"/>
          <w:sz w:val="16"/>
          <w:szCs w:val="16"/>
          <w:b w:val="1"/>
          <w:bCs w:val="1"/>
          <w:color w:val="auto"/>
        </w:rPr>
        <w:t>for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treatment of adults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 type 2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106045</wp:posOffset>
            </wp:positionV>
            <wp:extent cx="875030" cy="526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5030" cy="526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collaboration with Boehringer Ingelheim International GmbH,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approval </w:t>
      </w:r>
      <w:r>
        <w:rPr>
          <w:rFonts w:ascii="Arial" w:cs="Arial" w:eastAsia="Arial" w:hAnsi="Arial"/>
          <w:sz w:val="16"/>
          <w:szCs w:val="16"/>
          <w:color w:val="auto"/>
        </w:rPr>
        <w:t>of a new indication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Jardiance (empagliflozin) to treat </w:t>
      </w:r>
      <w:r>
        <w:rPr>
          <w:rFonts w:ascii="Arial" w:cs="Arial" w:eastAsia="Arial" w:hAnsi="Arial"/>
          <w:sz w:val="16"/>
          <w:szCs w:val="16"/>
          <w:b w:val="1"/>
          <w:bCs w:val="1"/>
          <w:color w:val="auto"/>
        </w:rPr>
        <w:t>adults with heart failure</w:t>
      </w:r>
      <w:r>
        <w:rPr>
          <w:rFonts w:ascii="Arial" w:cs="Arial" w:eastAsia="Arial" w:hAnsi="Arial"/>
          <w:sz w:val="16"/>
          <w:szCs w:val="16"/>
          <w:color w:val="auto"/>
        </w:rPr>
        <w:t xml:space="preserve"> </w:t>
      </w:r>
      <w:r>
        <w:rPr>
          <w:rFonts w:ascii="Arial" w:cs="Arial" w:eastAsia="Arial" w:hAnsi="Arial"/>
          <w:sz w:val="16"/>
          <w:szCs w:val="16"/>
          <w:b w:val="1"/>
          <w:bCs w:val="1"/>
          <w:color w:val="auto"/>
        </w:rPr>
        <w:t>regardless of left ventricular ejection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-1634490</wp:posOffset>
            </wp:positionV>
            <wp:extent cx="1320165" cy="578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165"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92" w:lineRule="auto"/>
        <w:rPr>
          <w:sz w:val="20"/>
          <w:szCs w:val="20"/>
          <w:color w:val="auto"/>
        </w:rPr>
      </w:pPr>
      <w:r>
        <w:rPr>
          <w:rFonts w:ascii="Arial" w:cs="Arial" w:eastAsia="Arial" w:hAnsi="Arial"/>
          <w:sz w:val="14"/>
          <w:szCs w:val="14"/>
          <w:b w:val="1"/>
          <w:bCs w:val="1"/>
          <w:color w:val="auto"/>
        </w:rPr>
        <w:t xml:space="preserve">U.S. approval </w:t>
      </w:r>
      <w:r>
        <w:rPr>
          <w:rFonts w:ascii="Arial" w:cs="Arial" w:eastAsia="Arial" w:hAnsi="Arial"/>
          <w:sz w:val="14"/>
          <w:szCs w:val="14"/>
          <w:color w:val="auto"/>
        </w:rPr>
        <w:t>of Retevmo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(selpercatinib), the </w:t>
      </w:r>
      <w:r>
        <w:rPr>
          <w:rFonts w:ascii="Arial" w:cs="Arial" w:eastAsia="Arial" w:hAnsi="Arial"/>
          <w:sz w:val="14"/>
          <w:szCs w:val="14"/>
          <w:b w:val="1"/>
          <w:bCs w:val="1"/>
          <w:color w:val="auto"/>
        </w:rPr>
        <w:t>first and</w:t>
      </w:r>
      <w:r>
        <w:rPr>
          <w:rFonts w:ascii="Arial" w:cs="Arial" w:eastAsia="Arial" w:hAnsi="Arial"/>
          <w:sz w:val="14"/>
          <w:szCs w:val="14"/>
          <w:color w:val="auto"/>
        </w:rPr>
        <w:t xml:space="preserve"> </w:t>
      </w:r>
      <w:r>
        <w:rPr>
          <w:rFonts w:ascii="Arial" w:cs="Arial" w:eastAsia="Arial" w:hAnsi="Arial"/>
          <w:sz w:val="14"/>
          <w:szCs w:val="14"/>
          <w:b w:val="1"/>
          <w:bCs w:val="1"/>
          <w:color w:val="auto"/>
        </w:rPr>
        <w:t>only RET inhibitor for adults with advanced or metastatic solid tumors with a RET gene fusion, regardless of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883285</wp:posOffset>
            </wp:positionV>
            <wp:extent cx="4984750"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4750" cy="1708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260350</wp:posOffset>
            </wp:positionV>
            <wp:extent cx="1223645" cy="45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23645" cy="459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 collaboration with Incyte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-915670</wp:posOffset>
            </wp:positionV>
            <wp:extent cx="1186815" cy="645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86815" cy="645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Corporation, </w:t>
      </w:r>
      <w:r>
        <w:rPr>
          <w:rFonts w:ascii="Arial" w:cs="Arial" w:eastAsia="Arial" w:hAnsi="Arial"/>
          <w:sz w:val="14"/>
          <w:szCs w:val="14"/>
          <w:b w:val="1"/>
          <w:bCs w:val="1"/>
          <w:color w:val="auto"/>
        </w:rPr>
        <w:t>U.S. approval</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of Olumiant (baricitinib) as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first-in-disease systemic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treatment for adults with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severe alopecia areata</w:t>
      </w:r>
    </w:p>
    <w:p>
      <w:pPr>
        <w:spacing w:after="0" w:line="252" w:lineRule="exact"/>
        <w:rPr>
          <w:sz w:val="20"/>
          <w:szCs w:val="20"/>
          <w:color w:val="auto"/>
        </w:rPr>
      </w:pPr>
    </w:p>
    <w:p>
      <w:pPr>
        <w:sectPr>
          <w:pgSz w:w="11900" w:h="16838" w:orient="portrait"/>
          <w:cols w:equalWidth="0" w:num="4">
            <w:col w:w="1480" w:space="100"/>
            <w:col w:w="2120" w:space="80"/>
            <w:col w:w="1940" w:space="60"/>
            <w:col w:w="4359"/>
          </w:cols>
          <w:pgMar w:left="320" w:top="1368" w:right="1440" w:bottom="1440" w:gutter="0" w:footer="0" w:header="0"/>
          <w:type w:val="continuous"/>
        </w:sectPr>
      </w:pPr>
    </w:p>
    <w:p>
      <w:pPr>
        <w:ind w:left="3140"/>
        <w:spacing w:after="0"/>
        <w:rPr>
          <w:sz w:val="20"/>
          <w:szCs w:val="20"/>
          <w:color w:val="auto"/>
        </w:rPr>
      </w:pPr>
      <w:r>
        <w:rPr>
          <w:rFonts w:ascii="Arial" w:cs="Arial" w:eastAsia="Arial" w:hAnsi="Arial"/>
          <w:sz w:val="17"/>
          <w:szCs w:val="17"/>
          <w:b w:val="1"/>
          <w:bCs w:val="1"/>
          <w:color w:val="929292"/>
        </w:rPr>
        <w:t>Key Data Readouts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announced several key data readouts in 2022, including:</w:t>
      </w:r>
    </w:p>
    <w:p>
      <w:pPr>
        <w:spacing w:after="0" w:line="141" w:lineRule="exact"/>
        <w:rPr>
          <w:sz w:val="20"/>
          <w:szCs w:val="20"/>
          <w:color w:val="auto"/>
        </w:rPr>
      </w:pPr>
    </w:p>
    <w:p>
      <w:pPr>
        <w:ind w:left="420" w:right="2419" w:hanging="271"/>
        <w:spacing w:after="0" w:line="253" w:lineRule="auto"/>
        <w:tabs>
          <w:tab w:leader="none" w:pos="410" w:val="left"/>
        </w:tabs>
        <w:numPr>
          <w:ilvl w:val="0"/>
          <w:numId w:val="4"/>
        </w:numPr>
        <w:rPr>
          <w:rFonts w:ascii="Arial" w:cs="Arial" w:eastAsia="Arial" w:hAnsi="Arial"/>
          <w:sz w:val="14"/>
          <w:szCs w:val="14"/>
          <w:color w:val="auto"/>
        </w:rPr>
      </w:pPr>
      <w:r>
        <w:rPr>
          <w:rFonts w:ascii="Arial" w:cs="Arial" w:eastAsia="Arial" w:hAnsi="Arial"/>
          <w:sz w:val="16"/>
          <w:szCs w:val="16"/>
          <w:b w:val="1"/>
          <w:bCs w:val="1"/>
          <w:color w:val="auto"/>
        </w:rPr>
        <w:t xml:space="preserve">Positive </w:t>
      </w:r>
      <w:r>
        <w:rPr>
          <w:rFonts w:ascii="Arial" w:cs="Arial" w:eastAsia="Arial" w:hAnsi="Arial"/>
          <w:sz w:val="16"/>
          <w:szCs w:val="16"/>
          <w:color w:val="auto"/>
        </w:rPr>
        <w:t>results from</w:t>
      </w:r>
      <w:r>
        <w:rPr>
          <w:rFonts w:ascii="Arial" w:cs="Arial" w:eastAsia="Arial" w:hAnsi="Arial"/>
          <w:sz w:val="16"/>
          <w:szCs w:val="16"/>
          <w:b w:val="1"/>
          <w:bCs w:val="1"/>
          <w:color w:val="auto"/>
        </w:rPr>
        <w:t xml:space="preserve"> tirzepatide’s </w:t>
      </w:r>
      <w:r>
        <w:rPr>
          <w:rFonts w:ascii="Arial" w:cs="Arial" w:eastAsia="Arial" w:hAnsi="Arial"/>
          <w:sz w:val="16"/>
          <w:szCs w:val="16"/>
          <w:color w:val="auto"/>
        </w:rPr>
        <w:t>Phase III SURMOUNT-1 study evaluating the</w:t>
      </w:r>
      <w:r>
        <w:rPr>
          <w:rFonts w:ascii="Arial" w:cs="Arial" w:eastAsia="Arial" w:hAnsi="Arial"/>
          <w:sz w:val="16"/>
          <w:szCs w:val="16"/>
          <w:b w:val="1"/>
          <w:bCs w:val="1"/>
          <w:color w:val="auto"/>
        </w:rPr>
        <w:t xml:space="preserve"> efficacy and safety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tirzepatide compared to placebo </w:t>
      </w:r>
      <w:r>
        <w:rPr>
          <w:rFonts w:ascii="Arial" w:cs="Arial" w:eastAsia="Arial" w:hAnsi="Arial"/>
          <w:sz w:val="16"/>
          <w:szCs w:val="16"/>
          <w:b w:val="1"/>
          <w:bCs w:val="1"/>
          <w:color w:val="auto"/>
        </w:rPr>
        <w:t>in adults with obesity</w:t>
      </w:r>
      <w:r>
        <w:rPr>
          <w:rFonts w:ascii="Arial" w:cs="Arial" w:eastAsia="Arial" w:hAnsi="Arial"/>
          <w:sz w:val="16"/>
          <w:szCs w:val="16"/>
          <w:color w:val="auto"/>
        </w:rPr>
        <w:t xml:space="preserve">. We received </w:t>
      </w:r>
      <w:r>
        <w:rPr>
          <w:rFonts w:ascii="Arial" w:cs="Arial" w:eastAsia="Arial" w:hAnsi="Arial"/>
          <w:sz w:val="16"/>
          <w:szCs w:val="16"/>
          <w:b w:val="1"/>
          <w:bCs w:val="1"/>
          <w:color w:val="auto"/>
        </w:rPr>
        <w:t>U.S. FDA Fast Track</w:t>
      </w:r>
      <w:r>
        <w:rPr>
          <w:rFonts w:ascii="Arial" w:cs="Arial" w:eastAsia="Arial" w:hAnsi="Arial"/>
          <w:sz w:val="16"/>
          <w:szCs w:val="16"/>
          <w:color w:val="auto"/>
        </w:rPr>
        <w:t xml:space="preserve"> designation and initiated a rolling submission that will be based primarily on these results and those of SURMOUNT-2, which is expected to complete in the first half of 2023;</w:t>
      </w:r>
    </w:p>
    <w:p>
      <w:pPr>
        <w:spacing w:after="0" w:line="111" w:lineRule="exact"/>
        <w:rPr>
          <w:rFonts w:ascii="Arial" w:cs="Arial" w:eastAsia="Arial" w:hAnsi="Arial"/>
          <w:sz w:val="14"/>
          <w:szCs w:val="14"/>
          <w:color w:val="auto"/>
        </w:rPr>
      </w:pPr>
    </w:p>
    <w:p>
      <w:pPr>
        <w:ind w:left="420" w:right="2459" w:hanging="271"/>
        <w:spacing w:after="0" w:line="359" w:lineRule="auto"/>
        <w:tabs>
          <w:tab w:leader="none" w:pos="410" w:val="left"/>
        </w:tabs>
        <w:numPr>
          <w:ilvl w:val="0"/>
          <w:numId w:val="4"/>
        </w:numPr>
        <w:rPr>
          <w:rFonts w:ascii="Arial" w:cs="Arial" w:eastAsia="Arial" w:hAnsi="Arial"/>
          <w:sz w:val="13"/>
          <w:szCs w:val="13"/>
          <w:color w:val="auto"/>
        </w:rPr>
      </w:pPr>
      <w:r>
        <w:rPr>
          <w:rFonts w:ascii="Arial" w:cs="Arial" w:eastAsia="Arial" w:hAnsi="Arial"/>
          <w:sz w:val="14"/>
          <w:szCs w:val="14"/>
          <w:b w:val="1"/>
          <w:bCs w:val="1"/>
          <w:color w:val="auto"/>
        </w:rPr>
        <w:t xml:space="preserve">Positive </w:t>
      </w:r>
      <w:r>
        <w:rPr>
          <w:rFonts w:ascii="Arial" w:cs="Arial" w:eastAsia="Arial" w:hAnsi="Arial"/>
          <w:sz w:val="14"/>
          <w:szCs w:val="14"/>
          <w:color w:val="auto"/>
        </w:rPr>
        <w:t>results from two studies of</w:t>
      </w:r>
      <w:r>
        <w:rPr>
          <w:rFonts w:ascii="Arial" w:cs="Arial" w:eastAsia="Arial" w:hAnsi="Arial"/>
          <w:sz w:val="14"/>
          <w:szCs w:val="14"/>
          <w:b w:val="1"/>
          <w:bCs w:val="1"/>
          <w:color w:val="auto"/>
        </w:rPr>
        <w:t xml:space="preserve"> lebrikizumab’s </w:t>
      </w:r>
      <w:r>
        <w:rPr>
          <w:rFonts w:ascii="Arial" w:cs="Arial" w:eastAsia="Arial" w:hAnsi="Arial"/>
          <w:sz w:val="14"/>
          <w:szCs w:val="14"/>
          <w:color w:val="auto"/>
        </w:rPr>
        <w:t>Phase III programs evaluating the efficacy and safety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lebrikizumab in </w:t>
      </w:r>
      <w:r>
        <w:rPr>
          <w:rFonts w:ascii="Arial" w:cs="Arial" w:eastAsia="Arial" w:hAnsi="Arial"/>
          <w:sz w:val="14"/>
          <w:szCs w:val="14"/>
          <w:b w:val="1"/>
          <w:bCs w:val="1"/>
          <w:color w:val="auto"/>
        </w:rPr>
        <w:t>people with moderate-to-severe atopic dermatitis</w:t>
      </w:r>
      <w:r>
        <w:rPr>
          <w:rFonts w:ascii="Arial" w:cs="Arial" w:eastAsia="Arial" w:hAnsi="Arial"/>
          <w:sz w:val="14"/>
          <w:szCs w:val="14"/>
          <w:color w:val="auto"/>
        </w:rPr>
        <w:t xml:space="preserve"> through one year of treatment;</w:t>
      </w:r>
    </w:p>
    <w:p>
      <w:pPr>
        <w:spacing w:after="0" w:line="32" w:lineRule="exact"/>
        <w:rPr>
          <w:rFonts w:ascii="Arial" w:cs="Arial" w:eastAsia="Arial" w:hAnsi="Arial"/>
          <w:sz w:val="13"/>
          <w:szCs w:val="13"/>
          <w:color w:val="auto"/>
        </w:rPr>
      </w:pPr>
    </w:p>
    <w:p>
      <w:pPr>
        <w:ind w:left="420" w:right="2339" w:hanging="271"/>
        <w:spacing w:after="0" w:line="284" w:lineRule="auto"/>
        <w:tabs>
          <w:tab w:leader="none" w:pos="410" w:val="left"/>
        </w:tabs>
        <w:numPr>
          <w:ilvl w:val="0"/>
          <w:numId w:val="4"/>
        </w:numPr>
        <w:rPr>
          <w:rFonts w:ascii="Arial" w:cs="Arial" w:eastAsia="Arial" w:hAnsi="Arial"/>
          <w:sz w:val="14"/>
          <w:szCs w:val="14"/>
          <w:color w:val="auto"/>
        </w:rPr>
      </w:pPr>
      <w:r>
        <w:rPr>
          <w:rFonts w:ascii="Arial" w:cs="Arial" w:eastAsia="Arial" w:hAnsi="Arial"/>
          <w:sz w:val="16"/>
          <w:szCs w:val="16"/>
          <w:b w:val="1"/>
          <w:bCs w:val="1"/>
          <w:color w:val="auto"/>
        </w:rPr>
        <w:t xml:space="preserve">Positive </w:t>
      </w:r>
      <w:r>
        <w:rPr>
          <w:rFonts w:ascii="Arial" w:cs="Arial" w:eastAsia="Arial" w:hAnsi="Arial"/>
          <w:sz w:val="16"/>
          <w:szCs w:val="16"/>
          <w:color w:val="auto"/>
        </w:rPr>
        <w:t>results for</w:t>
      </w:r>
      <w:r>
        <w:rPr>
          <w:rFonts w:ascii="Arial" w:cs="Arial" w:eastAsia="Arial" w:hAnsi="Arial"/>
          <w:sz w:val="16"/>
          <w:szCs w:val="16"/>
          <w:b w:val="1"/>
          <w:bCs w:val="1"/>
          <w:color w:val="auto"/>
        </w:rPr>
        <w:t xml:space="preserve"> Jardiance </w:t>
      </w:r>
      <w:r>
        <w:rPr>
          <w:rFonts w:ascii="Arial" w:cs="Arial" w:eastAsia="Arial" w:hAnsi="Arial"/>
          <w:sz w:val="16"/>
          <w:szCs w:val="16"/>
          <w:color w:val="auto"/>
        </w:rPr>
        <w:t>(empagliflozin) in the Phase III EMPA-KIDNEY study evaluating efficacy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safety compared to placebo for the </w:t>
      </w:r>
      <w:r>
        <w:rPr>
          <w:rFonts w:ascii="Arial" w:cs="Arial" w:eastAsia="Arial" w:hAnsi="Arial"/>
          <w:sz w:val="16"/>
          <w:szCs w:val="16"/>
          <w:b w:val="1"/>
          <w:bCs w:val="1"/>
          <w:color w:val="auto"/>
        </w:rPr>
        <w:t>treatment of patients with chronic kidney disease</w:t>
      </w:r>
      <w:r>
        <w:rPr>
          <w:rFonts w:ascii="Arial" w:cs="Arial" w:eastAsia="Arial" w:hAnsi="Arial"/>
          <w:sz w:val="16"/>
          <w:szCs w:val="16"/>
          <w:color w:val="auto"/>
        </w:rPr>
        <w:t>; and</w:t>
      </w:r>
    </w:p>
    <w:p>
      <w:pPr>
        <w:spacing w:after="0" w:line="78" w:lineRule="exact"/>
        <w:rPr>
          <w:rFonts w:ascii="Arial" w:cs="Arial" w:eastAsia="Arial" w:hAnsi="Arial"/>
          <w:sz w:val="14"/>
          <w:szCs w:val="14"/>
          <w:color w:val="auto"/>
        </w:rPr>
      </w:pPr>
    </w:p>
    <w:p>
      <w:pPr>
        <w:ind w:left="420" w:right="2359" w:hanging="271"/>
        <w:spacing w:after="0" w:line="251" w:lineRule="auto"/>
        <w:tabs>
          <w:tab w:leader="none" w:pos="410" w:val="left"/>
        </w:tabs>
        <w:numPr>
          <w:ilvl w:val="0"/>
          <w:numId w:val="4"/>
        </w:numPr>
        <w:rPr>
          <w:rFonts w:ascii="Arial" w:cs="Arial" w:eastAsia="Arial" w:hAnsi="Arial"/>
          <w:sz w:val="14"/>
          <w:szCs w:val="14"/>
          <w:color w:val="auto"/>
        </w:rPr>
      </w:pPr>
      <w:r>
        <w:rPr>
          <w:rFonts w:ascii="Arial" w:cs="Arial" w:eastAsia="Arial" w:hAnsi="Arial"/>
          <w:sz w:val="16"/>
          <w:szCs w:val="16"/>
          <w:color w:val="auto"/>
        </w:rPr>
        <w:t xml:space="preserve">Updated data from the monarchE Phase III study evaluating the efficacy and safety of </w:t>
      </w:r>
      <w:r>
        <w:rPr>
          <w:rFonts w:ascii="Arial" w:cs="Arial" w:eastAsia="Arial" w:hAnsi="Arial"/>
          <w:sz w:val="16"/>
          <w:szCs w:val="16"/>
          <w:b w:val="1"/>
          <w:bCs w:val="1"/>
          <w:color w:val="auto"/>
        </w:rPr>
        <w:t>Verzenio</w:t>
      </w:r>
      <w:r>
        <w:rPr>
          <w:rFonts w:ascii="Arial" w:cs="Arial" w:eastAsia="Arial" w:hAnsi="Arial"/>
          <w:sz w:val="16"/>
          <w:szCs w:val="16"/>
          <w:color w:val="auto"/>
        </w:rPr>
        <w:t xml:space="preserve"> (abemaciclib) in combination with standard endocrine therapy for the </w:t>
      </w:r>
      <w:r>
        <w:rPr>
          <w:rFonts w:ascii="Arial" w:cs="Arial" w:eastAsia="Arial" w:hAnsi="Arial"/>
          <w:sz w:val="16"/>
          <w:szCs w:val="16"/>
          <w:b w:val="1"/>
          <w:bCs w:val="1"/>
          <w:color w:val="auto"/>
        </w:rPr>
        <w:t>treatment of hormone receptor-positive (HR+), human epidermal growth factor receptor 2-negative (HER2-), node-positive, high-risk early breast cancer</w:t>
      </w:r>
      <w:r>
        <w:rPr>
          <w:rFonts w:ascii="Arial" w:cs="Arial" w:eastAsia="Arial" w:hAnsi="Arial"/>
          <w:sz w:val="16"/>
          <w:szCs w:val="16"/>
          <w:color w:val="auto"/>
        </w:rPr>
        <w:t>. We submitted an application to the FDA to expand the adjuvant indication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these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984750" cy="17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4750" cy="170815"/>
                    </a:xfrm>
                    <a:prstGeom prst="rect">
                      <a:avLst/>
                    </a:prstGeom>
                    <a:noFill/>
                  </pic:spPr>
                </pic:pic>
              </a:graphicData>
            </a:graphic>
          </wp:anchor>
        </w:drawing>
      </w:r>
    </w:p>
    <w:p>
      <w:pPr>
        <w:sectPr>
          <w:pgSz w:w="11900" w:h="16838" w:orient="portrait"/>
          <w:cols w:equalWidth="0" w:num="1">
            <w:col w:w="10139"/>
          </w:cols>
          <w:pgMar w:left="320" w:top="1368" w:right="1440" w:bottom="1440" w:gutter="0" w:footer="0" w:header="0"/>
          <w:type w:val="continuous"/>
        </w:sectPr>
      </w:pPr>
    </w:p>
    <w:p>
      <w:pPr>
        <w:spacing w:after="0" w:line="169"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929292"/>
        </w:rPr>
        <w:t>Other Business Development Activities</w:t>
      </w:r>
    </w:p>
    <w:p>
      <w:pPr>
        <w:spacing w:after="0" w:line="62"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b w:val="1"/>
          <w:bCs w:val="1"/>
          <w:color w:val="D52B1E"/>
        </w:rPr>
        <w:t xml:space="preserve">Acquisition: </w:t>
      </w:r>
      <w:r>
        <w:rPr>
          <w:rFonts w:ascii="Arial" w:cs="Arial" w:eastAsia="Arial" w:hAnsi="Arial"/>
          <w:sz w:val="15"/>
          <w:szCs w:val="15"/>
          <w:color w:val="000000"/>
        </w:rPr>
        <w:t>acquired</w:t>
      </w:r>
      <w:r>
        <w:rPr>
          <w:rFonts w:ascii="Arial" w:cs="Arial" w:eastAsia="Arial" w:hAnsi="Arial"/>
          <w:sz w:val="17"/>
          <w:szCs w:val="17"/>
          <w:b w:val="1"/>
          <w:bCs w:val="1"/>
          <w:color w:val="D52B1E"/>
        </w:rPr>
        <w:t xml:space="preserve"> </w:t>
      </w:r>
      <w:r>
        <w:rPr>
          <w:rFonts w:ascii="Arial" w:cs="Arial" w:eastAsia="Arial" w:hAnsi="Arial"/>
          <w:sz w:val="15"/>
          <w:szCs w:val="15"/>
          <w:b w:val="1"/>
          <w:bCs w:val="1"/>
          <w:color w:val="000000"/>
        </w:rPr>
        <w:t>Akouos, Inc.</w:t>
      </w:r>
      <w:r>
        <w:rPr>
          <w:rFonts w:ascii="Arial" w:cs="Arial" w:eastAsia="Arial" w:hAnsi="Arial"/>
          <w:sz w:val="17"/>
          <w:szCs w:val="17"/>
          <w:b w:val="1"/>
          <w:bCs w:val="1"/>
          <w:color w:val="D52B1E"/>
        </w:rPr>
        <w:t xml:space="preserve"> </w:t>
      </w:r>
      <w:r>
        <w:rPr>
          <w:rFonts w:ascii="Arial" w:cs="Arial" w:eastAsia="Arial" w:hAnsi="Arial"/>
          <w:sz w:val="15"/>
          <w:szCs w:val="15"/>
          <w:color w:val="000000"/>
        </w:rPr>
        <w:t>to accelerate gene therapies that aim to</w:t>
      </w:r>
      <w:r>
        <w:rPr>
          <w:rFonts w:ascii="Arial" w:cs="Arial" w:eastAsia="Arial" w:hAnsi="Arial"/>
          <w:sz w:val="17"/>
          <w:szCs w:val="17"/>
          <w:b w:val="1"/>
          <w:bCs w:val="1"/>
          <w:color w:val="D52B1E"/>
        </w:rPr>
        <w:t xml:space="preserve"> </w:t>
      </w:r>
      <w:r>
        <w:rPr>
          <w:rFonts w:ascii="Arial" w:cs="Arial" w:eastAsia="Arial" w:hAnsi="Arial"/>
          <w:sz w:val="15"/>
          <w:szCs w:val="15"/>
          <w:color w:val="000000"/>
        </w:rPr>
        <w:t>restore, improve, and preserve hearing for patients living with disabling hearing loss worldwide.</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D52B1E"/>
        </w:rPr>
        <w:t xml:space="preserve">License: </w:t>
      </w:r>
      <w:r>
        <w:rPr>
          <w:rFonts w:ascii="Arial" w:cs="Arial" w:eastAsia="Arial" w:hAnsi="Arial"/>
          <w:sz w:val="15"/>
          <w:szCs w:val="15"/>
          <w:color w:val="000000"/>
        </w:rPr>
        <w:t>expanded our licensing and collaboration agreement with</w:t>
      </w:r>
      <w:r>
        <w:rPr>
          <w:rFonts w:ascii="Arial" w:cs="Arial" w:eastAsia="Arial" w:hAnsi="Arial"/>
          <w:sz w:val="17"/>
          <w:szCs w:val="17"/>
          <w:b w:val="1"/>
          <w:bCs w:val="1"/>
          <w:color w:val="D52B1E"/>
        </w:rPr>
        <w:t xml:space="preserve"> </w:t>
      </w:r>
      <w:r>
        <w:rPr>
          <w:rFonts w:ascii="Arial" w:cs="Arial" w:eastAsia="Arial" w:hAnsi="Arial"/>
          <w:sz w:val="15"/>
          <w:szCs w:val="15"/>
          <w:b w:val="1"/>
          <w:bCs w:val="1"/>
          <w:color w:val="000000"/>
        </w:rPr>
        <w:t>ProQR</w:t>
      </w:r>
      <w:r>
        <w:rPr>
          <w:rFonts w:ascii="Arial" w:cs="Arial" w:eastAsia="Arial" w:hAnsi="Arial"/>
          <w:sz w:val="17"/>
          <w:szCs w:val="17"/>
          <w:b w:val="1"/>
          <w:bCs w:val="1"/>
          <w:color w:val="D52B1E"/>
        </w:rPr>
        <w:t xml:space="preserve"> </w:t>
      </w:r>
      <w:r>
        <w:rPr>
          <w:rFonts w:ascii="Arial" w:cs="Arial" w:eastAsia="Arial" w:hAnsi="Arial"/>
          <w:sz w:val="15"/>
          <w:szCs w:val="15"/>
          <w:color w:val="000000"/>
        </w:rPr>
        <w:t>to</w:t>
      </w:r>
      <w:r>
        <w:rPr>
          <w:rFonts w:ascii="Arial" w:cs="Arial" w:eastAsia="Arial" w:hAnsi="Arial"/>
          <w:sz w:val="17"/>
          <w:szCs w:val="17"/>
          <w:b w:val="1"/>
          <w:bCs w:val="1"/>
          <w:color w:val="D52B1E"/>
        </w:rPr>
        <w:t xml:space="preserve"> </w:t>
      </w:r>
      <w:r>
        <w:rPr>
          <w:rFonts w:ascii="Arial" w:cs="Arial" w:eastAsia="Arial" w:hAnsi="Arial"/>
          <w:sz w:val="15"/>
          <w:szCs w:val="15"/>
          <w:color w:val="000000"/>
        </w:rPr>
        <w:t>leverage ProQR’s Axiomer RNA editing platform technology to include additional targets beyond the liver and the nervous system, which were the focus of the original agreement from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49847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379"/>
        <w:spacing w:after="0"/>
        <w:rPr>
          <w:sz w:val="20"/>
          <w:szCs w:val="20"/>
          <w:color w:val="auto"/>
        </w:rPr>
      </w:pPr>
      <w:r>
        <w:rPr>
          <w:rFonts w:ascii="Arial" w:cs="Arial" w:eastAsia="Arial" w:hAnsi="Arial"/>
          <w:sz w:val="22"/>
          <w:szCs w:val="22"/>
          <w:b w:val="1"/>
          <w:bCs w:val="1"/>
          <w:color w:val="D52B1E"/>
        </w:rPr>
        <w:t>15+</w:t>
      </w:r>
    </w:p>
    <w:p>
      <w:pPr>
        <w:spacing w:after="0" w:line="24" w:lineRule="exact"/>
        <w:rPr>
          <w:sz w:val="20"/>
          <w:szCs w:val="20"/>
          <w:color w:val="auto"/>
        </w:rPr>
      </w:pPr>
    </w:p>
    <w:p>
      <w:pPr>
        <w:jc w:val="center"/>
        <w:ind w:right="2379"/>
        <w:spacing w:after="0"/>
        <w:rPr>
          <w:sz w:val="20"/>
          <w:szCs w:val="20"/>
          <w:color w:val="auto"/>
        </w:rPr>
      </w:pPr>
      <w:r>
        <w:rPr>
          <w:rFonts w:ascii="Arial" w:cs="Arial" w:eastAsia="Arial" w:hAnsi="Arial"/>
          <w:sz w:val="16"/>
          <w:szCs w:val="16"/>
          <w:b w:val="1"/>
          <w:bCs w:val="1"/>
          <w:color w:val="auto"/>
        </w:rPr>
        <w:t>acquisitions, license</w:t>
      </w:r>
    </w:p>
    <w:p>
      <w:pPr>
        <w:spacing w:after="0" w:line="3" w:lineRule="exact"/>
        <w:rPr>
          <w:sz w:val="20"/>
          <w:szCs w:val="20"/>
          <w:color w:val="auto"/>
        </w:rPr>
      </w:pPr>
    </w:p>
    <w:p>
      <w:pPr>
        <w:jc w:val="center"/>
        <w:ind w:right="2379"/>
        <w:spacing w:after="0"/>
        <w:rPr>
          <w:sz w:val="20"/>
          <w:szCs w:val="20"/>
          <w:color w:val="auto"/>
        </w:rPr>
      </w:pPr>
      <w:r>
        <w:rPr>
          <w:rFonts w:ascii="Arial" w:cs="Arial" w:eastAsia="Arial" w:hAnsi="Arial"/>
          <w:sz w:val="14"/>
          <w:szCs w:val="14"/>
          <w:b w:val="1"/>
          <w:bCs w:val="1"/>
          <w:color w:val="auto"/>
        </w:rPr>
        <w:t>agreements, and research</w:t>
      </w:r>
    </w:p>
    <w:p>
      <w:pPr>
        <w:spacing w:after="0" w:line="26" w:lineRule="exact"/>
        <w:rPr>
          <w:sz w:val="20"/>
          <w:szCs w:val="20"/>
          <w:color w:val="auto"/>
        </w:rPr>
      </w:pPr>
    </w:p>
    <w:p>
      <w:pPr>
        <w:jc w:val="center"/>
        <w:ind w:right="2379"/>
        <w:spacing w:after="0"/>
        <w:rPr>
          <w:sz w:val="20"/>
          <w:szCs w:val="20"/>
          <w:color w:val="auto"/>
        </w:rPr>
      </w:pPr>
      <w:r>
        <w:rPr>
          <w:rFonts w:ascii="Arial" w:cs="Arial" w:eastAsia="Arial" w:hAnsi="Arial"/>
          <w:sz w:val="16"/>
          <w:szCs w:val="16"/>
          <w:b w:val="1"/>
          <w:bCs w:val="1"/>
          <w:color w:val="auto"/>
        </w:rPr>
        <w:t>collaborations in 2022</w:t>
      </w:r>
    </w:p>
    <w:p>
      <w:pPr>
        <w:spacing w:after="0" w:line="526" w:lineRule="exact"/>
        <w:rPr>
          <w:sz w:val="20"/>
          <w:szCs w:val="20"/>
          <w:color w:val="auto"/>
        </w:rPr>
      </w:pPr>
    </w:p>
    <w:p>
      <w:pPr>
        <w:sectPr>
          <w:pgSz w:w="11900" w:h="16838" w:orient="portrait"/>
          <w:cols w:equalWidth="0" w:num="2">
            <w:col w:w="5540" w:space="300"/>
            <w:col w:w="4299"/>
          </w:cols>
          <w:pgMar w:left="320" w:top="1368" w:right="1440" w:bottom="1440" w:gutter="0" w:footer="0" w:header="0"/>
          <w:type w:val="continuous"/>
        </w:sectPr>
      </w:pP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132080</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368" w:right="1440" w:bottom="1440" w:gutter="0" w:footer="0" w:header="0"/>
          <w:type w:val="continuous"/>
        </w:sectPr>
      </w:pPr>
    </w:p>
    <w:bookmarkStart w:id="7" w:name="page8"/>
    <w:bookmarkEnd w:id="7"/>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198755</wp:posOffset>
            </wp:positionH>
            <wp:positionV relativeFrom="page">
              <wp:posOffset>697230</wp:posOffset>
            </wp:positionV>
            <wp:extent cx="498475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4750" cy="7620"/>
                    </a:xfrm>
                    <a:prstGeom prst="rect">
                      <a:avLst/>
                    </a:prstGeom>
                    <a:noFill/>
                  </pic:spPr>
                </pic:pic>
              </a:graphicData>
            </a:graphic>
          </wp:anchor>
        </w:drawing>
        <w:drawing>
          <wp:inline distT="0" distB="0" distL="0" distR="0">
            <wp:extent cx="356235" cy="3562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235" cy="356235"/>
                    </a:xfrm>
                    <a:prstGeom prst="rect">
                      <a:avLst/>
                    </a:prstGeom>
                    <a:noFill/>
                    <a:ln>
                      <a:noFill/>
                    </a:ln>
                  </pic:spPr>
                </pic:pic>
              </a:graphicData>
            </a:graphic>
          </wp:inline>
        </w:drawing>
      </w:r>
      <w:r>
        <w:rPr>
          <w:rFonts w:ascii="Arial" w:cs="Arial" w:eastAsia="Arial" w:hAnsi="Arial"/>
          <w:sz w:val="22"/>
          <w:szCs w:val="22"/>
          <w:b w:val="1"/>
          <w:bCs w:val="1"/>
          <w:color w:val="auto"/>
        </w:rPr>
        <w:t xml:space="preserve"> Shareholder Return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Borders>
              <w:top w:val="single" w:sz="8" w:color="auto"/>
            </w:tcBorders>
            <w:shd w:val="clear" w:color="auto" w:fill="F2F2F2"/>
          </w:tcPr>
          <w:p>
            <w:pPr>
              <w:jc w:val="center"/>
              <w:spacing w:after="0" w:line="238" w:lineRule="exact"/>
              <w:rPr>
                <w:sz w:val="20"/>
                <w:szCs w:val="20"/>
                <w:color w:val="auto"/>
              </w:rPr>
            </w:pPr>
            <w:r>
              <w:rPr>
                <w:rFonts w:ascii="Arial" w:cs="Arial" w:eastAsia="Arial" w:hAnsi="Arial"/>
                <w:sz w:val="22"/>
                <w:szCs w:val="22"/>
                <w:b w:val="1"/>
                <w:bCs w:val="1"/>
                <w:color w:val="D52B1E"/>
                <w:w w:val="99"/>
              </w:rPr>
              <w:t>34%</w:t>
            </w:r>
          </w:p>
        </w:tc>
        <w:tc>
          <w:tcPr>
            <w:tcW w:w="58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D52B1E"/>
                <w:w w:val="98"/>
              </w:rPr>
              <w:t>Consistently Exceeded Compensation Peer Group and S&amp;P 500</w:t>
            </w:r>
          </w:p>
        </w:tc>
      </w:tr>
      <w:tr>
        <w:trPr>
          <w:trHeight w:val="210"/>
        </w:trPr>
        <w:tc>
          <w:tcPr>
            <w:tcW w:w="20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w w:val="96"/>
              </w:rPr>
              <w:t>2022 Total Shareholder</w:t>
            </w:r>
          </w:p>
        </w:tc>
        <w:tc>
          <w:tcPr>
            <w:tcW w:w="5840" w:type="dxa"/>
            <w:vAlign w:val="bottom"/>
            <w:shd w:val="clear" w:color="auto" w:fill="F2F2F2"/>
          </w:tcPr>
          <w:p>
            <w:pPr>
              <w:jc w:val="center"/>
              <w:spacing w:after="0"/>
              <w:rPr>
                <w:sz w:val="20"/>
                <w:szCs w:val="20"/>
                <w:color w:val="auto"/>
              </w:rPr>
            </w:pPr>
            <w:r>
              <w:rPr>
                <w:rFonts w:ascii="Arial" w:cs="Arial" w:eastAsia="Arial" w:hAnsi="Arial"/>
                <w:sz w:val="17"/>
                <w:szCs w:val="17"/>
                <w:color w:val="auto"/>
                <w:w w:val="99"/>
              </w:rPr>
              <w:t xml:space="preserve">in </w:t>
            </w:r>
            <w:r>
              <w:rPr>
                <w:rFonts w:ascii="Arial" w:cs="Arial" w:eastAsia="Arial" w:hAnsi="Arial"/>
                <w:sz w:val="17"/>
                <w:szCs w:val="17"/>
                <w:b w:val="1"/>
                <w:bCs w:val="1"/>
                <w:color w:val="auto"/>
                <w:w w:val="99"/>
              </w:rPr>
              <w:t>Total Shareholder Return</w:t>
            </w:r>
          </w:p>
        </w:tc>
      </w:tr>
      <w:tr>
        <w:trPr>
          <w:trHeight w:val="241"/>
        </w:trPr>
        <w:tc>
          <w:tcPr>
            <w:tcW w:w="20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w w:val="96"/>
              </w:rPr>
              <w:t>Return</w:t>
            </w:r>
          </w:p>
        </w:tc>
        <w:tc>
          <w:tcPr>
            <w:tcW w:w="5840" w:type="dxa"/>
            <w:vAlign w:val="bottom"/>
            <w:shd w:val="clear" w:color="auto" w:fill="F2F2F2"/>
          </w:tcPr>
          <w:p>
            <w:pPr>
              <w:jc w:val="center"/>
              <w:spacing w:after="0"/>
              <w:rPr>
                <w:sz w:val="20"/>
                <w:szCs w:val="20"/>
                <w:color w:val="auto"/>
              </w:rPr>
            </w:pPr>
            <w:r>
              <w:rPr>
                <w:rFonts w:ascii="Arial" w:cs="Arial" w:eastAsia="Arial" w:hAnsi="Arial"/>
                <w:sz w:val="17"/>
                <w:szCs w:val="17"/>
                <w:color w:val="auto"/>
              </w:rPr>
              <w:t>in 2022 and the three- and five-year periods shown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3115310" cy="1795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5310" cy="179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TSR takes into account both</w:t>
      </w:r>
    </w:p>
    <w:p>
      <w:pPr>
        <w:spacing w:after="0" w:line="17"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share price appreciation and</w:t>
      </w:r>
    </w:p>
    <w:p>
      <w:pPr>
        <w:spacing w:after="0" w:line="3"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dividends. Any dividends paid</w:t>
      </w:r>
    </w:p>
    <w:p>
      <w:pPr>
        <w:spacing w:after="0" w:line="3"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by a given company are</w:t>
      </w:r>
    </w:p>
    <w:p>
      <w:pPr>
        <w:spacing w:after="0" w:line="3"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assumed to be reinvested in</w:t>
      </w:r>
    </w:p>
    <w:p>
      <w:pPr>
        <w:spacing w:after="0" w:line="3"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the company’s stock on a</w:t>
      </w:r>
    </w:p>
    <w:p>
      <w:pPr>
        <w:spacing w:after="0" w:line="3" w:lineRule="exact"/>
        <w:rPr>
          <w:sz w:val="20"/>
          <w:szCs w:val="20"/>
          <w:color w:val="auto"/>
        </w:rPr>
      </w:pPr>
    </w:p>
    <w:p>
      <w:pPr>
        <w:jc w:val="center"/>
        <w:ind w:left="2200"/>
        <w:spacing w:after="0"/>
        <w:rPr>
          <w:sz w:val="20"/>
          <w:szCs w:val="20"/>
          <w:color w:val="auto"/>
        </w:rPr>
      </w:pPr>
      <w:r>
        <w:rPr>
          <w:rFonts w:ascii="Arial" w:cs="Arial" w:eastAsia="Arial" w:hAnsi="Arial"/>
          <w:sz w:val="16"/>
          <w:szCs w:val="16"/>
          <w:color w:val="auto"/>
        </w:rPr>
        <w:t>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536575</wp:posOffset>
            </wp:positionV>
            <wp:extent cx="49847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Health, Safety and Welfare</w:t>
      </w:r>
    </w:p>
    <w:p>
      <w:pPr>
        <w:spacing w:after="0" w:line="64"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As the COVID-19 pandemic has evolved, we have remained focused on protecting the health, safety, and well-being of our employees; supporting the medical system and our communities; and affordability of and access to our medicines.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Maintaining Supplies of and Access to Lilly Medicines</w:t>
      </w:r>
    </w:p>
    <w:p>
      <w:pPr>
        <w:spacing w:after="0" w:line="6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Throughout 2022, we continued our efforts to protect our manufacturing processes and remained in close communication with key suppliers regarding logistics, transportation, and supplies of raw materials. While we have faced challenges, and expect to continue to face challenges, meeting strong demand for our incretin products, we expect significant additional manufacturing capacity will become operational starting in 2023 and continuing over the next several years as part of our ongoing efforts to meet the significant demand for our incretin medicines.</w:t>
      </w:r>
    </w:p>
    <w:p>
      <w:pPr>
        <w:spacing w:after="0" w:line="1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also continued patient support programs to ensure patients maintained affordable access to their medications and adjusted how we operate to offer innovative solutions to our customers. We remain committed to working with stakeholders in healthcare systems to help patients get the medicines they need, including through our Insulin Value Program, which allows anyone with commercial insurance and those without insurance to fill their monthly prescription of Lilly insulin for $35, as well as our other access and affordability initiatives.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Working to Ensure Diversity in Clinical Trials</w:t>
      </w:r>
    </w:p>
    <w:p>
      <w:pPr>
        <w:spacing w:after="0" w:line="5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continue to identify and address barriers to fair access and representation of communities in our clinical research to help develop innovative medicines. Diverse representation in clinical trials is critical to helping our researchers develop medicines that will be as effective as possible for patients who use them. We are working to ensure trial participants match the composition of the patient population that might use the trial’s medicine by selecting diverse investigators and collaborating with external groups to identify and implement solutions. We collaborate with patients, patient advocacy groups, regulatory agencies, health care professionals and community organizations to identify and implement solutions that will result in diverse representation, improve health equity and generate evidence to support better patient outcomes.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Keeping Our Employees Safe and Healthy</w:t>
      </w:r>
    </w:p>
    <w:p>
      <w:pPr>
        <w:spacing w:after="0" w:line="57" w:lineRule="exact"/>
        <w:rPr>
          <w:sz w:val="20"/>
          <w:szCs w:val="20"/>
          <w:color w:val="auto"/>
        </w:rPr>
      </w:pPr>
    </w:p>
    <w:p>
      <w:pPr>
        <w:ind w:right="80"/>
        <w:spacing w:after="0" w:line="344" w:lineRule="auto"/>
        <w:rPr>
          <w:sz w:val="20"/>
          <w:szCs w:val="20"/>
          <w:color w:val="auto"/>
        </w:rPr>
      </w:pPr>
      <w:r>
        <w:rPr>
          <w:rFonts w:ascii="Arial" w:cs="Arial" w:eastAsia="Arial" w:hAnsi="Arial"/>
          <w:sz w:val="14"/>
          <w:szCs w:val="14"/>
          <w:color w:val="auto"/>
        </w:rPr>
        <w:t>We remain focused on protecting the health and safety of our employees and strive to foster a healthy, vibrant work environment. For additional information on our employee health and safety initiatives, see “</w:t>
      </w:r>
      <w:r>
        <w:rPr>
          <w:rFonts w:ascii="Arial" w:cs="Arial" w:eastAsia="Arial" w:hAnsi="Arial"/>
          <w:sz w:val="14"/>
          <w:szCs w:val="14"/>
          <w:u w:val="single" w:color="auto"/>
          <w:color w:val="0000FF"/>
        </w:rPr>
        <w:t>Governance—How We Operate and Effective Board—Governance Practices—Human Capital Management</w:t>
      </w:r>
      <w:r>
        <w:rPr>
          <w:rFonts w:ascii="Arial" w:cs="Arial" w:eastAsia="Arial" w:hAnsi="Arial"/>
          <w:sz w:val="14"/>
          <w:szCs w:val="14"/>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8" w:name="page9"/>
    <w:bookmarkEnd w:id="8"/>
    <w:p>
      <w:pPr>
        <w:spacing w:after="0"/>
        <w:rPr>
          <w:sz w:val="20"/>
          <w:szCs w:val="20"/>
          <w:color w:val="auto"/>
        </w:rPr>
      </w:pPr>
      <w:r>
        <w:rPr>
          <w:rFonts w:ascii="Arial" w:cs="Arial" w:eastAsia="Arial" w:hAnsi="Arial"/>
          <w:sz w:val="28"/>
          <w:szCs w:val="28"/>
          <w:b w:val="1"/>
          <w:bCs w:val="1"/>
          <w:color w:val="D52B1E"/>
        </w:rPr>
        <w:t>Board Leadership and Composition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49847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1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Director</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Public</w:t>
            </w:r>
          </w:p>
        </w:tc>
        <w:tc>
          <w:tcPr>
            <w:tcW w:w="1980" w:type="dxa"/>
            <w:vAlign w:val="bottom"/>
          </w:tcPr>
          <w:p>
            <w:pPr>
              <w:spacing w:after="0"/>
              <w:rPr>
                <w:sz w:val="16"/>
                <w:szCs w:val="16"/>
                <w:color w:val="auto"/>
              </w:rPr>
            </w:pPr>
          </w:p>
        </w:tc>
        <w:tc>
          <w:tcPr>
            <w:tcW w:w="1400" w:type="dxa"/>
            <w:vAlign w:val="bottom"/>
          </w:tcPr>
          <w:p>
            <w:pPr>
              <w:ind w:left="380"/>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221"/>
        </w:trPr>
        <w:tc>
          <w:tcPr>
            <w:tcW w:w="10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Name</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Since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Boards</w:t>
            </w: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Principal Occupation</w:t>
            </w: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Membership</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460" w:type="dxa"/>
            <w:vAlign w:val="bottom"/>
            <w:shd w:val="clear" w:color="auto" w:fill="F2F2F2"/>
          </w:tcPr>
          <w:p>
            <w:pPr>
              <w:spacing w:after="0"/>
              <w:rPr>
                <w:sz w:val="14"/>
                <w:szCs w:val="14"/>
                <w:color w:val="auto"/>
              </w:rPr>
            </w:pPr>
          </w:p>
        </w:tc>
        <w:tc>
          <w:tcPr>
            <w:tcW w:w="4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65</w:t>
            </w:r>
          </w:p>
        </w:tc>
        <w:tc>
          <w:tcPr>
            <w:tcW w:w="7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2012</w:t>
            </w: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0</w:t>
            </w: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Sidney Farber professor of</w:t>
            </w:r>
          </w:p>
        </w:tc>
        <w:tc>
          <w:tcPr>
            <w:tcW w:w="140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Science &amp; Technology</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1460" w:type="dxa"/>
            <w:vAlign w:val="bottom"/>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780" w:type="dxa"/>
            <w:vAlign w:val="bottom"/>
            <w:shd w:val="clear" w:color="auto" w:fill="F2F2F2"/>
          </w:tcPr>
          <w:p>
            <w:pPr>
              <w:spacing w:after="0"/>
              <w:rPr>
                <w:sz w:val="6"/>
                <w:szCs w:val="6"/>
                <w:color w:val="auto"/>
              </w:rPr>
            </w:pPr>
          </w:p>
        </w:tc>
        <w:tc>
          <w:tcPr>
            <w:tcW w:w="680" w:type="dxa"/>
            <w:vAlign w:val="bottom"/>
            <w:shd w:val="clear" w:color="auto" w:fill="F2F2F2"/>
          </w:tcPr>
          <w:p>
            <w:pPr>
              <w:spacing w:after="0"/>
              <w:rPr>
                <w:sz w:val="6"/>
                <w:szCs w:val="6"/>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2"/>
                <w:szCs w:val="12"/>
                <w:color w:val="auto"/>
              </w:rPr>
              <w:t>Medicine, Harvard Medical</w:t>
            </w:r>
          </w:p>
        </w:tc>
        <w:tc>
          <w:tcPr>
            <w:tcW w:w="14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460" w:type="dxa"/>
            <w:vAlign w:val="bottom"/>
            <w:vMerge w:val="restart"/>
            <w:shd w:val="clear" w:color="auto" w:fill="F2F2F2"/>
          </w:tcPr>
          <w:p>
            <w:pPr>
              <w:ind w:left="20"/>
              <w:spacing w:after="0"/>
              <w:rPr>
                <w:sz w:val="20"/>
                <w:szCs w:val="20"/>
                <w:color w:val="auto"/>
              </w:rPr>
            </w:pPr>
            <w:r>
              <w:rPr>
                <w:rFonts w:ascii="Arial" w:cs="Arial" w:eastAsia="Arial" w:hAnsi="Arial"/>
                <w:sz w:val="19"/>
                <w:szCs w:val="19"/>
                <w:b w:val="1"/>
                <w:bCs w:val="1"/>
                <w:color w:val="auto"/>
              </w:rPr>
              <w:t>William G.</w:t>
            </w:r>
          </w:p>
        </w:tc>
        <w:tc>
          <w:tcPr>
            <w:tcW w:w="4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680" w:type="dxa"/>
            <w:vAlign w:val="bottom"/>
            <w:shd w:val="clear" w:color="auto" w:fill="F2F2F2"/>
          </w:tcPr>
          <w:p>
            <w:pPr>
              <w:spacing w:after="0"/>
              <w:rPr>
                <w:sz w:val="7"/>
                <w:szCs w:val="7"/>
                <w:color w:val="auto"/>
              </w:rPr>
            </w:pPr>
          </w:p>
        </w:tc>
        <w:tc>
          <w:tcPr>
            <w:tcW w:w="1980" w:type="dxa"/>
            <w:vAlign w:val="bottom"/>
            <w:vMerge w:val="continue"/>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60" w:type="dxa"/>
            <w:vAlign w:val="bottom"/>
            <w:vMerge w:val="continue"/>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School; Professor, Dana-Farber</w:t>
            </w:r>
          </w:p>
        </w:tc>
        <w:tc>
          <w:tcPr>
            <w:tcW w:w="140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1460" w:type="dxa"/>
            <w:vAlign w:val="bottom"/>
            <w:vMerge w:val="continue"/>
            <w:shd w:val="clear" w:color="auto" w:fill="F2F2F2"/>
          </w:tcPr>
          <w:p>
            <w:pPr>
              <w:spacing w:after="0"/>
              <w:rPr>
                <w:sz w:val="5"/>
                <w:szCs w:val="5"/>
                <w:color w:val="auto"/>
              </w:rPr>
            </w:pPr>
          </w:p>
        </w:tc>
        <w:tc>
          <w:tcPr>
            <w:tcW w:w="4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2"/>
                <w:szCs w:val="12"/>
                <w:color w:val="auto"/>
              </w:rPr>
              <w:t>Cancer Institute and Brigham</w:t>
            </w:r>
          </w:p>
        </w:tc>
        <w:tc>
          <w:tcPr>
            <w:tcW w:w="140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Directors &amp; Corporate</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460" w:type="dxa"/>
            <w:vAlign w:val="bottom"/>
            <w:vMerge w:val="restart"/>
            <w:shd w:val="clear" w:color="auto" w:fill="F2F2F2"/>
          </w:tcPr>
          <w:p>
            <w:pPr>
              <w:ind w:left="20"/>
              <w:spacing w:after="0"/>
              <w:rPr>
                <w:sz w:val="20"/>
                <w:szCs w:val="20"/>
                <w:color w:val="auto"/>
              </w:rPr>
            </w:pPr>
            <w:r>
              <w:rPr>
                <w:rFonts w:ascii="Arial" w:cs="Arial" w:eastAsia="Arial" w:hAnsi="Arial"/>
                <w:sz w:val="19"/>
                <w:szCs w:val="19"/>
                <w:b w:val="1"/>
                <w:bCs w:val="1"/>
                <w:color w:val="auto"/>
              </w:rPr>
              <w:t>Kaelin, Jr., M.D.</w:t>
            </w:r>
          </w:p>
        </w:tc>
        <w:tc>
          <w:tcPr>
            <w:tcW w:w="4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680" w:type="dxa"/>
            <w:vAlign w:val="bottom"/>
            <w:shd w:val="clear" w:color="auto" w:fill="F2F2F2"/>
          </w:tcPr>
          <w:p>
            <w:pPr>
              <w:spacing w:after="0"/>
              <w:rPr>
                <w:sz w:val="7"/>
                <w:szCs w:val="7"/>
                <w:color w:val="auto"/>
              </w:rPr>
            </w:pPr>
          </w:p>
        </w:tc>
        <w:tc>
          <w:tcPr>
            <w:tcW w:w="1980" w:type="dxa"/>
            <w:vAlign w:val="bottom"/>
            <w:vMerge w:val="continue"/>
            <w:shd w:val="clear" w:color="auto" w:fill="F2F2F2"/>
          </w:tcPr>
          <w:p>
            <w:pPr>
              <w:spacing w:after="0"/>
              <w:rPr>
                <w:sz w:val="7"/>
                <w:szCs w:val="7"/>
                <w:color w:val="auto"/>
              </w:rPr>
            </w:pPr>
          </w:p>
        </w:tc>
        <w:tc>
          <w:tcPr>
            <w:tcW w:w="140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60" w:type="dxa"/>
            <w:vAlign w:val="bottom"/>
            <w:vMerge w:val="continue"/>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and Women’s Hospital;</w:t>
            </w:r>
          </w:p>
        </w:tc>
        <w:tc>
          <w:tcPr>
            <w:tcW w:w="1400" w:type="dxa"/>
            <w:vAlign w:val="bottom"/>
            <w:shd w:val="clear" w:color="auto" w:fill="F2F2F2"/>
          </w:tcPr>
          <w:p>
            <w:pPr>
              <w:ind w:left="120"/>
              <w:spacing w:after="0"/>
              <w:rPr>
                <w:sz w:val="20"/>
                <w:szCs w:val="20"/>
                <w:color w:val="auto"/>
              </w:rPr>
            </w:pPr>
            <w:r>
              <w:rPr>
                <w:rFonts w:ascii="Arial" w:cs="Arial" w:eastAsia="Arial" w:hAnsi="Arial"/>
                <w:sz w:val="12"/>
                <w:szCs w:val="12"/>
                <w:color w:val="auto"/>
              </w:rPr>
              <w:t>Governance</w:t>
            </w: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46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Independent Director</w:t>
            </w:r>
          </w:p>
        </w:tc>
        <w:tc>
          <w:tcPr>
            <w:tcW w:w="4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Investigator, Howard Hughes</w:t>
            </w:r>
          </w:p>
        </w:tc>
        <w:tc>
          <w:tcPr>
            <w:tcW w:w="14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460" w:type="dxa"/>
            <w:vAlign w:val="bottom"/>
            <w:shd w:val="clear" w:color="auto" w:fill="F2F2F2"/>
          </w:tcPr>
          <w:p>
            <w:pPr>
              <w:spacing w:after="0"/>
              <w:rPr>
                <w:sz w:val="15"/>
                <w:szCs w:val="15"/>
                <w:color w:val="auto"/>
              </w:rPr>
            </w:pPr>
          </w:p>
        </w:tc>
        <w:tc>
          <w:tcPr>
            <w:tcW w:w="460" w:type="dxa"/>
            <w:vAlign w:val="bottom"/>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680" w:type="dxa"/>
            <w:vAlign w:val="bottom"/>
            <w:shd w:val="clear" w:color="auto" w:fill="F2F2F2"/>
          </w:tcPr>
          <w:p>
            <w:pPr>
              <w:spacing w:after="0"/>
              <w:rPr>
                <w:sz w:val="15"/>
                <w:szCs w:val="15"/>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Medical Institute</w:t>
            </w:r>
          </w:p>
        </w:tc>
        <w:tc>
          <w:tcPr>
            <w:tcW w:w="14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2"/>
                <w:szCs w:val="12"/>
                <w:color w:val="auto"/>
              </w:rPr>
              <w:t>55</w:t>
            </w:r>
          </w:p>
        </w:tc>
        <w:tc>
          <w:tcPr>
            <w:tcW w:w="780" w:type="dxa"/>
            <w:vAlign w:val="bottom"/>
          </w:tcPr>
          <w:p>
            <w:pPr>
              <w:jc w:val="center"/>
              <w:spacing w:after="0"/>
              <w:rPr>
                <w:sz w:val="20"/>
                <w:szCs w:val="20"/>
                <w:color w:val="auto"/>
              </w:rPr>
            </w:pPr>
            <w:r>
              <w:rPr>
                <w:rFonts w:ascii="Arial" w:cs="Arial" w:eastAsia="Arial" w:hAnsi="Arial"/>
                <w:sz w:val="12"/>
                <w:szCs w:val="12"/>
                <w:color w:val="auto"/>
              </w:rPr>
              <w:t>2017</w:t>
            </w:r>
          </w:p>
        </w:tc>
        <w:tc>
          <w:tcPr>
            <w:tcW w:w="680" w:type="dxa"/>
            <w:vAlign w:val="bottom"/>
          </w:tcPr>
          <w:p>
            <w:pPr>
              <w:jc w:val="center"/>
              <w:spacing w:after="0"/>
              <w:rPr>
                <w:sz w:val="20"/>
                <w:szCs w:val="20"/>
                <w:color w:val="auto"/>
              </w:rPr>
            </w:pPr>
            <w:r>
              <w:rPr>
                <w:rFonts w:ascii="Arial" w:cs="Arial" w:eastAsia="Arial" w:hAnsi="Arial"/>
                <w:sz w:val="12"/>
                <w:szCs w:val="12"/>
                <w:color w:val="auto"/>
              </w:rPr>
              <w:t>1</w:t>
            </w:r>
          </w:p>
        </w:tc>
        <w:tc>
          <w:tcPr>
            <w:tcW w:w="1980" w:type="dxa"/>
            <w:vAlign w:val="bottom"/>
          </w:tcPr>
          <w:p>
            <w:pPr>
              <w:ind w:left="60"/>
              <w:spacing w:after="0"/>
              <w:rPr>
                <w:sz w:val="20"/>
                <w:szCs w:val="20"/>
                <w:color w:val="auto"/>
              </w:rPr>
            </w:pPr>
            <w:r>
              <w:rPr>
                <w:rFonts w:ascii="Arial" w:cs="Arial" w:eastAsia="Arial" w:hAnsi="Arial"/>
                <w:sz w:val="12"/>
                <w:szCs w:val="12"/>
                <w:color w:val="auto"/>
              </w:rPr>
              <w:t>Chair, President and Chief</w:t>
            </w:r>
          </w:p>
        </w:tc>
        <w:tc>
          <w:tcPr>
            <w:tcW w:w="1400" w:type="dxa"/>
            <w:vAlign w:val="bottom"/>
          </w:tcPr>
          <w:p>
            <w:pPr>
              <w:ind w:left="10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80" w:type="dxa"/>
            <w:vAlign w:val="bottom"/>
          </w:tcPr>
          <w:p>
            <w:pPr>
              <w:ind w:left="60"/>
              <w:spacing w:after="0"/>
              <w:rPr>
                <w:sz w:val="20"/>
                <w:szCs w:val="20"/>
                <w:color w:val="auto"/>
              </w:rPr>
            </w:pPr>
            <w:r>
              <w:rPr>
                <w:rFonts w:ascii="Arial" w:cs="Arial" w:eastAsia="Arial" w:hAnsi="Arial"/>
                <w:sz w:val="12"/>
                <w:szCs w:val="12"/>
                <w:color w:val="auto"/>
              </w:rPr>
              <w:t>Executive Officer, Eli Lilly and</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1460" w:type="dxa"/>
            <w:vAlign w:val="bottom"/>
          </w:tcPr>
          <w:p>
            <w:pPr>
              <w:ind w:left="20"/>
              <w:spacing w:after="0"/>
              <w:rPr>
                <w:sz w:val="20"/>
                <w:szCs w:val="20"/>
                <w:color w:val="auto"/>
              </w:rPr>
            </w:pPr>
            <w:r>
              <w:rPr>
                <w:rFonts w:ascii="Arial" w:cs="Arial" w:eastAsia="Arial" w:hAnsi="Arial"/>
                <w:sz w:val="17"/>
                <w:szCs w:val="17"/>
                <w:b w:val="1"/>
                <w:bCs w:val="1"/>
                <w:color w:val="auto"/>
              </w:rPr>
              <w:t>David A. Ricks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2"/>
                <w:szCs w:val="12"/>
                <w:color w:val="auto"/>
              </w:rPr>
              <w:t>Company</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2"/>
                <w:szCs w:val="12"/>
                <w:color w:val="auto"/>
              </w:rPr>
              <w:t>Chair of the Board</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1460" w:type="dxa"/>
            <w:vAlign w:val="bottom"/>
            <w:shd w:val="clear" w:color="auto" w:fill="F2F2F2"/>
          </w:tcPr>
          <w:p>
            <w:pPr>
              <w:spacing w:after="0"/>
              <w:rPr>
                <w:sz w:val="14"/>
                <w:szCs w:val="14"/>
                <w:color w:val="auto"/>
              </w:rPr>
            </w:pPr>
          </w:p>
        </w:tc>
        <w:tc>
          <w:tcPr>
            <w:tcW w:w="4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68</w:t>
            </w:r>
          </w:p>
        </w:tc>
        <w:tc>
          <w:tcPr>
            <w:tcW w:w="7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2013</w:t>
            </w: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0</w:t>
            </w: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CEO, Michigan Medicine,</w:t>
            </w:r>
          </w:p>
        </w:tc>
        <w:tc>
          <w:tcPr>
            <w:tcW w:w="140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Ethics &amp; Compliance</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146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Marschall S.</w:t>
            </w:r>
          </w:p>
        </w:tc>
        <w:tc>
          <w:tcPr>
            <w:tcW w:w="460" w:type="dxa"/>
            <w:vAlign w:val="bottom"/>
            <w:shd w:val="clear" w:color="auto" w:fill="F2F2F2"/>
          </w:tcPr>
          <w:p>
            <w:pPr>
              <w:spacing w:after="0"/>
              <w:rPr>
                <w:sz w:val="6"/>
                <w:szCs w:val="6"/>
                <w:color w:val="auto"/>
              </w:rPr>
            </w:pPr>
          </w:p>
        </w:tc>
        <w:tc>
          <w:tcPr>
            <w:tcW w:w="780" w:type="dxa"/>
            <w:vAlign w:val="bottom"/>
            <w:shd w:val="clear" w:color="auto" w:fill="F2F2F2"/>
          </w:tcPr>
          <w:p>
            <w:pPr>
              <w:spacing w:after="0"/>
              <w:rPr>
                <w:sz w:val="6"/>
                <w:szCs w:val="6"/>
                <w:color w:val="auto"/>
              </w:rPr>
            </w:pPr>
          </w:p>
        </w:tc>
        <w:tc>
          <w:tcPr>
            <w:tcW w:w="680" w:type="dxa"/>
            <w:vAlign w:val="bottom"/>
            <w:shd w:val="clear" w:color="auto" w:fill="F2F2F2"/>
          </w:tcPr>
          <w:p>
            <w:pPr>
              <w:spacing w:after="0"/>
              <w:rPr>
                <w:sz w:val="6"/>
                <w:szCs w:val="6"/>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2"/>
                <w:szCs w:val="12"/>
                <w:color w:val="auto"/>
              </w:rPr>
              <w:t>Executive Vice President for</w:t>
            </w:r>
          </w:p>
        </w:tc>
        <w:tc>
          <w:tcPr>
            <w:tcW w:w="14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460" w:type="dxa"/>
            <w:vAlign w:val="bottom"/>
            <w:vMerge w:val="continue"/>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680" w:type="dxa"/>
            <w:vAlign w:val="bottom"/>
            <w:shd w:val="clear" w:color="auto" w:fill="F2F2F2"/>
          </w:tcPr>
          <w:p>
            <w:pPr>
              <w:spacing w:after="0"/>
              <w:rPr>
                <w:sz w:val="7"/>
                <w:szCs w:val="7"/>
                <w:color w:val="auto"/>
              </w:rPr>
            </w:pPr>
          </w:p>
        </w:tc>
        <w:tc>
          <w:tcPr>
            <w:tcW w:w="1980" w:type="dxa"/>
            <w:vAlign w:val="bottom"/>
            <w:vMerge w:val="continue"/>
            <w:shd w:val="clear" w:color="auto" w:fill="F2F2F2"/>
          </w:tcPr>
          <w:p>
            <w:pPr>
              <w:spacing w:after="0"/>
              <w:rPr>
                <w:sz w:val="7"/>
                <w:szCs w:val="7"/>
                <w:color w:val="auto"/>
              </w:rPr>
            </w:pPr>
          </w:p>
        </w:tc>
        <w:tc>
          <w:tcPr>
            <w:tcW w:w="14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080" w:type="dxa"/>
            <w:vAlign w:val="bottom"/>
          </w:tcPr>
          <w:p>
            <w:pPr>
              <w:spacing w:after="0"/>
              <w:rPr>
                <w:sz w:val="12"/>
                <w:szCs w:val="12"/>
                <w:color w:val="auto"/>
              </w:rPr>
            </w:pPr>
          </w:p>
        </w:tc>
        <w:tc>
          <w:tcPr>
            <w:tcW w:w="1460" w:type="dxa"/>
            <w:vAlign w:val="bottom"/>
            <w:vMerge w:val="continue"/>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Medical Affairs and Dean,</w:t>
            </w:r>
          </w:p>
        </w:tc>
        <w:tc>
          <w:tcPr>
            <w:tcW w:w="14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1460" w:type="dxa"/>
            <w:vAlign w:val="bottom"/>
            <w:shd w:val="clear" w:color="auto" w:fill="F2F2F2"/>
          </w:tcPr>
          <w:p>
            <w:pPr>
              <w:ind w:left="20"/>
              <w:spacing w:after="0" w:line="163" w:lineRule="exact"/>
              <w:rPr>
                <w:sz w:val="20"/>
                <w:szCs w:val="20"/>
                <w:color w:val="auto"/>
              </w:rPr>
            </w:pPr>
            <w:r>
              <w:rPr>
                <w:rFonts w:ascii="Arial" w:cs="Arial" w:eastAsia="Arial" w:hAnsi="Arial"/>
                <w:sz w:val="17"/>
                <w:szCs w:val="17"/>
                <w:b w:val="1"/>
                <w:bCs w:val="1"/>
                <w:color w:val="auto"/>
              </w:rPr>
              <w:t>Runge, M.D.,</w:t>
            </w:r>
          </w:p>
        </w:tc>
        <w:tc>
          <w:tcPr>
            <w:tcW w:w="46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Medical School, University of</w:t>
            </w:r>
          </w:p>
        </w:tc>
        <w:tc>
          <w:tcPr>
            <w:tcW w:w="1400" w:type="dxa"/>
            <w:vAlign w:val="bottom"/>
            <w:shd w:val="clear" w:color="auto" w:fill="F2F2F2"/>
          </w:tcPr>
          <w:p>
            <w:pPr>
              <w:ind w:left="120"/>
              <w:spacing w:after="0"/>
              <w:rPr>
                <w:sz w:val="20"/>
                <w:szCs w:val="20"/>
                <w:color w:val="auto"/>
              </w:rPr>
            </w:pPr>
            <w:r>
              <w:rPr>
                <w:rFonts w:ascii="Arial" w:cs="Arial" w:eastAsia="Arial" w:hAnsi="Arial"/>
                <w:sz w:val="12"/>
                <w:szCs w:val="12"/>
                <w:color w:val="auto"/>
              </w:rPr>
              <w:t>Science &amp; Technology</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46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Ph.D.</w:t>
            </w:r>
          </w:p>
        </w:tc>
        <w:tc>
          <w:tcPr>
            <w:tcW w:w="46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2"/>
                <w:szCs w:val="12"/>
                <w:color w:val="auto"/>
              </w:rPr>
              <w:t>Michigan</w:t>
            </w:r>
          </w:p>
        </w:tc>
        <w:tc>
          <w:tcPr>
            <w:tcW w:w="14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1460" w:type="dxa"/>
            <w:vAlign w:val="bottom"/>
            <w:vMerge w:val="continue"/>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1980" w:type="dxa"/>
            <w:vAlign w:val="bottom"/>
            <w:shd w:val="clear" w:color="auto" w:fill="F2F2F2"/>
          </w:tcPr>
          <w:p>
            <w:pPr>
              <w:spacing w:after="0"/>
              <w:rPr>
                <w:sz w:val="11"/>
                <w:szCs w:val="11"/>
                <w:color w:val="auto"/>
              </w:rPr>
            </w:pPr>
          </w:p>
        </w:tc>
        <w:tc>
          <w:tcPr>
            <w:tcW w:w="14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46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Independent Director</w:t>
            </w:r>
          </w:p>
        </w:tc>
        <w:tc>
          <w:tcPr>
            <w:tcW w:w="460" w:type="dxa"/>
            <w:vAlign w:val="bottom"/>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680" w:type="dxa"/>
            <w:vAlign w:val="bottom"/>
            <w:shd w:val="clear" w:color="auto" w:fill="F2F2F2"/>
          </w:tcPr>
          <w:p>
            <w:pPr>
              <w:spacing w:after="0"/>
              <w:rPr>
                <w:sz w:val="15"/>
                <w:szCs w:val="15"/>
                <w:color w:val="auto"/>
              </w:rPr>
            </w:pPr>
          </w:p>
        </w:tc>
        <w:tc>
          <w:tcPr>
            <w:tcW w:w="1980" w:type="dxa"/>
            <w:vAlign w:val="bottom"/>
            <w:shd w:val="clear" w:color="auto" w:fill="F2F2F2"/>
          </w:tcPr>
          <w:p>
            <w:pPr>
              <w:spacing w:after="0"/>
              <w:rPr>
                <w:sz w:val="15"/>
                <w:szCs w:val="15"/>
                <w:color w:val="auto"/>
              </w:rPr>
            </w:pPr>
          </w:p>
        </w:tc>
        <w:tc>
          <w:tcPr>
            <w:tcW w:w="14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2"/>
                <w:szCs w:val="12"/>
                <w:color w:val="auto"/>
              </w:rPr>
              <w:t>61</w:t>
            </w:r>
          </w:p>
        </w:tc>
        <w:tc>
          <w:tcPr>
            <w:tcW w:w="780" w:type="dxa"/>
            <w:vAlign w:val="bottom"/>
          </w:tcPr>
          <w:p>
            <w:pPr>
              <w:jc w:val="center"/>
              <w:spacing w:after="0"/>
              <w:rPr>
                <w:sz w:val="20"/>
                <w:szCs w:val="20"/>
                <w:color w:val="auto"/>
              </w:rPr>
            </w:pPr>
            <w:r>
              <w:rPr>
                <w:rFonts w:ascii="Arial" w:cs="Arial" w:eastAsia="Arial" w:hAnsi="Arial"/>
                <w:sz w:val="12"/>
                <w:szCs w:val="12"/>
                <w:color w:val="auto"/>
              </w:rPr>
              <w:t>2018</w:t>
            </w:r>
          </w:p>
        </w:tc>
        <w:tc>
          <w:tcPr>
            <w:tcW w:w="680" w:type="dxa"/>
            <w:vAlign w:val="bottom"/>
          </w:tcPr>
          <w:p>
            <w:pPr>
              <w:jc w:val="center"/>
              <w:spacing w:after="0"/>
              <w:rPr>
                <w:sz w:val="20"/>
                <w:szCs w:val="20"/>
                <w:color w:val="auto"/>
              </w:rPr>
            </w:pPr>
            <w:r>
              <w:rPr>
                <w:rFonts w:ascii="Arial" w:cs="Arial" w:eastAsia="Arial" w:hAnsi="Arial"/>
                <w:sz w:val="12"/>
                <w:szCs w:val="12"/>
                <w:color w:val="auto"/>
              </w:rPr>
              <w:t>1</w:t>
            </w:r>
          </w:p>
        </w:tc>
        <w:tc>
          <w:tcPr>
            <w:tcW w:w="1980" w:type="dxa"/>
            <w:vAlign w:val="bottom"/>
          </w:tcPr>
          <w:p>
            <w:pPr>
              <w:ind w:left="60"/>
              <w:spacing w:after="0"/>
              <w:rPr>
                <w:sz w:val="20"/>
                <w:szCs w:val="20"/>
                <w:color w:val="auto"/>
              </w:rPr>
            </w:pPr>
            <w:r>
              <w:rPr>
                <w:rFonts w:ascii="Arial" w:cs="Arial" w:eastAsia="Arial" w:hAnsi="Arial"/>
                <w:sz w:val="12"/>
                <w:szCs w:val="12"/>
                <w:color w:val="auto"/>
              </w:rPr>
              <w:t>Operating Partner, The Goldman</w:t>
            </w:r>
          </w:p>
        </w:tc>
        <w:tc>
          <w:tcPr>
            <w:tcW w:w="1400" w:type="dxa"/>
            <w:vAlign w:val="bottom"/>
            <w:vMerge w:val="restart"/>
          </w:tcPr>
          <w:p>
            <w:pPr>
              <w:ind w:left="120"/>
              <w:spacing w:after="0"/>
              <w:rPr>
                <w:sz w:val="20"/>
                <w:szCs w:val="20"/>
                <w:color w:val="auto"/>
              </w:rPr>
            </w:pPr>
            <w:r>
              <w:rPr>
                <w:rFonts w:ascii="Arial" w:cs="Arial" w:eastAsia="Arial" w:hAnsi="Arial"/>
                <w:sz w:val="12"/>
                <w:szCs w:val="12"/>
                <w:color w:val="auto"/>
              </w:rPr>
              <w:t>Talent and</w:t>
            </w:r>
          </w:p>
        </w:tc>
        <w:tc>
          <w:tcPr>
            <w:tcW w:w="0" w:type="dxa"/>
            <w:vAlign w:val="bottom"/>
          </w:tcPr>
          <w:p>
            <w:pPr>
              <w:spacing w:after="0"/>
              <w:rPr>
                <w:sz w:val="1"/>
                <w:szCs w:val="1"/>
                <w:color w:val="auto"/>
              </w:rPr>
            </w:pPr>
          </w:p>
        </w:tc>
      </w:tr>
      <w:tr>
        <w:trPr>
          <w:trHeight w:val="58"/>
        </w:trPr>
        <w:tc>
          <w:tcPr>
            <w:tcW w:w="1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980" w:type="dxa"/>
            <w:vAlign w:val="bottom"/>
            <w:vMerge w:val="restart"/>
          </w:tcPr>
          <w:p>
            <w:pPr>
              <w:ind w:left="60"/>
              <w:spacing w:after="0"/>
              <w:rPr>
                <w:sz w:val="20"/>
                <w:szCs w:val="20"/>
                <w:color w:val="auto"/>
              </w:rPr>
            </w:pPr>
            <w:r>
              <w:rPr>
                <w:rFonts w:ascii="Arial" w:cs="Arial" w:eastAsia="Arial" w:hAnsi="Arial"/>
                <w:sz w:val="12"/>
                <w:szCs w:val="12"/>
                <w:color w:val="auto"/>
              </w:rPr>
              <w:t>Sachs Group, Inc.</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2"/>
                <w:szCs w:val="12"/>
                <w:color w:val="auto"/>
              </w:rPr>
              <w:t>Compensation</w:t>
            </w:r>
          </w:p>
        </w:tc>
        <w:tc>
          <w:tcPr>
            <w:tcW w:w="0" w:type="dxa"/>
            <w:vAlign w:val="bottom"/>
          </w:tcPr>
          <w:p>
            <w:pPr>
              <w:spacing w:after="0"/>
              <w:rPr>
                <w:sz w:val="1"/>
                <w:szCs w:val="1"/>
                <w:color w:val="auto"/>
              </w:rPr>
            </w:pPr>
          </w:p>
        </w:tc>
      </w:tr>
      <w:tr>
        <w:trPr>
          <w:trHeight w:val="58"/>
        </w:trPr>
        <w:tc>
          <w:tcPr>
            <w:tcW w:w="1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080" w:type="dxa"/>
            <w:vAlign w:val="bottom"/>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17"/>
                <w:szCs w:val="17"/>
                <w:b w:val="1"/>
                <w:bCs w:val="1"/>
                <w:color w:val="auto"/>
              </w:rPr>
              <w:t>Karen Walker</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00" w:type="dxa"/>
            <w:vAlign w:val="bottom"/>
            <w:vMerge w:val="restart"/>
          </w:tcPr>
          <w:p>
            <w:pPr>
              <w:ind w:left="120"/>
              <w:spacing w:after="0"/>
              <w:rPr>
                <w:sz w:val="20"/>
                <w:szCs w:val="20"/>
                <w:color w:val="auto"/>
              </w:rPr>
            </w:pPr>
            <w:r>
              <w:rPr>
                <w:rFonts w:ascii="Arial" w:cs="Arial" w:eastAsia="Arial" w:hAnsi="Arial"/>
                <w:sz w:val="12"/>
                <w:szCs w:val="12"/>
                <w:color w:val="auto"/>
              </w:rPr>
              <w:t>Audit</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2"/>
                <w:szCs w:val="12"/>
                <w:color w:val="auto"/>
              </w:rPr>
              <w:t>Independent Director</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-2569210</wp:posOffset>
            </wp:positionV>
            <wp:extent cx="4984750" cy="2714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4750" cy="27146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D52B1E"/>
        </w:rPr>
        <w:t>Director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4992370" cy="489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2370" cy="489585"/>
                    </a:xfrm>
                    <a:prstGeom prst="rect">
                      <a:avLst/>
                    </a:prstGeom>
                    <a:noFill/>
                  </pic:spPr>
                </pic:pic>
              </a:graphicData>
            </a:graphic>
          </wp:anchor>
        </w:drawing>
      </w:r>
    </w:p>
    <w:p>
      <w:pPr>
        <w:spacing w:after="0" w:line="39" w:lineRule="exact"/>
        <w:rPr>
          <w:sz w:val="20"/>
          <w:szCs w:val="20"/>
          <w:color w:val="auto"/>
        </w:rPr>
      </w:pPr>
    </w:p>
    <w:p>
      <w:pPr>
        <w:ind w:left="240" w:right="2639"/>
        <w:spacing w:after="0" w:line="257" w:lineRule="auto"/>
        <w:rPr>
          <w:sz w:val="20"/>
          <w:szCs w:val="20"/>
          <w:color w:val="auto"/>
        </w:rPr>
      </w:pPr>
      <w:r>
        <w:rPr>
          <w:rFonts w:ascii="Arial" w:cs="Arial" w:eastAsia="Arial" w:hAnsi="Arial"/>
          <w:sz w:val="16"/>
          <w:szCs w:val="16"/>
          <w:color w:val="auto"/>
        </w:rPr>
        <w:t>Jackson P. Tai, who joined the board in 2013 and serves on the Audit Committee and the Directors and Corporate Governance Committee, will retire from the board following the Annual Meeting pursuant to our retirement policy.</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Board Leadership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104775</wp:posOffset>
            </wp:positionV>
            <wp:extent cx="1936115" cy="2262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6115" cy="2262505"/>
                    </a:xfrm>
                    <a:prstGeom prst="rect">
                      <a:avLst/>
                    </a:prstGeom>
                    <a:noFill/>
                  </pic:spPr>
                </pic:pic>
              </a:graphicData>
            </a:graphic>
          </wp:anchor>
        </w:drawing>
      </w:r>
    </w:p>
    <w:p>
      <w:pPr>
        <w:spacing w:after="0" w:line="226" w:lineRule="exact"/>
        <w:rPr>
          <w:sz w:val="20"/>
          <w:szCs w:val="20"/>
          <w:color w:val="auto"/>
        </w:rPr>
      </w:pPr>
    </w:p>
    <w:p>
      <w:pPr>
        <w:ind w:left="140" w:right="6259" w:hanging="131"/>
        <w:spacing w:after="0" w:line="269" w:lineRule="auto"/>
        <w:tabs>
          <w:tab w:leader="none" w:pos="140" w:val="left"/>
        </w:tabs>
        <w:numPr>
          <w:ilvl w:val="0"/>
          <w:numId w:val="5"/>
        </w:numPr>
        <w:rPr>
          <w:rFonts w:ascii="Calibri" w:cs="Calibri" w:eastAsia="Calibri" w:hAnsi="Calibri"/>
          <w:sz w:val="14"/>
          <w:szCs w:val="14"/>
          <w:b w:val="1"/>
          <w:bCs w:val="1"/>
          <w:color w:val="auto"/>
        </w:rPr>
      </w:pPr>
      <w:r>
        <w:rPr>
          <w:rFonts w:ascii="Arial" w:cs="Arial" w:eastAsia="Arial" w:hAnsi="Arial"/>
          <w:sz w:val="16"/>
          <w:szCs w:val="16"/>
          <w:b w:val="1"/>
          <w:bCs w:val="1"/>
          <w:color w:val="auto"/>
        </w:rPr>
        <w:t xml:space="preserve">Lead Independent Director: </w:t>
      </w:r>
      <w:r>
        <w:rPr>
          <w:rFonts w:ascii="Arial" w:cs="Arial" w:eastAsia="Arial" w:hAnsi="Arial"/>
          <w:sz w:val="15"/>
          <w:szCs w:val="15"/>
          <w:color w:val="auto"/>
        </w:rPr>
        <w:t>We have a strong lead</w:t>
      </w:r>
      <w:r>
        <w:rPr>
          <w:rFonts w:ascii="Arial" w:cs="Arial" w:eastAsia="Arial" w:hAnsi="Arial"/>
          <w:sz w:val="16"/>
          <w:szCs w:val="16"/>
          <w:b w:val="1"/>
          <w:bCs w:val="1"/>
          <w:color w:val="auto"/>
        </w:rPr>
        <w:t xml:space="preserve"> </w:t>
      </w:r>
      <w:r>
        <w:rPr>
          <w:rFonts w:ascii="Arial" w:cs="Arial" w:eastAsia="Arial" w:hAnsi="Arial"/>
          <w:sz w:val="15"/>
          <w:szCs w:val="15"/>
          <w:color w:val="auto"/>
        </w:rPr>
        <w:t>independent director empowered with clearly defined responsibilities.</w:t>
      </w:r>
    </w:p>
    <w:p>
      <w:pPr>
        <w:spacing w:after="0" w:line="55" w:lineRule="exact"/>
        <w:rPr>
          <w:rFonts w:ascii="Calibri" w:cs="Calibri" w:eastAsia="Calibri" w:hAnsi="Calibri"/>
          <w:sz w:val="14"/>
          <w:szCs w:val="14"/>
          <w:b w:val="1"/>
          <w:bCs w:val="1"/>
          <w:color w:val="auto"/>
        </w:rPr>
      </w:pPr>
    </w:p>
    <w:p>
      <w:pPr>
        <w:ind w:left="140" w:right="5459" w:hanging="131"/>
        <w:spacing w:after="0" w:line="271" w:lineRule="auto"/>
        <w:tabs>
          <w:tab w:leader="none" w:pos="130" w:val="left"/>
        </w:tabs>
        <w:numPr>
          <w:ilvl w:val="0"/>
          <w:numId w:val="5"/>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Independent Committees: </w:t>
      </w:r>
      <w:r>
        <w:rPr>
          <w:rFonts w:ascii="Arial" w:cs="Arial" w:eastAsia="Arial" w:hAnsi="Arial"/>
          <w:sz w:val="15"/>
          <w:szCs w:val="15"/>
          <w:color w:val="auto"/>
        </w:rPr>
        <w:t>All standing board committees are</w:t>
      </w:r>
      <w:r>
        <w:rPr>
          <w:rFonts w:ascii="Arial" w:cs="Arial" w:eastAsia="Arial" w:hAnsi="Arial"/>
          <w:sz w:val="16"/>
          <w:szCs w:val="16"/>
          <w:b w:val="1"/>
          <w:bCs w:val="1"/>
          <w:color w:val="auto"/>
        </w:rPr>
        <w:t xml:space="preserve"> </w:t>
      </w:r>
      <w:r>
        <w:rPr>
          <w:rFonts w:ascii="Arial" w:cs="Arial" w:eastAsia="Arial" w:hAnsi="Arial"/>
          <w:sz w:val="15"/>
          <w:szCs w:val="15"/>
          <w:color w:val="auto"/>
        </w:rPr>
        <w:t>composed solely of independent directors and led by independent committee chairs.</w:t>
      </w:r>
    </w:p>
    <w:p>
      <w:pPr>
        <w:spacing w:after="0" w:line="55" w:lineRule="exact"/>
        <w:rPr>
          <w:rFonts w:ascii="Arial" w:cs="Arial" w:eastAsia="Arial" w:hAnsi="Arial"/>
          <w:sz w:val="14"/>
          <w:szCs w:val="14"/>
          <w:b w:val="1"/>
          <w:bCs w:val="1"/>
          <w:color w:val="auto"/>
        </w:rPr>
      </w:pPr>
    </w:p>
    <w:p>
      <w:pPr>
        <w:ind w:left="140" w:right="5479" w:hanging="131"/>
        <w:spacing w:after="0" w:line="271" w:lineRule="auto"/>
        <w:tabs>
          <w:tab w:leader="none" w:pos="130" w:val="left"/>
        </w:tabs>
        <w:numPr>
          <w:ilvl w:val="0"/>
          <w:numId w:val="5"/>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Executive Sessions: </w:t>
      </w:r>
      <w:r>
        <w:rPr>
          <w:rFonts w:ascii="Arial" w:cs="Arial" w:eastAsia="Arial" w:hAnsi="Arial"/>
          <w:sz w:val="15"/>
          <w:szCs w:val="15"/>
          <w:color w:val="auto"/>
        </w:rPr>
        <w:t>Our board holds executive sessions of the</w:t>
      </w:r>
      <w:r>
        <w:rPr>
          <w:rFonts w:ascii="Arial" w:cs="Arial" w:eastAsia="Arial" w:hAnsi="Arial"/>
          <w:sz w:val="16"/>
          <w:szCs w:val="16"/>
          <w:b w:val="1"/>
          <w:bCs w:val="1"/>
          <w:color w:val="auto"/>
        </w:rPr>
        <w:t xml:space="preserve"> </w:t>
      </w:r>
      <w:r>
        <w:rPr>
          <w:rFonts w:ascii="Arial" w:cs="Arial" w:eastAsia="Arial" w:hAnsi="Arial"/>
          <w:sz w:val="15"/>
          <w:szCs w:val="15"/>
          <w:color w:val="auto"/>
        </w:rPr>
        <w:t>independent directors that are presided over by the lead independent director at every regular board meeting.</w:t>
      </w:r>
    </w:p>
    <w:p>
      <w:pPr>
        <w:spacing w:after="0" w:line="55" w:lineRule="exact"/>
        <w:rPr>
          <w:rFonts w:ascii="Arial" w:cs="Arial" w:eastAsia="Arial" w:hAnsi="Arial"/>
          <w:sz w:val="14"/>
          <w:szCs w:val="14"/>
          <w:b w:val="1"/>
          <w:bCs w:val="1"/>
          <w:color w:val="auto"/>
        </w:rPr>
      </w:pPr>
    </w:p>
    <w:p>
      <w:pPr>
        <w:ind w:left="140" w:right="5439" w:hanging="131"/>
        <w:spacing w:after="0" w:line="273" w:lineRule="auto"/>
        <w:tabs>
          <w:tab w:leader="none" w:pos="130" w:val="left"/>
        </w:tabs>
        <w:numPr>
          <w:ilvl w:val="0"/>
          <w:numId w:val="5"/>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Access to Management &amp; Advisors: </w:t>
      </w:r>
      <w:r>
        <w:rPr>
          <w:rFonts w:ascii="Arial" w:cs="Arial" w:eastAsia="Arial" w:hAnsi="Arial"/>
          <w:sz w:val="15"/>
          <w:szCs w:val="15"/>
          <w:color w:val="auto"/>
        </w:rPr>
        <w:t>Our independent</w:t>
      </w:r>
      <w:r>
        <w:rPr>
          <w:rFonts w:ascii="Arial" w:cs="Arial" w:eastAsia="Arial" w:hAnsi="Arial"/>
          <w:sz w:val="16"/>
          <w:szCs w:val="16"/>
          <w:b w:val="1"/>
          <w:bCs w:val="1"/>
          <w:color w:val="auto"/>
        </w:rPr>
        <w:t xml:space="preserve"> </w:t>
      </w:r>
      <w:r>
        <w:rPr>
          <w:rFonts w:ascii="Arial" w:cs="Arial" w:eastAsia="Arial" w:hAnsi="Arial"/>
          <w:sz w:val="15"/>
          <w:szCs w:val="15"/>
          <w:color w:val="auto"/>
        </w:rPr>
        <w:t>directors actively engage in board meetings, have direct access to management, and, along with our board committees, have discretion to hire independent advisors at the company’s expense.</w:t>
      </w:r>
    </w:p>
    <w:p>
      <w:pPr>
        <w:spacing w:after="0" w:line="54" w:lineRule="exact"/>
        <w:rPr>
          <w:rFonts w:ascii="Arial" w:cs="Arial" w:eastAsia="Arial" w:hAnsi="Arial"/>
          <w:sz w:val="14"/>
          <w:szCs w:val="14"/>
          <w:b w:val="1"/>
          <w:bCs w:val="1"/>
          <w:color w:val="auto"/>
        </w:rPr>
      </w:pPr>
    </w:p>
    <w:p>
      <w:pPr>
        <w:jc w:val="both"/>
        <w:ind w:left="140" w:right="5419" w:hanging="131"/>
        <w:spacing w:after="0" w:line="271" w:lineRule="auto"/>
        <w:tabs>
          <w:tab w:leader="none" w:pos="130" w:val="left"/>
        </w:tabs>
        <w:numPr>
          <w:ilvl w:val="0"/>
          <w:numId w:val="5"/>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Conflict of Interest Management: </w:t>
      </w:r>
      <w:r>
        <w:rPr>
          <w:rFonts w:ascii="Arial" w:cs="Arial" w:eastAsia="Arial" w:hAnsi="Arial"/>
          <w:sz w:val="15"/>
          <w:szCs w:val="15"/>
          <w:color w:val="auto"/>
        </w:rPr>
        <w:t>Our conflict of interest policy</w:t>
      </w:r>
      <w:r>
        <w:rPr>
          <w:rFonts w:ascii="Arial" w:cs="Arial" w:eastAsia="Arial" w:hAnsi="Arial"/>
          <w:sz w:val="16"/>
          <w:szCs w:val="16"/>
          <w:b w:val="1"/>
          <w:bCs w:val="1"/>
          <w:color w:val="auto"/>
        </w:rPr>
        <w:t xml:space="preserve"> </w:t>
      </w:r>
      <w:r>
        <w:rPr>
          <w:rFonts w:ascii="Arial" w:cs="Arial" w:eastAsia="Arial" w:hAnsi="Arial"/>
          <w:sz w:val="15"/>
          <w:szCs w:val="15"/>
          <w:color w:val="auto"/>
        </w:rPr>
        <w:t>requires disclosures of potential conflicts to Lilly and clarifies when Lilly board service must be disclosed to others.</w:t>
      </w:r>
    </w:p>
    <w:p>
      <w:pPr>
        <w:spacing w:after="0" w:line="56" w:lineRule="exact"/>
        <w:rPr>
          <w:sz w:val="20"/>
          <w:szCs w:val="20"/>
          <w:color w:val="auto"/>
        </w:rPr>
      </w:pPr>
    </w:p>
    <w:p>
      <w:pPr>
        <w:spacing w:after="0"/>
        <w:tabs>
          <w:tab w:leader="none" w:pos="4920" w:val="left"/>
        </w:tabs>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CEO Selection and Compensation:</w:t>
      </w:r>
      <w:r>
        <w:rPr>
          <w:rFonts w:ascii="Arial" w:cs="Arial" w:eastAsia="Arial" w:hAnsi="Arial"/>
          <w:sz w:val="14"/>
          <w:szCs w:val="14"/>
          <w:b w:val="1"/>
          <w:bCs w:val="1"/>
          <w:color w:val="auto"/>
        </w:rPr>
        <w:t xml:space="preserve"> </w:t>
      </w:r>
      <w:r>
        <w:rPr>
          <w:rFonts w:ascii="Arial" w:cs="Arial" w:eastAsia="Arial" w:hAnsi="Arial"/>
          <w:sz w:val="15"/>
          <w:szCs w:val="15"/>
          <w:color w:val="auto"/>
        </w:rPr>
        <w:t>Our independent directors</w:t>
      </w:r>
      <w:r>
        <w:rPr>
          <w:sz w:val="20"/>
          <w:szCs w:val="20"/>
          <w:color w:val="auto"/>
        </w:rPr>
        <w:tab/>
      </w:r>
      <w:r>
        <w:rPr>
          <w:rFonts w:ascii="Arial" w:cs="Arial" w:eastAsia="Arial" w:hAnsi="Arial"/>
          <w:sz w:val="12"/>
          <w:szCs w:val="12"/>
          <w:color w:val="auto"/>
        </w:rPr>
        <w:t>Information as of the date of this proxy statement.</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lead the board’s process for selecting the CEO. Our Talent and</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Committee (and, in the case of our CEO,</w:t>
      </w: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96" w:right="1440" w:bottom="1440" w:gutter="0" w:footer="0" w:header="0"/>
        </w:sectPr>
      </w:pPr>
    </w:p>
    <w:bookmarkStart w:id="9" w:name="page10"/>
    <w:bookmarkEnd w:id="9"/>
    <w:p>
      <w:pPr>
        <w:ind w:left="140" w:right="3780"/>
        <w:spacing w:after="0" w:line="271" w:lineRule="auto"/>
        <w:rPr>
          <w:sz w:val="20"/>
          <w:szCs w:val="20"/>
          <w:color w:val="auto"/>
        </w:rPr>
      </w:pPr>
      <w:r>
        <w:rPr>
          <w:rFonts w:ascii="Arial" w:cs="Arial" w:eastAsia="Arial" w:hAnsi="Arial"/>
          <w:sz w:val="16"/>
          <w:szCs w:val="16"/>
          <w:color w:val="auto"/>
        </w:rPr>
        <w:t>in consultation with other independent directors and our external compensation consultant) establishes the compensation for our CEO and other executive officers.</w:t>
      </w:r>
    </w:p>
    <w:p>
      <w:pPr>
        <w:spacing w:after="0" w:line="101" w:lineRule="exact"/>
        <w:rPr>
          <w:sz w:val="20"/>
          <w:szCs w:val="20"/>
          <w:color w:val="auto"/>
        </w:rPr>
      </w:pPr>
    </w:p>
    <w:p>
      <w:pPr>
        <w:ind w:left="140" w:right="3540" w:hanging="131"/>
        <w:spacing w:after="0" w:line="301" w:lineRule="auto"/>
        <w:tabs>
          <w:tab w:leader="none" w:pos="130" w:val="left"/>
        </w:tabs>
        <w:numPr>
          <w:ilvl w:val="0"/>
          <w:numId w:val="6"/>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Refreshment: </w:t>
      </w:r>
      <w:r>
        <w:rPr>
          <w:rFonts w:ascii="Arial" w:cs="Arial" w:eastAsia="Arial" w:hAnsi="Arial"/>
          <w:sz w:val="15"/>
          <w:szCs w:val="15"/>
          <w:color w:val="auto"/>
        </w:rPr>
        <w:t>We are committed to maintaining an active and insightful board and seek to balance continuity</w:t>
      </w:r>
      <w:r>
        <w:rPr>
          <w:rFonts w:ascii="Arial" w:cs="Arial" w:eastAsia="Arial" w:hAnsi="Arial"/>
          <w:sz w:val="16"/>
          <w:szCs w:val="16"/>
          <w:b w:val="1"/>
          <w:bCs w:val="1"/>
          <w:color w:val="auto"/>
        </w:rPr>
        <w:t xml:space="preserve"> </w:t>
      </w:r>
      <w:r>
        <w:rPr>
          <w:rFonts w:ascii="Arial" w:cs="Arial" w:eastAsia="Arial" w:hAnsi="Arial"/>
          <w:sz w:val="15"/>
          <w:szCs w:val="15"/>
          <w:color w:val="auto"/>
        </w:rPr>
        <w:t>of experience with fresh perspectives.</w:t>
      </w:r>
    </w:p>
    <w:p>
      <w:pPr>
        <w:spacing w:after="0" w:line="125" w:lineRule="exact"/>
        <w:rPr>
          <w:rFonts w:ascii="Arial" w:cs="Arial" w:eastAsia="Arial" w:hAnsi="Arial"/>
          <w:sz w:val="14"/>
          <w:szCs w:val="14"/>
          <w:b w:val="1"/>
          <w:bCs w:val="1"/>
          <w:color w:val="auto"/>
        </w:rPr>
      </w:pPr>
    </w:p>
    <w:p>
      <w:pPr>
        <w:ind w:left="140" w:right="3480" w:hanging="131"/>
        <w:spacing w:after="0" w:line="271" w:lineRule="auto"/>
        <w:tabs>
          <w:tab w:leader="none" w:pos="130" w:val="left"/>
        </w:tabs>
        <w:numPr>
          <w:ilvl w:val="0"/>
          <w:numId w:val="6"/>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Robust Annual Assessment: </w:t>
      </w:r>
      <w:r>
        <w:rPr>
          <w:rFonts w:ascii="Arial" w:cs="Arial" w:eastAsia="Arial" w:hAnsi="Arial"/>
          <w:sz w:val="15"/>
          <w:szCs w:val="15"/>
          <w:color w:val="auto"/>
        </w:rPr>
        <w:t>Our board conducts a robust annual assessment of its performance led by the</w:t>
      </w:r>
      <w:r>
        <w:rPr>
          <w:rFonts w:ascii="Arial" w:cs="Arial" w:eastAsia="Arial" w:hAnsi="Arial"/>
          <w:sz w:val="16"/>
          <w:szCs w:val="16"/>
          <w:b w:val="1"/>
          <w:bCs w:val="1"/>
          <w:color w:val="auto"/>
        </w:rPr>
        <w:t xml:space="preserve"> </w:t>
      </w:r>
      <w:r>
        <w:rPr>
          <w:rFonts w:ascii="Arial" w:cs="Arial" w:eastAsia="Arial" w:hAnsi="Arial"/>
          <w:sz w:val="15"/>
          <w:szCs w:val="15"/>
          <w:color w:val="auto"/>
        </w:rPr>
        <w:t>lead independent director, including an annual assessment of each director. These assessments help provide the board with valuable perspectives to drive effectiveness and leadership.</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Strategy and Risk Oversight</w:t>
      </w:r>
    </w:p>
    <w:p>
      <w:pPr>
        <w:spacing w:after="0" w:line="200" w:lineRule="exact"/>
        <w:rPr>
          <w:sz w:val="20"/>
          <w:szCs w:val="20"/>
          <w:color w:val="auto"/>
        </w:rPr>
      </w:pPr>
    </w:p>
    <w:p>
      <w:pPr>
        <w:ind w:left="200" w:right="80" w:hanging="136"/>
        <w:spacing w:after="0" w:line="232" w:lineRule="auto"/>
        <w:tabs>
          <w:tab w:leader="none" w:pos="190" w:val="left"/>
        </w:tabs>
        <w:numPr>
          <w:ilvl w:val="0"/>
          <w:numId w:val="7"/>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Strategy: </w:t>
      </w:r>
      <w:r>
        <w:rPr>
          <w:rFonts w:ascii="Arial" w:cs="Arial" w:eastAsia="Arial" w:hAnsi="Arial"/>
          <w:sz w:val="15"/>
          <w:szCs w:val="15"/>
          <w:color w:val="auto"/>
        </w:rPr>
        <w:t>Our board approves and actively oversees our corporate long-term strategy. Our board and board committee agendas are structured to engage our</w:t>
      </w:r>
      <w:r>
        <w:rPr>
          <w:rFonts w:ascii="Arial" w:cs="Arial" w:eastAsia="Arial" w:hAnsi="Arial"/>
          <w:sz w:val="19"/>
          <w:szCs w:val="19"/>
          <w:b w:val="1"/>
          <w:bCs w:val="1"/>
          <w:color w:val="auto"/>
        </w:rPr>
        <w:t xml:space="preserve"> </w:t>
      </w:r>
      <w:r>
        <w:rPr>
          <w:rFonts w:ascii="Arial" w:cs="Arial" w:eastAsia="Arial" w:hAnsi="Arial"/>
          <w:sz w:val="15"/>
          <w:szCs w:val="15"/>
          <w:color w:val="auto"/>
        </w:rPr>
        <w:t>directors in informed reviews of strategic and forward-looking issues, as well as in constructive challenges to management initiatives and programs.</w:t>
      </w:r>
    </w:p>
    <w:p>
      <w:pPr>
        <w:spacing w:after="0" w:line="173" w:lineRule="exact"/>
        <w:rPr>
          <w:rFonts w:ascii="Arial" w:cs="Arial" w:eastAsia="Arial" w:hAnsi="Arial"/>
          <w:sz w:val="14"/>
          <w:szCs w:val="14"/>
          <w:b w:val="1"/>
          <w:bCs w:val="1"/>
          <w:color w:val="auto"/>
        </w:rPr>
      </w:pPr>
    </w:p>
    <w:p>
      <w:pPr>
        <w:ind w:left="200" w:right="20" w:hanging="136"/>
        <w:spacing w:after="0" w:line="268" w:lineRule="auto"/>
        <w:tabs>
          <w:tab w:leader="none" w:pos="190" w:val="left"/>
        </w:tabs>
        <w:numPr>
          <w:ilvl w:val="0"/>
          <w:numId w:val="7"/>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Code of Conduct: </w:t>
      </w:r>
      <w:r>
        <w:rPr>
          <w:rFonts w:ascii="Arial" w:cs="Arial" w:eastAsia="Arial" w:hAnsi="Arial"/>
          <w:sz w:val="15"/>
          <w:szCs w:val="15"/>
          <w:color w:val="auto"/>
        </w:rPr>
        <w:t>Our code of business conduct reflects principles that are consistent with our company values of integrity, excellence, and respect for</w:t>
      </w:r>
      <w:r>
        <w:rPr>
          <w:rFonts w:ascii="Arial" w:cs="Arial" w:eastAsia="Arial" w:hAnsi="Arial"/>
          <w:sz w:val="19"/>
          <w:szCs w:val="19"/>
          <w:b w:val="1"/>
          <w:bCs w:val="1"/>
          <w:color w:val="auto"/>
        </w:rPr>
        <w:t xml:space="preserve"> </w:t>
      </w:r>
      <w:r>
        <w:rPr>
          <w:rFonts w:ascii="Arial" w:cs="Arial" w:eastAsia="Arial" w:hAnsi="Arial"/>
          <w:sz w:val="15"/>
          <w:szCs w:val="15"/>
          <w:color w:val="auto"/>
        </w:rPr>
        <w:t>people, which are stated in The Red Book. This code applies to our board and all employees worldwide and is reviewed and approved annually by the board. In 2022 we revised The Red Book training to update our Global Conduct in the Workplace procedure to continue to help ensure that we maintain a respectful, safe, inclusive, and professional workplace. We have a supplemental code of conduct for our CEO and all members of financial management, in recognition of their unique responsibilities to ensure proper accounting, financial reporting, internal controls, and financial stewardship.</w:t>
      </w:r>
    </w:p>
    <w:p>
      <w:pPr>
        <w:spacing w:after="0" w:line="153" w:lineRule="exact"/>
        <w:rPr>
          <w:rFonts w:ascii="Arial" w:cs="Arial" w:eastAsia="Arial" w:hAnsi="Arial"/>
          <w:sz w:val="14"/>
          <w:szCs w:val="14"/>
          <w:b w:val="1"/>
          <w:bCs w:val="1"/>
          <w:color w:val="auto"/>
        </w:rPr>
      </w:pPr>
    </w:p>
    <w:p>
      <w:pPr>
        <w:ind w:left="200" w:hanging="136"/>
        <w:spacing w:after="0"/>
        <w:tabs>
          <w:tab w:leader="none" w:pos="200" w:val="left"/>
        </w:tabs>
        <w:numPr>
          <w:ilvl w:val="0"/>
          <w:numId w:val="7"/>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Corporate Governance: </w:t>
      </w:r>
      <w:r>
        <w:rPr>
          <w:rFonts w:ascii="Arial" w:cs="Arial" w:eastAsia="Arial" w:hAnsi="Arial"/>
          <w:sz w:val="15"/>
          <w:szCs w:val="15"/>
          <w:color w:val="auto"/>
        </w:rPr>
        <w:t>The charters of our board committees clearly establish the committees’ respective roles and responsibilities.</w:t>
      </w:r>
    </w:p>
    <w:p>
      <w:pPr>
        <w:spacing w:after="0" w:line="190" w:lineRule="exact"/>
        <w:rPr>
          <w:rFonts w:ascii="Arial" w:cs="Arial" w:eastAsia="Arial" w:hAnsi="Arial"/>
          <w:sz w:val="14"/>
          <w:szCs w:val="14"/>
          <w:b w:val="1"/>
          <w:bCs w:val="1"/>
          <w:color w:val="auto"/>
        </w:rPr>
      </w:pPr>
    </w:p>
    <w:p>
      <w:pPr>
        <w:ind w:left="200" w:right="40" w:hanging="136"/>
        <w:spacing w:after="0" w:line="248" w:lineRule="auto"/>
        <w:tabs>
          <w:tab w:leader="none" w:pos="190" w:val="left"/>
        </w:tabs>
        <w:numPr>
          <w:ilvl w:val="0"/>
          <w:numId w:val="7"/>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Compliance Program and Enterprise Risk Reviews: </w:t>
      </w:r>
      <w:r>
        <w:rPr>
          <w:rFonts w:ascii="Arial" w:cs="Arial" w:eastAsia="Arial" w:hAnsi="Arial"/>
          <w:sz w:val="15"/>
          <w:szCs w:val="15"/>
          <w:color w:val="auto"/>
        </w:rPr>
        <w:t>Our board reviews the overall state of our compliance program at least annually and regularly</w:t>
      </w:r>
      <w:r>
        <w:rPr>
          <w:rFonts w:ascii="Arial" w:cs="Arial" w:eastAsia="Arial" w:hAnsi="Arial"/>
          <w:sz w:val="19"/>
          <w:szCs w:val="19"/>
          <w:b w:val="1"/>
          <w:bCs w:val="1"/>
          <w:color w:val="auto"/>
        </w:rPr>
        <w:t xml:space="preserve"> </w:t>
      </w:r>
      <w:r>
        <w:rPr>
          <w:rFonts w:ascii="Arial" w:cs="Arial" w:eastAsia="Arial" w:hAnsi="Arial"/>
          <w:sz w:val="15"/>
          <w:szCs w:val="15"/>
          <w:color w:val="auto"/>
        </w:rPr>
        <w:t>reviews our enterprise-level risks. Our Audit Committee oversees the process by which we identify and create mitigation plans for enterprise-level risks. See “</w:t>
      </w:r>
      <w:r>
        <w:rPr>
          <w:rFonts w:ascii="Arial" w:cs="Arial" w:eastAsia="Arial" w:hAnsi="Arial"/>
          <w:sz w:val="15"/>
          <w:szCs w:val="15"/>
          <w:u w:val="single" w:color="auto"/>
          <w:color w:val="0000FF"/>
        </w:rPr>
        <w:t>Governance Practices—Board Oversight</w:t>
      </w:r>
      <w:r>
        <w:rPr>
          <w:rFonts w:ascii="Arial" w:cs="Arial" w:eastAsia="Arial" w:hAnsi="Arial"/>
          <w:sz w:val="15"/>
          <w:szCs w:val="15"/>
          <w:color w:val="auto"/>
        </w:rPr>
        <w:t>”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Oversight of Certain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91440</wp:posOffset>
            </wp:positionV>
            <wp:extent cx="445135" cy="4451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135" cy="44513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91440</wp:posOffset>
            </wp:positionV>
            <wp:extent cx="445135" cy="445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5135" cy="44513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91440</wp:posOffset>
            </wp:positionV>
            <wp:extent cx="445135" cy="445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135" cy="445135"/>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83820</wp:posOffset>
            </wp:positionV>
            <wp:extent cx="481965" cy="4673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1965" cy="4673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624"/>
        </w:trPr>
        <w:tc>
          <w:tcPr>
            <w:tcW w:w="1780" w:type="dxa"/>
            <w:vAlign w:val="bottom"/>
            <w:tcBorders>
              <w:left w:val="single" w:sz="8" w:color="auto"/>
              <w:right w:val="single" w:sz="8" w:color="auto"/>
            </w:tcBorders>
            <w:gridSpan w:val="3"/>
          </w:tcPr>
          <w:p>
            <w:pPr>
              <w:ind w:left="340"/>
              <w:spacing w:after="0"/>
              <w:rPr>
                <w:sz w:val="20"/>
                <w:szCs w:val="20"/>
                <w:color w:val="auto"/>
              </w:rPr>
            </w:pPr>
            <w:r>
              <w:rPr>
                <w:rFonts w:ascii="Arial" w:cs="Arial" w:eastAsia="Arial" w:hAnsi="Arial"/>
                <w:sz w:val="16"/>
                <w:szCs w:val="16"/>
                <w:b w:val="1"/>
                <w:bCs w:val="1"/>
                <w:color w:val="D52B1E"/>
              </w:rPr>
              <w:t>Cybersecurity</w:t>
            </w:r>
          </w:p>
        </w:tc>
        <w:tc>
          <w:tcPr>
            <w:tcW w:w="18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b w:val="1"/>
                <w:bCs w:val="1"/>
                <w:color w:val="D52B1E"/>
              </w:rPr>
              <w:t>Political Activity</w:t>
            </w:r>
          </w:p>
        </w:tc>
        <w:tc>
          <w:tcPr>
            <w:tcW w:w="16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gridSpan w:val="3"/>
          </w:tcPr>
          <w:p>
            <w:pPr>
              <w:ind w:left="420"/>
              <w:spacing w:after="0"/>
              <w:rPr>
                <w:sz w:val="20"/>
                <w:szCs w:val="20"/>
                <w:color w:val="auto"/>
              </w:rPr>
            </w:pPr>
            <w:r>
              <w:rPr>
                <w:rFonts w:ascii="Arial" w:cs="Arial" w:eastAsia="Arial" w:hAnsi="Arial"/>
                <w:sz w:val="16"/>
                <w:szCs w:val="16"/>
                <w:b w:val="1"/>
                <w:bCs w:val="1"/>
                <w:color w:val="D52B1E"/>
              </w:rPr>
              <w:t>Environment</w:t>
            </w:r>
          </w:p>
        </w:tc>
        <w:tc>
          <w:tcPr>
            <w:tcW w:w="1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b w:val="1"/>
                <w:bCs w:val="1"/>
                <w:color w:val="D52B1E"/>
              </w:rPr>
              <w:t>DEI</w:t>
            </w:r>
          </w:p>
        </w:tc>
        <w:tc>
          <w:tcPr>
            <w:tcW w:w="3440" w:type="dxa"/>
            <w:vAlign w:val="bottom"/>
          </w:tcPr>
          <w:p>
            <w:pPr>
              <w:spacing w:after="0"/>
              <w:rPr>
                <w:sz w:val="24"/>
                <w:szCs w:val="24"/>
                <w:color w:val="auto"/>
              </w:rPr>
            </w:pPr>
          </w:p>
        </w:tc>
      </w:tr>
      <w:tr>
        <w:trPr>
          <w:trHeight w:val="206"/>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Our board and Audit</w:t>
            </w:r>
          </w:p>
        </w:tc>
        <w:tc>
          <w:tcPr>
            <w:tcW w:w="1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Our board oversees our</w:t>
            </w:r>
          </w:p>
        </w:tc>
        <w:tc>
          <w:tcPr>
            <w:tcW w:w="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Our board, including its</w:t>
            </w:r>
          </w:p>
        </w:tc>
        <w:tc>
          <w:tcPr>
            <w:tcW w:w="18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Our board exercises</w:t>
            </w:r>
          </w:p>
        </w:tc>
        <w:tc>
          <w:tcPr>
            <w:tcW w:w="3440" w:type="dxa"/>
            <w:vAlign w:val="bottom"/>
          </w:tcPr>
          <w:p>
            <w:pPr>
              <w:spacing w:after="0"/>
              <w:rPr>
                <w:sz w:val="17"/>
                <w:szCs w:val="17"/>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Committee receive</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political expenditures</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Directors and Corporate</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active oversight over the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regular presentations</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and lobbying activities.</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Governance Committee,</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overall talent</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on cybersecurity and</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8"/>
              </w:rPr>
              <w:t>Directors receive regular</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oversees and maintains</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management process,</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information technology</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updates on public policy</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ongoing engagement on</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including human capital</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as part of their</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issues and on the</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key climate and</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management strategies,</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oversight of enterprise-</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company’s political</w:t>
            </w:r>
          </w:p>
        </w:tc>
        <w:tc>
          <w:tcPr>
            <w:tcW w:w="1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sustainability matters.</w:t>
            </w: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corporate culture, and</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w w:val="96"/>
              </w:rPr>
              <w:t>level risks; in addition to</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corporate activity. The</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DEI programs. The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regular presentations,</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board also receives</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board also oversees the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management promptly</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semi-annual updates on</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9"/>
              </w:rPr>
              <w:t>work of its committees in</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updates our board</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political engagement,</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connection with the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regarding significant</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including information on</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board’s development of</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threats or incidents as</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the contributions made</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corporate policies and</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they arise, as well as</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by LillyPAC and the</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frameworks designed to</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w w:val="99"/>
              </w:rPr>
              <w:t>changes to the broader</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company, as well as</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attract, retain, engage,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cybersecurity</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trade association</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w w:val="99"/>
              </w:rPr>
              <w:t>and develop a workforce</w:t>
            </w:r>
          </w:p>
        </w:tc>
        <w:tc>
          <w:tcPr>
            <w:tcW w:w="3440" w:type="dxa"/>
            <w:vAlign w:val="bottom"/>
          </w:tcPr>
          <w:p>
            <w:pPr>
              <w:spacing w:after="0"/>
              <w:rPr>
                <w:sz w:val="16"/>
                <w:szCs w:val="16"/>
                <w:color w:val="auto"/>
              </w:rPr>
            </w:pPr>
          </w:p>
        </w:tc>
      </w:tr>
      <w:tr>
        <w:trPr>
          <w:trHeight w:val="187"/>
        </w:trPr>
        <w:tc>
          <w:tcPr>
            <w:tcW w:w="1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6"/>
                <w:szCs w:val="16"/>
                <w:color w:val="auto"/>
              </w:rPr>
              <w:t>landscape.</w:t>
            </w:r>
          </w:p>
        </w:tc>
        <w:tc>
          <w:tcPr>
            <w:tcW w:w="1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memberships.</w:t>
            </w:r>
          </w:p>
        </w:tc>
        <w:tc>
          <w:tcPr>
            <w:tcW w:w="1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that aligns with our</w:t>
            </w:r>
          </w:p>
        </w:tc>
        <w:tc>
          <w:tcPr>
            <w:tcW w:w="3440" w:type="dxa"/>
            <w:vAlign w:val="bottom"/>
          </w:tcPr>
          <w:p>
            <w:pPr>
              <w:spacing w:after="0"/>
              <w:rPr>
                <w:sz w:val="16"/>
                <w:szCs w:val="16"/>
                <w:color w:val="auto"/>
              </w:rPr>
            </w:pPr>
          </w:p>
        </w:tc>
      </w:tr>
      <w:tr>
        <w:trPr>
          <w:trHeight w:val="205"/>
        </w:trPr>
        <w:tc>
          <w:tcPr>
            <w:tcW w:w="5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values and mission.</w:t>
            </w:r>
          </w:p>
        </w:tc>
        <w:tc>
          <w:tcPr>
            <w:tcW w:w="3440" w:type="dxa"/>
            <w:vAlign w:val="bottom"/>
          </w:tcPr>
          <w:p>
            <w:pPr>
              <w:spacing w:after="0"/>
              <w:rPr>
                <w:sz w:val="17"/>
                <w:szCs w:val="17"/>
                <w:color w:val="auto"/>
              </w:rPr>
            </w:pPr>
          </w:p>
        </w:tc>
      </w:tr>
      <w:tr>
        <w:trPr>
          <w:trHeight w:val="20"/>
        </w:trPr>
        <w:tc>
          <w:tcPr>
            <w:tcW w:w="52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3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164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87"/>
        </w:trPr>
        <w:tc>
          <w:tcPr>
            <w:tcW w:w="5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34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0" w:name="page11"/>
    <w:bookmarkEnd w:id="10"/>
    <w:p>
      <w:pPr>
        <w:ind w:left="7"/>
        <w:spacing w:after="0"/>
        <w:rPr>
          <w:sz w:val="20"/>
          <w:szCs w:val="20"/>
          <w:color w:val="auto"/>
        </w:rPr>
      </w:pPr>
      <w:r>
        <w:rPr>
          <w:rFonts w:ascii="Arial" w:cs="Arial" w:eastAsia="Arial" w:hAnsi="Arial"/>
          <w:sz w:val="22"/>
          <w:szCs w:val="22"/>
          <w:b w:val="1"/>
          <w:bCs w:val="1"/>
          <w:color w:val="00A1DE"/>
        </w:rPr>
        <w:t>Shareholder Access &amp; Engagement</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Engagement Response</w:t>
      </w:r>
    </w:p>
    <w:p>
      <w:pPr>
        <w:spacing w:after="0" w:line="59" w:lineRule="exact"/>
        <w:rPr>
          <w:sz w:val="20"/>
          <w:szCs w:val="20"/>
          <w:color w:val="auto"/>
        </w:rPr>
      </w:pPr>
    </w:p>
    <w:p>
      <w:pPr>
        <w:ind w:left="287" w:hanging="287"/>
        <w:spacing w:after="0" w:line="296" w:lineRule="auto"/>
        <w:tabs>
          <w:tab w:leader="none" w:pos="277" w:val="left"/>
        </w:tabs>
        <w:numPr>
          <w:ilvl w:val="0"/>
          <w:numId w:val="8"/>
        </w:numPr>
        <w:rPr>
          <w:rFonts w:ascii="Arial" w:cs="Arial" w:eastAsia="Arial" w:hAnsi="Arial"/>
          <w:sz w:val="13"/>
          <w:szCs w:val="13"/>
          <w:color w:val="auto"/>
        </w:rPr>
      </w:pPr>
      <w:r>
        <w:rPr>
          <w:rFonts w:ascii="Arial" w:cs="Arial" w:eastAsia="Arial" w:hAnsi="Arial"/>
          <w:sz w:val="14"/>
          <w:szCs w:val="14"/>
          <w:color w:val="auto"/>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ind w:left="287" w:right="460" w:hanging="287"/>
        <w:spacing w:after="0" w:line="252" w:lineRule="auto"/>
        <w:tabs>
          <w:tab w:leader="none" w:pos="277" w:val="left"/>
        </w:tabs>
        <w:numPr>
          <w:ilvl w:val="0"/>
          <w:numId w:val="8"/>
        </w:numPr>
        <w:rPr>
          <w:rFonts w:ascii="Arial" w:cs="Arial" w:eastAsia="Arial" w:hAnsi="Arial"/>
          <w:sz w:val="14"/>
          <w:szCs w:val="14"/>
          <w:color w:val="auto"/>
        </w:rPr>
      </w:pPr>
      <w:r>
        <w:rPr>
          <w:rFonts w:ascii="Arial" w:cs="Arial" w:eastAsia="Arial" w:hAnsi="Arial"/>
          <w:sz w:val="16"/>
          <w:szCs w:val="16"/>
          <w:color w:val="auto"/>
        </w:rPr>
        <w:t>In response to input from our shareholders, at our 2022 annual meeting, management put forth, and shareholders approved, amendments to our articles of incorporation and bylaws to permit shareholders to amend the company’s bylaws.</w:t>
      </w:r>
    </w:p>
    <w:p>
      <w:pPr>
        <w:spacing w:after="0" w:line="24"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Proxy Access</w:t>
      </w:r>
    </w:p>
    <w:p>
      <w:pPr>
        <w:spacing w:after="0" w:line="47" w:lineRule="exact"/>
        <w:rPr>
          <w:sz w:val="20"/>
          <w:szCs w:val="20"/>
          <w:color w:val="auto"/>
        </w:rPr>
      </w:pPr>
    </w:p>
    <w:p>
      <w:pPr>
        <w:jc w:val="both"/>
        <w:ind w:left="287" w:right="340" w:hanging="287"/>
        <w:spacing w:after="0" w:line="344" w:lineRule="auto"/>
        <w:tabs>
          <w:tab w:leader="none" w:pos="277" w:val="left"/>
        </w:tabs>
        <w:numPr>
          <w:ilvl w:val="0"/>
          <w:numId w:val="9"/>
        </w:numPr>
        <w:rPr>
          <w:rFonts w:ascii="Arial" w:cs="Arial" w:eastAsia="Arial" w:hAnsi="Arial"/>
          <w:sz w:val="13"/>
          <w:szCs w:val="13"/>
          <w:color w:val="auto"/>
        </w:rPr>
      </w:pPr>
      <w:r>
        <w:rPr>
          <w:rFonts w:ascii="Arial" w:cs="Arial" w:eastAsia="Arial" w:hAnsi="Arial"/>
          <w:sz w:val="14"/>
          <w:szCs w:val="14"/>
          <w:color w:val="auto"/>
        </w:rPr>
        <w:t>Our bylaws provide proxy access rights for shareholders holding at least three percent of our common stock for at least three years to</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287" w:right="80"/>
        <w:spacing w:after="0" w:line="271" w:lineRule="auto"/>
        <w:rPr>
          <w:sz w:val="20"/>
          <w:szCs w:val="20"/>
          <w:color w:val="auto"/>
        </w:rPr>
      </w:pPr>
      <w:r>
        <w:rPr>
          <w:rFonts w:ascii="Arial" w:cs="Arial" w:eastAsia="Arial" w:hAnsi="Arial"/>
          <w:sz w:val="16"/>
          <w:szCs w:val="16"/>
          <w:color w:val="auto"/>
        </w:rPr>
        <w:t>nominate to the board the greater of two directors or 20 percent of our board seats.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Board Accountability</w:t>
      </w:r>
    </w:p>
    <w:p>
      <w:pPr>
        <w:spacing w:after="0" w:line="59" w:lineRule="exact"/>
        <w:rPr>
          <w:sz w:val="20"/>
          <w:szCs w:val="20"/>
          <w:color w:val="auto"/>
        </w:rPr>
      </w:pPr>
    </w:p>
    <w:p>
      <w:pPr>
        <w:ind w:left="287" w:right="300" w:hanging="287"/>
        <w:spacing w:after="0" w:line="271" w:lineRule="auto"/>
        <w:tabs>
          <w:tab w:leader="none" w:pos="277" w:val="left"/>
        </w:tabs>
        <w:numPr>
          <w:ilvl w:val="0"/>
          <w:numId w:val="10"/>
        </w:numPr>
        <w:rPr>
          <w:rFonts w:ascii="Arial" w:cs="Arial" w:eastAsia="Arial" w:hAnsi="Arial"/>
          <w:sz w:val="14"/>
          <w:szCs w:val="14"/>
          <w:color w:val="auto"/>
        </w:rPr>
      </w:pPr>
      <w:r>
        <w:rPr>
          <w:rFonts w:ascii="Arial" w:cs="Arial" w:eastAsia="Arial" w:hAnsi="Arial"/>
          <w:sz w:val="16"/>
          <w:szCs w:val="16"/>
          <w:color w:val="auto"/>
        </w:rPr>
        <w:t>We have a majority voting standard and a resignation policy for the election of directors in uncontested elections.</w:t>
      </w:r>
    </w:p>
    <w:p>
      <w:pPr>
        <w:spacing w:after="0" w:line="5" w:lineRule="exact"/>
        <w:rPr>
          <w:rFonts w:ascii="Arial" w:cs="Arial" w:eastAsia="Arial" w:hAnsi="Arial"/>
          <w:sz w:val="14"/>
          <w:szCs w:val="14"/>
          <w:color w:val="auto"/>
        </w:rPr>
      </w:pPr>
    </w:p>
    <w:p>
      <w:pPr>
        <w:ind w:left="267" w:hanging="267"/>
        <w:spacing w:after="0"/>
        <w:tabs>
          <w:tab w:leader="none" w:pos="267" w:val="left"/>
        </w:tabs>
        <w:numPr>
          <w:ilvl w:val="0"/>
          <w:numId w:val="10"/>
        </w:numPr>
        <w:rPr>
          <w:rFonts w:ascii="Arial" w:cs="Arial" w:eastAsia="Arial" w:hAnsi="Arial"/>
          <w:sz w:val="14"/>
          <w:szCs w:val="14"/>
          <w:color w:val="auto"/>
        </w:rPr>
      </w:pPr>
      <w:r>
        <w:rPr>
          <w:rFonts w:ascii="Arial" w:cs="Arial" w:eastAsia="Arial" w:hAnsi="Arial"/>
          <w:sz w:val="16"/>
          <w:szCs w:val="16"/>
          <w:color w:val="auto"/>
        </w:rPr>
        <w:t>Shareholders have the ability to amend our bylaws.</w:t>
      </w:r>
    </w:p>
    <w:p>
      <w:pPr>
        <w:spacing w:after="0" w:line="49" w:lineRule="exact"/>
        <w:rPr>
          <w:rFonts w:ascii="Arial" w:cs="Arial" w:eastAsia="Arial" w:hAnsi="Arial"/>
          <w:sz w:val="14"/>
          <w:szCs w:val="14"/>
          <w:color w:val="auto"/>
        </w:rPr>
      </w:pPr>
    </w:p>
    <w:p>
      <w:pPr>
        <w:ind w:left="267" w:hanging="267"/>
        <w:spacing w:after="0"/>
        <w:tabs>
          <w:tab w:leader="none" w:pos="267" w:val="left"/>
        </w:tabs>
        <w:numPr>
          <w:ilvl w:val="0"/>
          <w:numId w:val="10"/>
        </w:numPr>
        <w:rPr>
          <w:rFonts w:ascii="Arial" w:cs="Arial" w:eastAsia="Arial" w:hAnsi="Arial"/>
          <w:sz w:val="14"/>
          <w:szCs w:val="14"/>
          <w:color w:val="auto"/>
        </w:rPr>
      </w:pPr>
      <w:r>
        <w:rPr>
          <w:rFonts w:ascii="Arial" w:cs="Arial" w:eastAsia="Arial" w:hAnsi="Arial"/>
          <w:sz w:val="16"/>
          <w:szCs w:val="16"/>
          <w:color w:val="auto"/>
        </w:rPr>
        <w:t>We do not have a shareholder rights plan (known as a “poison pill”).</w:t>
      </w:r>
    </w:p>
    <w:p>
      <w:pPr>
        <w:spacing w:after="0" w:line="49" w:lineRule="exact"/>
        <w:rPr>
          <w:rFonts w:ascii="Arial" w:cs="Arial" w:eastAsia="Arial" w:hAnsi="Arial"/>
          <w:sz w:val="14"/>
          <w:szCs w:val="14"/>
          <w:color w:val="auto"/>
        </w:rPr>
      </w:pPr>
    </w:p>
    <w:p>
      <w:pPr>
        <w:jc w:val="both"/>
        <w:ind w:left="287" w:right="120" w:hanging="287"/>
        <w:spacing w:after="0" w:line="313" w:lineRule="auto"/>
        <w:tabs>
          <w:tab w:leader="none" w:pos="277" w:val="left"/>
        </w:tabs>
        <w:numPr>
          <w:ilvl w:val="0"/>
          <w:numId w:val="10"/>
        </w:numPr>
        <w:rPr>
          <w:rFonts w:ascii="Arial" w:cs="Arial" w:eastAsia="Arial" w:hAnsi="Arial"/>
          <w:sz w:val="13"/>
          <w:szCs w:val="13"/>
          <w:color w:val="auto"/>
        </w:rPr>
      </w:pPr>
      <w:r>
        <w:rPr>
          <w:rFonts w:ascii="Arial" w:cs="Arial" w:eastAsia="Arial" w:hAnsi="Arial"/>
          <w:sz w:val="14"/>
          <w:szCs w:val="14"/>
          <w:color w:val="auto"/>
        </w:rPr>
        <w:t>We have meaningful stock ownership and retention guidelines for our directors and executive officers to foster alignment with shareholders.</w:t>
      </w:r>
    </w:p>
    <w:p>
      <w:pPr>
        <w:ind w:left="267" w:hanging="267"/>
        <w:spacing w:after="0"/>
        <w:tabs>
          <w:tab w:leader="none" w:pos="267" w:val="left"/>
        </w:tabs>
        <w:numPr>
          <w:ilvl w:val="0"/>
          <w:numId w:val="10"/>
        </w:numPr>
        <w:rPr>
          <w:rFonts w:ascii="Arial" w:cs="Arial" w:eastAsia="Arial" w:hAnsi="Arial"/>
          <w:sz w:val="14"/>
          <w:szCs w:val="14"/>
          <w:color w:val="auto"/>
        </w:rPr>
      </w:pPr>
      <w:r>
        <w:rPr>
          <w:rFonts w:ascii="Arial" w:cs="Arial" w:eastAsia="Arial" w:hAnsi="Arial"/>
          <w:sz w:val="16"/>
          <w:szCs w:val="16"/>
          <w:color w:val="auto"/>
        </w:rPr>
        <w:t>We have an annual cap on director compensation.</w:t>
      </w:r>
    </w:p>
    <w:p>
      <w:pPr>
        <w:spacing w:after="0" w:line="606" w:lineRule="exact"/>
        <w:rPr>
          <w:sz w:val="20"/>
          <w:szCs w:val="20"/>
          <w:color w:val="auto"/>
        </w:rPr>
      </w:pPr>
    </w:p>
    <w:p>
      <w:pPr>
        <w:sectPr>
          <w:pgSz w:w="11900" w:h="16838" w:orient="portrait"/>
          <w:cols w:equalWidth="0" w:num="2">
            <w:col w:w="5207" w:space="713"/>
            <w:col w:w="5167"/>
          </w:cols>
          <w:pgMar w:left="313" w:top="866" w:right="499" w:bottom="1440" w:gutter="0" w:footer="0" w:header="0"/>
        </w:sectPr>
      </w:pPr>
    </w:p>
    <w:p>
      <w:pPr>
        <w:spacing w:after="0" w:line="64"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Compensation</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Compensation Practices of Interest</w:t>
      </w:r>
    </w:p>
    <w:p>
      <w:pPr>
        <w:spacing w:after="0" w:line="68" w:lineRule="exact"/>
        <w:rPr>
          <w:sz w:val="20"/>
          <w:szCs w:val="20"/>
          <w:color w:val="auto"/>
        </w:rPr>
      </w:pPr>
    </w:p>
    <w:p>
      <w:pPr>
        <w:ind w:left="7" w:right="100"/>
        <w:spacing w:after="0" w:line="271" w:lineRule="auto"/>
        <w:rPr>
          <w:sz w:val="20"/>
          <w:szCs w:val="20"/>
          <w:color w:val="auto"/>
        </w:rPr>
      </w:pPr>
      <w:r>
        <w:rPr>
          <w:rFonts w:ascii="Arial" w:cs="Arial" w:eastAsia="Arial" w:hAnsi="Arial"/>
          <w:sz w:val="16"/>
          <w:szCs w:val="16"/>
          <w:color w:val="auto"/>
        </w:rPr>
        <w:t>Shareholders strongly support our compensation practices. For each of the last five years, greater than 94 percent of shares cast voted in favor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954905" cy="2915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4905" cy="2915285"/>
                    </a:xfrm>
                    <a:prstGeom prst="rect">
                      <a:avLst/>
                    </a:prstGeom>
                    <a:noFill/>
                  </pic:spPr>
                </pic:pic>
              </a:graphicData>
            </a:graphic>
          </wp:anchor>
        </w:drawing>
      </w:r>
    </w:p>
    <w:p>
      <w:pPr>
        <w:sectPr>
          <w:pgSz w:w="11900" w:h="16838" w:orient="portrait"/>
          <w:cols w:equalWidth="0" w:num="1">
            <w:col w:w="11087"/>
          </w:cols>
          <w:pgMar w:left="313" w:top="866" w:right="499" w:bottom="1440" w:gutter="0" w:footer="0" w:header="0"/>
          <w:type w:val="continuous"/>
        </w:sectPr>
      </w:pPr>
    </w:p>
    <w:p>
      <w:pPr>
        <w:spacing w:after="0" w:line="260" w:lineRule="exact"/>
        <w:rPr>
          <w:sz w:val="20"/>
          <w:szCs w:val="20"/>
          <w:color w:val="auto"/>
        </w:rPr>
      </w:pPr>
    </w:p>
    <w:p>
      <w:pPr>
        <w:ind w:left="27"/>
        <w:spacing w:after="0"/>
        <w:rPr>
          <w:sz w:val="20"/>
          <w:szCs w:val="20"/>
          <w:color w:val="auto"/>
        </w:rPr>
      </w:pPr>
      <w:r>
        <w:rPr>
          <w:rFonts w:ascii="Arial" w:cs="Arial" w:eastAsia="Arial" w:hAnsi="Arial"/>
          <w:sz w:val="14"/>
          <w:szCs w:val="14"/>
          <w:b w:val="1"/>
          <w:bCs w:val="1"/>
          <w:color w:val="FFFFFF"/>
        </w:rPr>
        <w:t>Pay for Performance Philosophy</w:t>
      </w:r>
    </w:p>
    <w:p>
      <w:pPr>
        <w:spacing w:after="0" w:line="390" w:lineRule="exact"/>
        <w:rPr>
          <w:sz w:val="20"/>
          <w:szCs w:val="20"/>
          <w:color w:val="auto"/>
        </w:rPr>
      </w:pPr>
    </w:p>
    <w:p>
      <w:pPr>
        <w:ind w:left="347" w:right="40" w:firstLine="8"/>
        <w:spacing w:after="0" w:line="290" w:lineRule="auto"/>
        <w:rPr>
          <w:sz w:val="20"/>
          <w:szCs w:val="20"/>
          <w:color w:val="auto"/>
        </w:rPr>
      </w:pPr>
      <w:r>
        <w:rPr>
          <w:rFonts w:ascii="Arial" w:cs="Arial" w:eastAsia="Arial" w:hAnsi="Arial"/>
          <w:sz w:val="14"/>
          <w:szCs w:val="14"/>
          <w:color w:val="auto"/>
        </w:rPr>
        <w:t>Our compensation programs are designed to align executive pay with shareholder interests and link pay to performance through a blend of short- and long-term performance measures.</w:t>
      </w:r>
    </w:p>
    <w:p>
      <w:pPr>
        <w:spacing w:after="0" w:line="293" w:lineRule="exact"/>
        <w:rPr>
          <w:sz w:val="20"/>
          <w:szCs w:val="20"/>
          <w:color w:val="auto"/>
        </w:rPr>
      </w:pPr>
    </w:p>
    <w:p>
      <w:pPr>
        <w:ind w:left="347" w:right="20" w:firstLine="8"/>
        <w:spacing w:after="0" w:line="286" w:lineRule="auto"/>
        <w:rPr>
          <w:sz w:val="20"/>
          <w:szCs w:val="20"/>
          <w:color w:val="auto"/>
        </w:rPr>
      </w:pPr>
      <w:r>
        <w:rPr>
          <w:rFonts w:ascii="Arial" w:cs="Arial" w:eastAsia="Arial" w:hAnsi="Arial"/>
          <w:sz w:val="14"/>
          <w:szCs w:val="14"/>
          <w:color w:val="auto"/>
        </w:rPr>
        <w:t>Our Talent and Compensation Committee annually reviews our compensation programs to help ensure they provide incentives to deliver long-term, sustainable business results while discouraging excessive risk-taking and other adverse behaviors.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Compensation Policies</w:t>
      </w:r>
    </w:p>
    <w:p>
      <w:pPr>
        <w:spacing w:after="0" w:line="335" w:lineRule="exact"/>
        <w:rPr>
          <w:sz w:val="20"/>
          <w:szCs w:val="20"/>
          <w:color w:val="auto"/>
        </w:rPr>
      </w:pPr>
    </w:p>
    <w:p>
      <w:pPr>
        <w:ind w:right="460" w:hanging="213"/>
        <w:spacing w:after="0"/>
        <w:rPr>
          <w:sz w:val="20"/>
          <w:szCs w:val="20"/>
          <w:color w:val="auto"/>
        </w:rPr>
      </w:pPr>
      <w:r>
        <w:rPr>
          <w:sz w:val="1"/>
          <w:szCs w:val="1"/>
          <w:color w:val="auto"/>
        </w:rPr>
        <w:drawing>
          <wp:inline distT="0" distB="0" distL="0" distR="0">
            <wp:extent cx="104140" cy="965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140" cy="96520"/>
                    </a:xfrm>
                    <a:prstGeom prst="rect">
                      <a:avLst/>
                    </a:prstGeom>
                    <a:noFill/>
                    <a:ln>
                      <a:noFill/>
                    </a:ln>
                  </pic:spPr>
                </pic:pic>
              </a:graphicData>
            </a:graphic>
          </wp:inline>
        </w:drawing>
      </w:r>
      <w:r>
        <w:rPr>
          <w:rFonts w:ascii="Arial" w:cs="Arial" w:eastAsia="Arial" w:hAnsi="Arial"/>
          <w:sz w:val="16"/>
          <w:szCs w:val="16"/>
          <w:color w:val="auto"/>
        </w:rPr>
        <w:t xml:space="preserve"> We have robust stock ownership and retention guidelines for executive officers.</w:t>
      </w:r>
    </w:p>
    <w:p>
      <w:pPr>
        <w:spacing w:after="0" w:line="90" w:lineRule="exact"/>
        <w:rPr>
          <w:sz w:val="20"/>
          <w:szCs w:val="20"/>
          <w:color w:val="auto"/>
        </w:rPr>
      </w:pPr>
    </w:p>
    <w:p>
      <w:pPr>
        <w:ind w:right="60" w:hanging="213"/>
        <w:spacing w:after="0"/>
        <w:rPr>
          <w:sz w:val="20"/>
          <w:szCs w:val="20"/>
          <w:color w:val="auto"/>
        </w:rPr>
      </w:pPr>
      <w:r>
        <w:rPr>
          <w:sz w:val="1"/>
          <w:szCs w:val="1"/>
          <w:color w:val="auto"/>
        </w:rPr>
        <w:drawing>
          <wp:inline distT="0" distB="0" distL="0" distR="0">
            <wp:extent cx="104140" cy="965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140" cy="96520"/>
                    </a:xfrm>
                    <a:prstGeom prst="rect">
                      <a:avLst/>
                    </a:prstGeom>
                    <a:noFill/>
                    <a:ln>
                      <a:noFill/>
                    </a:ln>
                  </pic:spPr>
                </pic:pic>
              </a:graphicData>
            </a:graphic>
          </wp:inline>
        </w:drawing>
      </w:r>
      <w:r>
        <w:rPr>
          <w:rFonts w:ascii="Arial" w:cs="Arial" w:eastAsia="Arial" w:hAnsi="Arial"/>
          <w:sz w:val="16"/>
          <w:szCs w:val="16"/>
          <w:color w:val="auto"/>
        </w:rPr>
        <w:t xml:space="preserve"> Executive officers are prohibited from hedging or pledging their company stock.</w:t>
      </w:r>
    </w:p>
    <w:p>
      <w:pPr>
        <w:spacing w:after="0" w:line="90" w:lineRule="exact"/>
        <w:rPr>
          <w:sz w:val="20"/>
          <w:szCs w:val="20"/>
          <w:color w:val="auto"/>
        </w:rPr>
      </w:pPr>
    </w:p>
    <w:p>
      <w:pPr>
        <w:ind w:right="100" w:hanging="213"/>
        <w:spacing w:after="0"/>
        <w:rPr>
          <w:sz w:val="20"/>
          <w:szCs w:val="20"/>
          <w:color w:val="auto"/>
        </w:rPr>
      </w:pPr>
      <w:r>
        <w:rPr>
          <w:sz w:val="1"/>
          <w:szCs w:val="1"/>
          <w:color w:val="auto"/>
        </w:rPr>
        <w:drawing>
          <wp:inline distT="0" distB="0" distL="0" distR="0">
            <wp:extent cx="104140" cy="965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140" cy="96520"/>
                    </a:xfrm>
                    <a:prstGeom prst="rect">
                      <a:avLst/>
                    </a:prstGeom>
                    <a:noFill/>
                    <a:ln>
                      <a:noFill/>
                    </a:ln>
                  </pic:spPr>
                </pic:pic>
              </a:graphicData>
            </a:graphic>
          </wp:inline>
        </w:drawing>
      </w:r>
      <w:r>
        <w:rPr>
          <w:rFonts w:ascii="Arial" w:cs="Arial" w:eastAsia="Arial" w:hAnsi="Arial"/>
          <w:sz w:val="16"/>
          <w:szCs w:val="16"/>
          <w:color w:val="auto"/>
        </w:rPr>
        <w:t xml:space="preserve"> We have a compensation recovery or “clawback” policy that applies to all executives and covers a wide range of misconduct.</w:t>
      </w:r>
    </w:p>
    <w:p>
      <w:pPr>
        <w:spacing w:after="0" w:line="90" w:lineRule="exact"/>
        <w:rPr>
          <w:sz w:val="20"/>
          <w:szCs w:val="20"/>
          <w:color w:val="auto"/>
        </w:rPr>
      </w:pPr>
    </w:p>
    <w:p>
      <w:pPr>
        <w:ind w:hanging="213"/>
        <w:spacing w:after="0"/>
        <w:rPr>
          <w:sz w:val="20"/>
          <w:szCs w:val="20"/>
          <w:color w:val="auto"/>
        </w:rPr>
      </w:pPr>
      <w:r>
        <w:rPr>
          <w:sz w:val="1"/>
          <w:szCs w:val="1"/>
          <w:color w:val="auto"/>
        </w:rPr>
        <w:drawing>
          <wp:inline distT="0" distB="0" distL="0" distR="0">
            <wp:extent cx="104140" cy="965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140" cy="96520"/>
                    </a:xfrm>
                    <a:prstGeom prst="rect">
                      <a:avLst/>
                    </a:prstGeom>
                    <a:noFill/>
                    <a:ln>
                      <a:noFill/>
                    </a:ln>
                  </pic:spPr>
                </pic:pic>
              </a:graphicData>
            </a:graphic>
          </wp:inline>
        </w:drawing>
      </w:r>
      <w:r>
        <w:rPr>
          <w:rFonts w:ascii="Arial" w:cs="Arial" w:eastAsia="Arial" w:hAnsi="Arial"/>
          <w:sz w:val="16"/>
          <w:szCs w:val="16"/>
          <w:color w:val="auto"/>
        </w:rPr>
        <w:t xml:space="preserve"> We have a restrictive policy on perquisites.</w:t>
      </w:r>
    </w:p>
    <w:p>
      <w:pPr>
        <w:spacing w:after="0" w:line="90" w:lineRule="exact"/>
        <w:rPr>
          <w:sz w:val="20"/>
          <w:szCs w:val="20"/>
          <w:color w:val="auto"/>
        </w:rPr>
      </w:pPr>
    </w:p>
    <w:p>
      <w:pPr>
        <w:ind w:right="160" w:hanging="213"/>
        <w:spacing w:after="0"/>
        <w:rPr>
          <w:sz w:val="20"/>
          <w:szCs w:val="20"/>
          <w:color w:val="auto"/>
        </w:rPr>
      </w:pPr>
      <w:r>
        <w:rPr>
          <w:sz w:val="1"/>
          <w:szCs w:val="1"/>
          <w:color w:val="auto"/>
        </w:rPr>
        <w:drawing>
          <wp:inline distT="0" distB="0" distL="0" distR="0">
            <wp:extent cx="104140" cy="965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140" cy="96520"/>
                    </a:xfrm>
                    <a:prstGeom prst="rect">
                      <a:avLst/>
                    </a:prstGeom>
                    <a:noFill/>
                    <a:ln>
                      <a:noFill/>
                    </a:ln>
                  </pic:spPr>
                </pic:pic>
              </a:graphicData>
            </a:graphic>
          </wp:inline>
        </w:drawing>
      </w:r>
      <w:r>
        <w:rPr>
          <w:rFonts w:ascii="Arial" w:cs="Arial" w:eastAsia="Arial" w:hAnsi="Arial"/>
          <w:sz w:val="16"/>
          <w:szCs w:val="16"/>
          <w:color w:val="auto"/>
        </w:rPr>
        <w:t xml:space="preserve"> We have double trigger change-in-control provisions in severance plans.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What We Don’t Do</w:t>
      </w:r>
    </w:p>
    <w:p>
      <w:pPr>
        <w:spacing w:after="0" w:line="335" w:lineRule="exact"/>
        <w:rPr>
          <w:sz w:val="20"/>
          <w:szCs w:val="20"/>
          <w:color w:val="auto"/>
        </w:rPr>
      </w:pPr>
    </w:p>
    <w:p>
      <w:pPr>
        <w:spacing w:after="0"/>
        <w:rPr>
          <w:sz w:val="20"/>
          <w:szCs w:val="20"/>
          <w:color w:val="auto"/>
        </w:rPr>
      </w:pPr>
      <w:r>
        <w:rPr>
          <w:sz w:val="1"/>
          <w:szCs w:val="1"/>
          <w:color w:val="auto"/>
        </w:rPr>
        <w:drawing>
          <wp:inline distT="0" distB="0" distL="0" distR="0">
            <wp:extent cx="88900" cy="812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0" cy="81280"/>
                    </a:xfrm>
                    <a:prstGeom prst="rect">
                      <a:avLst/>
                    </a:prstGeom>
                    <a:noFill/>
                    <a:ln>
                      <a:noFill/>
                    </a:ln>
                  </pic:spPr>
                </pic:pic>
              </a:graphicData>
            </a:graphic>
          </wp:inline>
        </w:drawing>
      </w:r>
      <w:r>
        <w:rPr>
          <w:rFonts w:ascii="Arial" w:cs="Arial" w:eastAsia="Arial" w:hAnsi="Arial"/>
          <w:sz w:val="16"/>
          <w:szCs w:val="16"/>
          <w:color w:val="auto"/>
        </w:rPr>
        <w:t xml:space="preserve"> We don’t enter into</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employment agreements with</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of our executive officers.</w:t>
      </w:r>
    </w:p>
    <w:p>
      <w:pPr>
        <w:spacing w:after="0" w:line="144" w:lineRule="exact"/>
        <w:rPr>
          <w:sz w:val="20"/>
          <w:szCs w:val="20"/>
          <w:color w:val="auto"/>
        </w:rPr>
      </w:pPr>
    </w:p>
    <w:p>
      <w:pPr>
        <w:spacing w:after="0"/>
        <w:rPr>
          <w:sz w:val="20"/>
          <w:szCs w:val="20"/>
          <w:color w:val="auto"/>
        </w:rPr>
      </w:pPr>
      <w:r>
        <w:rPr>
          <w:sz w:val="1"/>
          <w:szCs w:val="1"/>
          <w:color w:val="auto"/>
        </w:rPr>
        <w:drawing>
          <wp:inline distT="0" distB="0" distL="0" distR="0">
            <wp:extent cx="88900" cy="812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0" cy="81280"/>
                    </a:xfrm>
                    <a:prstGeom prst="rect">
                      <a:avLst/>
                    </a:prstGeom>
                    <a:noFill/>
                    <a:ln>
                      <a:noFill/>
                    </a:ln>
                  </pic:spPr>
                </pic:pic>
              </a:graphicData>
            </a:graphic>
          </wp:inline>
        </w:drawing>
      </w:r>
      <w:r>
        <w:rPr>
          <w:rFonts w:ascii="Arial" w:cs="Arial" w:eastAsia="Arial" w:hAnsi="Arial"/>
          <w:sz w:val="16"/>
          <w:szCs w:val="16"/>
          <w:color w:val="auto"/>
        </w:rPr>
        <w:t xml:space="preserve"> We don’t provide “top hat”</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retirement plans.</w:t>
      </w:r>
    </w:p>
    <w:p>
      <w:pPr>
        <w:spacing w:after="0" w:line="97" w:lineRule="exact"/>
        <w:rPr>
          <w:sz w:val="20"/>
          <w:szCs w:val="20"/>
          <w:color w:val="auto"/>
        </w:rPr>
      </w:pPr>
    </w:p>
    <w:p>
      <w:pPr>
        <w:spacing w:after="0"/>
        <w:rPr>
          <w:sz w:val="20"/>
          <w:szCs w:val="20"/>
          <w:color w:val="auto"/>
        </w:rPr>
      </w:pPr>
      <w:r>
        <w:rPr>
          <w:sz w:val="1"/>
          <w:szCs w:val="1"/>
          <w:color w:val="auto"/>
        </w:rPr>
        <w:drawing>
          <wp:inline distT="0" distB="0" distL="0" distR="0">
            <wp:extent cx="88900" cy="8128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0" cy="81280"/>
                    </a:xfrm>
                    <a:prstGeom prst="rect">
                      <a:avLst/>
                    </a:prstGeom>
                    <a:noFill/>
                    <a:ln>
                      <a:noFill/>
                    </a:ln>
                  </pic:spPr>
                </pic:pic>
              </a:graphicData>
            </a:graphic>
          </wp:inline>
        </w:drawing>
      </w:r>
      <w:r>
        <w:rPr>
          <w:rFonts w:ascii="Arial" w:cs="Arial" w:eastAsia="Arial" w:hAnsi="Arial"/>
          <w:sz w:val="14"/>
          <w:szCs w:val="14"/>
          <w:color w:val="auto"/>
        </w:rPr>
        <w:t xml:space="preserve"> We don’t provide tax gross-ups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executive officers (except</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 limited gross-ups related to</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international assignments).</w:t>
      </w:r>
    </w:p>
    <w:p>
      <w:pPr>
        <w:spacing w:after="0" w:line="2017" w:lineRule="exact"/>
        <w:rPr>
          <w:sz w:val="20"/>
          <w:szCs w:val="20"/>
          <w:color w:val="auto"/>
        </w:rPr>
      </w:pPr>
    </w:p>
    <w:p>
      <w:pPr>
        <w:sectPr>
          <w:pgSz w:w="11900" w:h="16838" w:orient="portrait"/>
          <w:cols w:equalWidth="0" w:num="3">
            <w:col w:w="2447" w:space="540"/>
            <w:col w:w="2120" w:space="320"/>
            <w:col w:w="5660"/>
          </w:cols>
          <w:pgMar w:left="313" w:top="866" w:right="499" w:bottom="1440" w:gutter="0" w:footer="0" w:header="0"/>
          <w:type w:val="continuous"/>
        </w:sectPr>
      </w:pPr>
    </w:p>
    <w:p>
      <w:pPr>
        <w:spacing w:after="0" w:line="11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Executive Compensation Summary for 2022</w:t>
      </w:r>
    </w:p>
    <w:p>
      <w:pPr>
        <w:spacing w:after="0" w:line="68" w:lineRule="exact"/>
        <w:rPr>
          <w:sz w:val="20"/>
          <w:szCs w:val="20"/>
          <w:color w:val="auto"/>
        </w:rPr>
      </w:pPr>
    </w:p>
    <w:p>
      <w:pPr>
        <w:ind w:left="7"/>
        <w:spacing w:after="0" w:line="271" w:lineRule="auto"/>
        <w:rPr>
          <w:sz w:val="20"/>
          <w:szCs w:val="20"/>
          <w:color w:val="auto"/>
        </w:rPr>
      </w:pPr>
      <w:r>
        <w:rPr>
          <w:rFonts w:ascii="Arial" w:cs="Arial" w:eastAsia="Arial" w:hAnsi="Arial"/>
          <w:sz w:val="16"/>
          <w:szCs w:val="16"/>
          <w:color w:val="auto"/>
        </w:rPr>
        <w:t>At the end of 2022, the total target compensation for our named executive officers was comparable to the median of the company’s peer group. Bonus and equity payouts exceeded target, consistent with strong company performance over the respective performance periods.</w:t>
      </w:r>
    </w:p>
    <w:p>
      <w:pPr>
        <w:spacing w:after="0" w:line="379" w:lineRule="exact"/>
        <w:rPr>
          <w:sz w:val="20"/>
          <w:szCs w:val="20"/>
          <w:color w:val="auto"/>
        </w:rPr>
      </w:pPr>
    </w:p>
    <w:p>
      <w:pPr>
        <w:jc w:val="center"/>
        <w:ind w:right="-166"/>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087"/>
          </w:cols>
          <w:pgMar w:left="313" w:top="866"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Pay for Performance</w:t>
      </w:r>
    </w:p>
    <w:p>
      <w:pPr>
        <w:spacing w:after="0" w:line="4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As described in the Compensation Discussion and Analysis (CD&amp;A), we link our incentive pay programs to a mix of measures on three dimensions of company performance: operating performance; progress with our innovation pipeline; and shareholder return (both absolute and relative). The Talent and Compensation Committee adjusts reported EPS results to eliminate the distorting effect of certain unusual items on incentive compensation performance measures.</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The summary below highlights how our incentive pay programs are intended to align with company performance. Please also see </w:t>
      </w:r>
      <w:r>
        <w:rPr>
          <w:rFonts w:ascii="Arial" w:cs="Arial" w:eastAsia="Arial" w:hAnsi="Arial"/>
          <w:sz w:val="16"/>
          <w:szCs w:val="16"/>
          <w:u w:val="single" w:color="auto"/>
          <w:color w:val="0000FF"/>
        </w:rPr>
        <w:t>Appendix A</w:t>
      </w:r>
      <w:r>
        <w:rPr>
          <w:rFonts w:ascii="Arial" w:cs="Arial" w:eastAsia="Arial" w:hAnsi="Arial"/>
          <w:sz w:val="16"/>
          <w:szCs w:val="16"/>
          <w:color w:val="auto"/>
        </w:rPr>
        <w:t xml:space="preserve"> for adjustments made to revenue and EPS for incentive compensation programs.</w:t>
      </w:r>
    </w:p>
    <w:p>
      <w:pPr>
        <w:sectPr>
          <w:pgSz w:w="11900" w:h="16838" w:orient="portrait"/>
          <w:cols w:equalWidth="0" w:num="1">
            <w:col w:w="10940"/>
          </w:cols>
          <w:pgMar w:left="320" w:top="969" w:right="639" w:bottom="1440" w:gutter="0" w:footer="0" w:header="0"/>
        </w:sectPr>
      </w:pPr>
    </w:p>
    <w:p>
      <w:pPr>
        <w:spacing w:after="0" w:line="234" w:lineRule="exact"/>
        <w:rPr>
          <w:sz w:val="20"/>
          <w:szCs w:val="20"/>
          <w:color w:val="auto"/>
        </w:rPr>
      </w:pPr>
    </w:p>
    <w:p>
      <w:pPr>
        <w:ind w:left="140" w:hanging="131"/>
        <w:spacing w:after="0" w:line="262" w:lineRule="auto"/>
        <w:tabs>
          <w:tab w:leader="none" w:pos="130" w:val="left"/>
        </w:tabs>
        <w:numPr>
          <w:ilvl w:val="0"/>
          <w:numId w:val="1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Bonus Plan Result: </w:t>
      </w:r>
      <w:r>
        <w:rPr>
          <w:rFonts w:ascii="Arial" w:cs="Arial" w:eastAsia="Arial" w:hAnsi="Arial"/>
          <w:sz w:val="15"/>
          <w:szCs w:val="15"/>
          <w:color w:val="000000"/>
        </w:rPr>
        <w:t>In 2022, the company exceeded its annual cash</w:t>
      </w:r>
      <w:r>
        <w:rPr>
          <w:rFonts w:ascii="Arial" w:cs="Arial" w:eastAsia="Arial" w:hAnsi="Arial"/>
          <w:sz w:val="17"/>
          <w:szCs w:val="17"/>
          <w:b w:val="1"/>
          <w:bCs w:val="1"/>
          <w:color w:val="D52B1E"/>
        </w:rPr>
        <w:t xml:space="preserve"> </w:t>
      </w:r>
      <w:r>
        <w:rPr>
          <w:rFonts w:ascii="Arial" w:cs="Arial" w:eastAsia="Arial" w:hAnsi="Arial"/>
          <w:sz w:val="15"/>
          <w:szCs w:val="15"/>
          <w:color w:val="000000"/>
        </w:rPr>
        <w:t xml:space="preserve">bonus target for revenue and nearly achieved its target for EPS. We also made significant pipeline advances. For purposes of the bonus, the Talent and Compensation Committee adjusted revenue and adjusted non-GAAP EPS to exclude estimated savings from certain discrete and unplanned performance items. See the </w:t>
      </w:r>
      <w:r>
        <w:rPr>
          <w:rFonts w:ascii="Arial" w:cs="Arial" w:eastAsia="Arial" w:hAnsi="Arial"/>
          <w:sz w:val="15"/>
          <w:szCs w:val="15"/>
          <w:u w:val="single" w:color="auto"/>
          <w:color w:val="0000FF"/>
        </w:rPr>
        <w:t>CD&amp;A</w:t>
      </w:r>
      <w:r>
        <w:rPr>
          <w:rFonts w:ascii="Arial" w:cs="Arial" w:eastAsia="Arial" w:hAnsi="Arial"/>
          <w:sz w:val="15"/>
          <w:szCs w:val="15"/>
          <w:color w:val="000000"/>
        </w:rPr>
        <w:t xml:space="preserve"> for further discussion of the Eli Lilly and Company Bonus Plan (Bonus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3360"/>
        <w:spacing w:after="0"/>
        <w:rPr>
          <w:sz w:val="20"/>
          <w:szCs w:val="20"/>
          <w:color w:val="auto"/>
        </w:rPr>
      </w:pPr>
      <w:r>
        <w:rPr>
          <w:rFonts w:ascii="Arial" w:cs="Arial" w:eastAsia="Arial" w:hAnsi="Arial"/>
          <w:sz w:val="28"/>
          <w:szCs w:val="28"/>
          <w:color w:val="D52B1E"/>
        </w:rPr>
        <w:t>1.20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 Multiple</w:t>
      </w:r>
    </w:p>
    <w:p>
      <w:pPr>
        <w:spacing w:after="0" w:line="703" w:lineRule="exact"/>
        <w:rPr>
          <w:sz w:val="20"/>
          <w:szCs w:val="20"/>
          <w:color w:val="auto"/>
        </w:rPr>
      </w:pPr>
    </w:p>
    <w:p>
      <w:pPr>
        <w:sectPr>
          <w:pgSz w:w="11900" w:h="16838" w:orient="portrait"/>
          <w:cols w:equalWidth="0" w:num="2">
            <w:col w:w="5280" w:space="500"/>
            <w:col w:w="5160"/>
          </w:cols>
          <w:pgMar w:left="320" w:top="969" w:right="639" w:bottom="1440" w:gutter="0" w:footer="0" w:header="0"/>
          <w:type w:val="continuous"/>
        </w:sectPr>
      </w:pPr>
    </w:p>
    <w:p>
      <w:pPr>
        <w:spacing w:after="0" w:line="44" w:lineRule="exact"/>
        <w:rPr>
          <w:sz w:val="20"/>
          <w:szCs w:val="20"/>
          <w:color w:val="auto"/>
        </w:rPr>
      </w:pPr>
    </w:p>
    <w:p>
      <w:pPr>
        <w:ind w:left="140" w:right="120" w:hanging="131"/>
        <w:spacing w:after="0" w:line="263" w:lineRule="auto"/>
        <w:tabs>
          <w:tab w:leader="none" w:pos="130" w:val="left"/>
        </w:tabs>
        <w:numPr>
          <w:ilvl w:val="0"/>
          <w:numId w:val="1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2021-2023 Performance Award (PA) Result: </w:t>
      </w:r>
      <w:r>
        <w:rPr>
          <w:rFonts w:ascii="Arial" w:cs="Arial" w:eastAsia="Arial" w:hAnsi="Arial"/>
          <w:sz w:val="15"/>
          <w:szCs w:val="15"/>
          <w:color w:val="000000"/>
        </w:rPr>
        <w:t xml:space="preserve">We exceeded the two-year EPS growth target set for our PA program. The PA target is based on expected EPS growth of peer companies over a two-year period. As a result of exceeding the EPS growth target set for our PA program, the PA payout was above target. See the </w:t>
      </w:r>
      <w:r>
        <w:rPr>
          <w:rFonts w:ascii="Arial" w:cs="Arial" w:eastAsia="Arial" w:hAnsi="Arial"/>
          <w:sz w:val="15"/>
          <w:szCs w:val="15"/>
          <w:u w:val="single" w:color="auto"/>
          <w:color w:val="0000FF"/>
        </w:rPr>
        <w:t>CD&amp;A</w:t>
      </w:r>
      <w:r>
        <w:rPr>
          <w:rFonts w:ascii="Arial" w:cs="Arial" w:eastAsia="Arial" w:hAnsi="Arial"/>
          <w:sz w:val="15"/>
          <w:szCs w:val="15"/>
          <w:color w:val="000000"/>
        </w:rPr>
        <w:t xml:space="preserve"> for further discussion on the PA program.</w:t>
      </w:r>
    </w:p>
    <w:p>
      <w:pPr>
        <w:spacing w:after="0" w:line="242" w:lineRule="exact"/>
        <w:rPr>
          <w:rFonts w:ascii="Arial" w:cs="Arial" w:eastAsia="Arial" w:hAnsi="Arial"/>
          <w:sz w:val="14"/>
          <w:szCs w:val="14"/>
          <w:b w:val="1"/>
          <w:bCs w:val="1"/>
          <w:color w:val="D52B1E"/>
        </w:rPr>
      </w:pPr>
    </w:p>
    <w:p>
      <w:pPr>
        <w:ind w:left="140" w:hanging="131"/>
        <w:spacing w:after="0" w:line="263" w:lineRule="auto"/>
        <w:tabs>
          <w:tab w:leader="none" w:pos="130" w:val="left"/>
        </w:tabs>
        <w:numPr>
          <w:ilvl w:val="0"/>
          <w:numId w:val="1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2020-2022 Shareholder Value Award (SVA) Result: </w:t>
      </w:r>
      <w:r>
        <w:rPr>
          <w:rFonts w:ascii="Arial" w:cs="Arial" w:eastAsia="Arial" w:hAnsi="Arial"/>
          <w:sz w:val="15"/>
          <w:szCs w:val="15"/>
          <w:color w:val="000000"/>
        </w:rPr>
        <w:t>Our total stock</w:t>
      </w:r>
      <w:r>
        <w:rPr>
          <w:rFonts w:ascii="Arial" w:cs="Arial" w:eastAsia="Arial" w:hAnsi="Arial"/>
          <w:sz w:val="17"/>
          <w:szCs w:val="17"/>
          <w:b w:val="1"/>
          <w:bCs w:val="1"/>
          <w:color w:val="D52B1E"/>
        </w:rPr>
        <w:t xml:space="preserve"> </w:t>
      </w:r>
      <w:r>
        <w:rPr>
          <w:rFonts w:ascii="Arial" w:cs="Arial" w:eastAsia="Arial" w:hAnsi="Arial"/>
          <w:sz w:val="15"/>
          <w:szCs w:val="15"/>
          <w:color w:val="000000"/>
        </w:rPr>
        <w:t xml:space="preserve">price growth exceeded the target range in our SVA program, which is based on expected large-cap company returns over a three-year period. This performance resulted in a SVA payout above target. See the </w:t>
      </w:r>
      <w:r>
        <w:rPr>
          <w:rFonts w:ascii="Arial" w:cs="Arial" w:eastAsia="Arial" w:hAnsi="Arial"/>
          <w:sz w:val="15"/>
          <w:szCs w:val="15"/>
          <w:u w:val="single" w:color="auto"/>
          <w:color w:val="0000FF"/>
        </w:rPr>
        <w:t>CD&amp;A</w:t>
      </w:r>
      <w:r>
        <w:rPr>
          <w:rFonts w:ascii="Arial" w:cs="Arial" w:eastAsia="Arial" w:hAnsi="Arial"/>
          <w:sz w:val="15"/>
          <w:szCs w:val="15"/>
          <w:color w:val="000000"/>
        </w:rPr>
        <w:t xml:space="preserve"> for further discussion on the SVA program.</w:t>
      </w:r>
    </w:p>
    <w:p>
      <w:pPr>
        <w:spacing w:after="0" w:line="242" w:lineRule="exact"/>
        <w:rPr>
          <w:rFonts w:ascii="Arial" w:cs="Arial" w:eastAsia="Arial" w:hAnsi="Arial"/>
          <w:sz w:val="14"/>
          <w:szCs w:val="14"/>
          <w:b w:val="1"/>
          <w:bCs w:val="1"/>
          <w:color w:val="D52B1E"/>
        </w:rPr>
      </w:pPr>
    </w:p>
    <w:p>
      <w:pPr>
        <w:ind w:left="140" w:right="40" w:hanging="131"/>
        <w:spacing w:after="0" w:line="263" w:lineRule="auto"/>
        <w:tabs>
          <w:tab w:leader="none" w:pos="130" w:val="left"/>
        </w:tabs>
        <w:numPr>
          <w:ilvl w:val="0"/>
          <w:numId w:val="1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2020-2022 Relative Value Award (RVA) Result: </w:t>
      </w:r>
      <w:r>
        <w:rPr>
          <w:rFonts w:ascii="Arial" w:cs="Arial" w:eastAsia="Arial" w:hAnsi="Arial"/>
          <w:sz w:val="15"/>
          <w:szCs w:val="15"/>
          <w:color w:val="000000"/>
        </w:rPr>
        <w:t>The RVA measures</w:t>
      </w:r>
      <w:r>
        <w:rPr>
          <w:rFonts w:ascii="Arial" w:cs="Arial" w:eastAsia="Arial" w:hAnsi="Arial"/>
          <w:sz w:val="17"/>
          <w:szCs w:val="17"/>
          <w:b w:val="1"/>
          <w:bCs w:val="1"/>
          <w:color w:val="D52B1E"/>
        </w:rPr>
        <w:t xml:space="preserve"> </w:t>
      </w:r>
      <w:r>
        <w:rPr>
          <w:rFonts w:ascii="Arial" w:cs="Arial" w:eastAsia="Arial" w:hAnsi="Arial"/>
          <w:sz w:val="15"/>
          <w:szCs w:val="15"/>
          <w:color w:val="000000"/>
        </w:rPr>
        <w:t xml:space="preserve">Lilly’s relative total shareholder return (TSR) against its peers. Lilly’s TSR performance exceeded the peer median TSR for the 2020-2022 performance period resulting in a payout above target. See the </w:t>
      </w:r>
      <w:r>
        <w:rPr>
          <w:rFonts w:ascii="Arial" w:cs="Arial" w:eastAsia="Arial" w:hAnsi="Arial"/>
          <w:sz w:val="15"/>
          <w:szCs w:val="15"/>
          <w:u w:val="single" w:color="auto"/>
          <w:color w:val="0000FF"/>
        </w:rPr>
        <w:t>CD&amp;A</w:t>
      </w:r>
      <w:r>
        <w:rPr>
          <w:rFonts w:ascii="Arial" w:cs="Arial" w:eastAsia="Arial" w:hAnsi="Arial"/>
          <w:sz w:val="15"/>
          <w:szCs w:val="15"/>
          <w:color w:val="000000"/>
        </w:rPr>
        <w:t xml:space="preserve"> for further discussion on the RVA program.</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260"/>
        <w:spacing w:after="0"/>
        <w:rPr>
          <w:sz w:val="20"/>
          <w:szCs w:val="20"/>
          <w:color w:val="auto"/>
        </w:rPr>
      </w:pPr>
      <w:r>
        <w:rPr>
          <w:rFonts w:ascii="Arial" w:cs="Arial" w:eastAsia="Arial" w:hAnsi="Arial"/>
          <w:sz w:val="28"/>
          <w:szCs w:val="28"/>
          <w:color w:val="D52B1E"/>
        </w:rPr>
        <w:t>140%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2021-2023 PA Payout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60"/>
        <w:spacing w:after="0"/>
        <w:rPr>
          <w:sz w:val="20"/>
          <w:szCs w:val="20"/>
          <w:color w:val="auto"/>
        </w:rPr>
      </w:pPr>
      <w:r>
        <w:rPr>
          <w:rFonts w:ascii="Arial" w:cs="Arial" w:eastAsia="Arial" w:hAnsi="Arial"/>
          <w:sz w:val="28"/>
          <w:szCs w:val="28"/>
          <w:color w:val="D52B1E"/>
        </w:rPr>
        <w:t>175%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2020-2022 SVA Payout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260"/>
        <w:spacing w:after="0"/>
        <w:rPr>
          <w:sz w:val="20"/>
          <w:szCs w:val="20"/>
          <w:color w:val="auto"/>
        </w:rPr>
      </w:pPr>
      <w:r>
        <w:rPr>
          <w:rFonts w:ascii="Arial" w:cs="Arial" w:eastAsia="Arial" w:hAnsi="Arial"/>
          <w:sz w:val="28"/>
          <w:szCs w:val="28"/>
          <w:color w:val="D52B1E"/>
        </w:rPr>
        <w:t>175%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2020-2022 RVA Payout</w:t>
      </w:r>
    </w:p>
    <w:p>
      <w:pPr>
        <w:spacing w:after="0" w:line="517" w:lineRule="exact"/>
        <w:rPr>
          <w:sz w:val="20"/>
          <w:szCs w:val="20"/>
          <w:color w:val="auto"/>
        </w:rPr>
      </w:pPr>
    </w:p>
    <w:p>
      <w:pPr>
        <w:sectPr>
          <w:pgSz w:w="11900" w:h="16838" w:orient="portrait"/>
          <w:cols w:equalWidth="0" w:num="2">
            <w:col w:w="5500" w:space="180"/>
            <w:col w:w="5260"/>
          </w:cols>
          <w:pgMar w:left="320" w:top="969" w:right="6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Voting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30480</wp:posOffset>
            </wp:positionV>
            <wp:extent cx="578485" cy="578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485" cy="57848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74930</wp:posOffset>
            </wp:positionV>
            <wp:extent cx="489585" cy="489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9585" cy="48958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82550</wp:posOffset>
            </wp:positionV>
            <wp:extent cx="474980" cy="474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4980" cy="47498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60325</wp:posOffset>
            </wp:positionV>
            <wp:extent cx="519430" cy="519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943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740" w:type="dxa"/>
            <w:vAlign w:val="bottom"/>
          </w:tcPr>
          <w:p>
            <w:pPr>
              <w:jc w:val="center"/>
              <w:ind w:right="50"/>
              <w:spacing w:after="0"/>
              <w:rPr>
                <w:sz w:val="20"/>
                <w:szCs w:val="20"/>
                <w:color w:val="auto"/>
              </w:rPr>
            </w:pPr>
            <w:r>
              <w:rPr>
                <w:rFonts w:ascii="Arial" w:cs="Arial" w:eastAsia="Arial" w:hAnsi="Arial"/>
                <w:sz w:val="14"/>
                <w:szCs w:val="14"/>
                <w:b w:val="1"/>
                <w:bCs w:val="1"/>
                <w:color w:val="auto"/>
              </w:rPr>
              <w:t>ONLINE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BY TELEPHONE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BY MAIL</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9"/>
              </w:rPr>
              <w:t>AT THE MEETING</w:t>
            </w:r>
          </w:p>
        </w:tc>
      </w:tr>
      <w:tr>
        <w:trPr>
          <w:trHeight w:val="141"/>
        </w:trPr>
        <w:tc>
          <w:tcPr>
            <w:tcW w:w="1740" w:type="dxa"/>
            <w:vAlign w:val="bottom"/>
          </w:tcPr>
          <w:p>
            <w:pPr>
              <w:jc w:val="center"/>
              <w:ind w:right="50"/>
              <w:spacing w:after="0" w:line="141" w:lineRule="exact"/>
              <w:rPr>
                <w:sz w:val="20"/>
                <w:szCs w:val="20"/>
                <w:color w:val="auto"/>
              </w:rPr>
            </w:pPr>
            <w:r>
              <w:rPr>
                <w:rFonts w:ascii="Arial" w:cs="Arial" w:eastAsia="Arial" w:hAnsi="Arial"/>
                <w:sz w:val="14"/>
                <w:szCs w:val="14"/>
                <w:color w:val="auto"/>
              </w:rPr>
              <w:t>Visit the website listed on</w:t>
            </w:r>
          </w:p>
        </w:tc>
        <w:tc>
          <w:tcPr>
            <w:tcW w:w="1740" w:type="dxa"/>
            <w:vAlign w:val="bottom"/>
          </w:tcPr>
          <w:p>
            <w:pPr>
              <w:jc w:val="center"/>
              <w:spacing w:after="0" w:line="141" w:lineRule="exact"/>
              <w:rPr>
                <w:sz w:val="20"/>
                <w:szCs w:val="20"/>
                <w:color w:val="auto"/>
              </w:rPr>
            </w:pPr>
            <w:r>
              <w:rPr>
                <w:rFonts w:ascii="Arial" w:cs="Arial" w:eastAsia="Arial" w:hAnsi="Arial"/>
                <w:sz w:val="14"/>
                <w:szCs w:val="14"/>
                <w:color w:val="auto"/>
              </w:rPr>
              <w:t>Call 1-800-690-6903 and</w:t>
            </w:r>
          </w:p>
        </w:tc>
        <w:tc>
          <w:tcPr>
            <w:tcW w:w="1860" w:type="dxa"/>
            <w:vAlign w:val="bottom"/>
          </w:tcPr>
          <w:p>
            <w:pPr>
              <w:jc w:val="center"/>
              <w:spacing w:after="0" w:line="141" w:lineRule="exact"/>
              <w:rPr>
                <w:sz w:val="20"/>
                <w:szCs w:val="20"/>
                <w:color w:val="auto"/>
              </w:rPr>
            </w:pPr>
            <w:r>
              <w:rPr>
                <w:rFonts w:ascii="Arial" w:cs="Arial" w:eastAsia="Arial" w:hAnsi="Arial"/>
                <w:sz w:val="14"/>
                <w:szCs w:val="14"/>
                <w:color w:val="auto"/>
                <w:w w:val="99"/>
              </w:rPr>
              <w:t>If you received or requested</w:t>
            </w:r>
          </w:p>
        </w:tc>
        <w:tc>
          <w:tcPr>
            <w:tcW w:w="2540" w:type="dxa"/>
            <w:vAlign w:val="bottom"/>
          </w:tcPr>
          <w:p>
            <w:pPr>
              <w:jc w:val="center"/>
              <w:spacing w:after="0" w:line="141" w:lineRule="exact"/>
              <w:rPr>
                <w:sz w:val="20"/>
                <w:szCs w:val="20"/>
                <w:color w:val="auto"/>
              </w:rPr>
            </w:pPr>
            <w:r>
              <w:rPr>
                <w:rFonts w:ascii="Arial" w:cs="Arial" w:eastAsia="Arial" w:hAnsi="Arial"/>
                <w:sz w:val="14"/>
                <w:szCs w:val="14"/>
                <w:color w:val="auto"/>
              </w:rPr>
              <w:t>Attend the Annual Meeting, online by</w:t>
            </w:r>
          </w:p>
        </w:tc>
      </w:tr>
      <w:tr>
        <w:trPr>
          <w:trHeight w:val="140"/>
        </w:trPr>
        <w:tc>
          <w:tcPr>
            <w:tcW w:w="1740" w:type="dxa"/>
            <w:vAlign w:val="bottom"/>
          </w:tcPr>
          <w:p>
            <w:pPr>
              <w:jc w:val="center"/>
              <w:ind w:right="50"/>
              <w:spacing w:after="0" w:line="140" w:lineRule="exact"/>
              <w:rPr>
                <w:sz w:val="20"/>
                <w:szCs w:val="20"/>
                <w:color w:val="auto"/>
              </w:rPr>
            </w:pPr>
            <w:r>
              <w:rPr>
                <w:rFonts w:ascii="Arial" w:cs="Arial" w:eastAsia="Arial" w:hAnsi="Arial"/>
                <w:sz w:val="14"/>
                <w:szCs w:val="14"/>
                <w:color w:val="auto"/>
              </w:rPr>
              <w:t>your notice, proxy card, or</w:t>
            </w:r>
          </w:p>
        </w:tc>
        <w:tc>
          <w:tcPr>
            <w:tcW w:w="1740" w:type="dxa"/>
            <w:vAlign w:val="bottom"/>
          </w:tcPr>
          <w:p>
            <w:pPr>
              <w:jc w:val="center"/>
              <w:spacing w:after="0" w:line="140" w:lineRule="exact"/>
              <w:rPr>
                <w:sz w:val="20"/>
                <w:szCs w:val="20"/>
                <w:color w:val="auto"/>
              </w:rPr>
            </w:pPr>
            <w:r>
              <w:rPr>
                <w:rFonts w:ascii="Arial" w:cs="Arial" w:eastAsia="Arial" w:hAnsi="Arial"/>
                <w:sz w:val="14"/>
                <w:szCs w:val="14"/>
                <w:color w:val="auto"/>
              </w:rPr>
              <w:t>follow the instructions</w:t>
            </w:r>
          </w:p>
        </w:tc>
        <w:tc>
          <w:tcPr>
            <w:tcW w:w="1860" w:type="dxa"/>
            <w:vAlign w:val="bottom"/>
          </w:tcPr>
          <w:p>
            <w:pPr>
              <w:jc w:val="center"/>
              <w:spacing w:after="0" w:line="140" w:lineRule="exact"/>
              <w:rPr>
                <w:sz w:val="20"/>
                <w:szCs w:val="20"/>
                <w:color w:val="auto"/>
              </w:rPr>
            </w:pPr>
            <w:r>
              <w:rPr>
                <w:rFonts w:ascii="Arial" w:cs="Arial" w:eastAsia="Arial" w:hAnsi="Arial"/>
                <w:sz w:val="14"/>
                <w:szCs w:val="14"/>
                <w:color w:val="auto"/>
                <w:w w:val="99"/>
              </w:rPr>
              <w:t>paper copies of your proxy</w:t>
            </w:r>
          </w:p>
        </w:tc>
        <w:tc>
          <w:tcPr>
            <w:tcW w:w="2540" w:type="dxa"/>
            <w:vAlign w:val="bottom"/>
          </w:tcPr>
          <w:p>
            <w:pPr>
              <w:jc w:val="center"/>
              <w:spacing w:after="0" w:line="140" w:lineRule="exact"/>
              <w:rPr>
                <w:sz w:val="20"/>
                <w:szCs w:val="20"/>
                <w:color w:val="auto"/>
              </w:rPr>
            </w:pPr>
            <w:r>
              <w:rPr>
                <w:rFonts w:ascii="Arial" w:cs="Arial" w:eastAsia="Arial" w:hAnsi="Arial"/>
                <w:sz w:val="14"/>
                <w:szCs w:val="14"/>
                <w:color w:val="auto"/>
              </w:rPr>
              <w:t>live webcast at</w:t>
            </w:r>
          </w:p>
        </w:tc>
      </w:tr>
      <w:tr>
        <w:trPr>
          <w:trHeight w:val="140"/>
        </w:trPr>
        <w:tc>
          <w:tcPr>
            <w:tcW w:w="1740" w:type="dxa"/>
            <w:vAlign w:val="bottom"/>
          </w:tcPr>
          <w:p>
            <w:pPr>
              <w:jc w:val="center"/>
              <w:ind w:right="50"/>
              <w:spacing w:after="0" w:line="140" w:lineRule="exact"/>
              <w:rPr>
                <w:sz w:val="20"/>
                <w:szCs w:val="20"/>
                <w:color w:val="auto"/>
              </w:rPr>
            </w:pPr>
            <w:r>
              <w:rPr>
                <w:rFonts w:ascii="Arial" w:cs="Arial" w:eastAsia="Arial" w:hAnsi="Arial"/>
                <w:sz w:val="14"/>
                <w:szCs w:val="14"/>
                <w:color w:val="auto"/>
              </w:rPr>
              <w:t>voting instruction form</w:t>
            </w:r>
          </w:p>
        </w:tc>
        <w:tc>
          <w:tcPr>
            <w:tcW w:w="1740" w:type="dxa"/>
            <w:vAlign w:val="bottom"/>
          </w:tcPr>
          <w:p>
            <w:pPr>
              <w:jc w:val="center"/>
              <w:spacing w:after="0" w:line="140" w:lineRule="exact"/>
              <w:rPr>
                <w:sz w:val="20"/>
                <w:szCs w:val="20"/>
                <w:color w:val="auto"/>
              </w:rPr>
            </w:pPr>
            <w:r>
              <w:rPr>
                <w:rFonts w:ascii="Arial" w:cs="Arial" w:eastAsia="Arial" w:hAnsi="Arial"/>
                <w:sz w:val="14"/>
                <w:szCs w:val="14"/>
                <w:color w:val="auto"/>
              </w:rPr>
              <w:t>provided</w:t>
            </w:r>
          </w:p>
        </w:tc>
        <w:tc>
          <w:tcPr>
            <w:tcW w:w="1860" w:type="dxa"/>
            <w:vAlign w:val="bottom"/>
          </w:tcPr>
          <w:p>
            <w:pPr>
              <w:jc w:val="center"/>
              <w:spacing w:after="0" w:line="140" w:lineRule="exact"/>
              <w:rPr>
                <w:sz w:val="20"/>
                <w:szCs w:val="20"/>
                <w:color w:val="auto"/>
              </w:rPr>
            </w:pPr>
            <w:r>
              <w:rPr>
                <w:rFonts w:ascii="Arial" w:cs="Arial" w:eastAsia="Arial" w:hAnsi="Arial"/>
                <w:sz w:val="14"/>
                <w:szCs w:val="14"/>
                <w:color w:val="auto"/>
                <w:w w:val="99"/>
              </w:rPr>
              <w:t>materials, sign, date, and</w:t>
            </w:r>
          </w:p>
        </w:tc>
        <w:tc>
          <w:tcPr>
            <w:tcW w:w="2540" w:type="dxa"/>
            <w:vAlign w:val="bottom"/>
          </w:tcPr>
          <w:p>
            <w:pPr>
              <w:jc w:val="center"/>
              <w:spacing w:after="0" w:line="140" w:lineRule="exact"/>
              <w:rPr>
                <w:sz w:val="20"/>
                <w:szCs w:val="20"/>
                <w:color w:val="auto"/>
              </w:rPr>
            </w:pPr>
            <w:r>
              <w:rPr>
                <w:rFonts w:ascii="Arial" w:cs="Arial" w:eastAsia="Arial" w:hAnsi="Arial"/>
                <w:sz w:val="14"/>
                <w:szCs w:val="14"/>
                <w:color w:val="D52B1E"/>
                <w:w w:val="99"/>
              </w:rPr>
              <w:t>virtualshareholdermeeting.com/LLY2023</w:t>
            </w:r>
          </w:p>
        </w:tc>
      </w:tr>
      <w:tr>
        <w:trPr>
          <w:trHeight w:val="140"/>
        </w:trPr>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jc w:val="center"/>
              <w:spacing w:after="0" w:line="140" w:lineRule="exact"/>
              <w:rPr>
                <w:sz w:val="20"/>
                <w:szCs w:val="20"/>
                <w:color w:val="auto"/>
              </w:rPr>
            </w:pPr>
            <w:r>
              <w:rPr>
                <w:rFonts w:ascii="Arial" w:cs="Arial" w:eastAsia="Arial" w:hAnsi="Arial"/>
                <w:sz w:val="14"/>
                <w:szCs w:val="14"/>
                <w:color w:val="auto"/>
                <w:w w:val="99"/>
              </w:rPr>
              <w:t>return your proxy card or</w:t>
            </w:r>
          </w:p>
        </w:tc>
        <w:tc>
          <w:tcPr>
            <w:tcW w:w="2540" w:type="dxa"/>
            <w:vAlign w:val="bottom"/>
          </w:tcPr>
          <w:p>
            <w:pPr>
              <w:jc w:val="center"/>
              <w:spacing w:after="0" w:line="140" w:lineRule="exact"/>
              <w:rPr>
                <w:sz w:val="20"/>
                <w:szCs w:val="20"/>
                <w:color w:val="auto"/>
              </w:rPr>
            </w:pPr>
            <w:r>
              <w:rPr>
                <w:rFonts w:ascii="Arial" w:cs="Arial" w:eastAsia="Arial" w:hAnsi="Arial"/>
                <w:sz w:val="14"/>
                <w:szCs w:val="14"/>
                <w:color w:val="auto"/>
                <w:w w:val="99"/>
              </w:rPr>
              <w:t>on Monday, May 1, 2023, at 8:30 a.m.</w:t>
            </w:r>
          </w:p>
        </w:tc>
      </w:tr>
      <w:tr>
        <w:trPr>
          <w:trHeight w:val="185"/>
        </w:trPr>
        <w:tc>
          <w:tcPr>
            <w:tcW w:w="1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9"/>
              </w:rPr>
              <w:t>voting instruction form</w:t>
            </w:r>
          </w:p>
        </w:tc>
        <w:tc>
          <w:tcPr>
            <w:tcW w:w="2540" w:type="dxa"/>
            <w:vAlign w:val="bottom"/>
          </w:tcPr>
          <w:p>
            <w:pPr>
              <w:jc w:val="center"/>
              <w:spacing w:after="0"/>
              <w:rPr>
                <w:sz w:val="20"/>
                <w:szCs w:val="20"/>
                <w:color w:val="auto"/>
              </w:rPr>
            </w:pPr>
            <w:r>
              <w:rPr>
                <w:rFonts w:ascii="Arial" w:cs="Arial" w:eastAsia="Arial" w:hAnsi="Arial"/>
                <w:sz w:val="14"/>
                <w:szCs w:val="14"/>
                <w:color w:val="auto"/>
                <w:w w:val="99"/>
              </w:rPr>
              <w:t>EDT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Vote Early: </w:t>
      </w:r>
      <w:r>
        <w:rPr>
          <w:rFonts w:ascii="Arial" w:cs="Arial" w:eastAsia="Arial" w:hAnsi="Arial"/>
          <w:sz w:val="15"/>
          <w:szCs w:val="15"/>
          <w:color w:val="auto"/>
        </w:rPr>
        <w:t>Even if you plan to attend the Annual Meeting, we encourage you to vote prior to the meeting, either online, by telephone or by mail.</w:t>
      </w:r>
    </w:p>
    <w:p>
      <w:pPr>
        <w:spacing w:after="0" w:line="190" w:lineRule="exact"/>
        <w:rPr>
          <w:sz w:val="20"/>
          <w:szCs w:val="20"/>
          <w:color w:val="auto"/>
        </w:rPr>
      </w:pPr>
    </w:p>
    <w:p>
      <w:pPr>
        <w:jc w:val="both"/>
        <w:ind w:right="60"/>
        <w:spacing w:after="0" w:line="246" w:lineRule="auto"/>
        <w:rPr>
          <w:sz w:val="20"/>
          <w:szCs w:val="20"/>
          <w:color w:val="auto"/>
        </w:rPr>
      </w:pPr>
      <w:r>
        <w:rPr>
          <w:rFonts w:ascii="Arial" w:cs="Arial" w:eastAsia="Arial" w:hAnsi="Arial"/>
          <w:sz w:val="19"/>
          <w:szCs w:val="19"/>
          <w:b w:val="1"/>
          <w:bCs w:val="1"/>
          <w:color w:val="auto"/>
        </w:rPr>
        <w:t xml:space="preserve">Beneficial Shareholders: </w:t>
      </w:r>
      <w:r>
        <w:rPr>
          <w:rFonts w:ascii="Arial" w:cs="Arial" w:eastAsia="Arial" w:hAnsi="Arial"/>
          <w:sz w:val="15"/>
          <w:szCs w:val="15"/>
          <w:color w:val="auto"/>
        </w:rPr>
        <w:t>Shareholders who hold their shares beneficially through an institutional holder of record, such as a broker or bank (sometimes</w:t>
      </w:r>
      <w:r>
        <w:rPr>
          <w:rFonts w:ascii="Arial" w:cs="Arial" w:eastAsia="Arial" w:hAnsi="Arial"/>
          <w:sz w:val="19"/>
          <w:szCs w:val="19"/>
          <w:b w:val="1"/>
          <w:bCs w:val="1"/>
          <w:color w:val="auto"/>
        </w:rPr>
        <w:t xml:space="preserve"> </w:t>
      </w:r>
      <w:r>
        <w:rPr>
          <w:rFonts w:ascii="Arial" w:cs="Arial" w:eastAsia="Arial" w:hAnsi="Arial"/>
          <w:sz w:val="15"/>
          <w:szCs w:val="15"/>
          <w:color w:val="auto"/>
        </w:rPr>
        <w:t>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w:t>
      </w:r>
      <w:r>
        <w:rPr>
          <w:rFonts w:ascii="Arial" w:cs="Arial" w:eastAsia="Arial" w:hAnsi="Arial"/>
          <w:sz w:val="15"/>
          <w:szCs w:val="15"/>
          <w:u w:val="single" w:color="auto"/>
          <w:color w:val="0000FF"/>
        </w:rPr>
        <w:t>Other Information—Meeting and</w:t>
      </w:r>
      <w:r>
        <w:rPr>
          <w:rFonts w:ascii="Arial" w:cs="Arial" w:eastAsia="Arial" w:hAnsi="Arial"/>
          <w:sz w:val="15"/>
          <w:szCs w:val="15"/>
          <w:color w:val="auto"/>
        </w:rPr>
        <w:t xml:space="preserve"> </w:t>
      </w:r>
      <w:r>
        <w:rPr>
          <w:rFonts w:ascii="Arial" w:cs="Arial" w:eastAsia="Arial" w:hAnsi="Arial"/>
          <w:sz w:val="15"/>
          <w:szCs w:val="15"/>
          <w:u w:val="single" w:color="auto"/>
          <w:color w:val="0000FF"/>
        </w:rPr>
        <w:t>Voting Logistics—How to Vote</w:t>
      </w:r>
      <w:r>
        <w:rPr>
          <w:rFonts w:ascii="Arial" w:cs="Arial" w:eastAsia="Arial" w:hAnsi="Arial"/>
          <w:sz w:val="15"/>
          <w:szCs w:val="15"/>
          <w:color w:val="000000"/>
        </w:rPr>
        <w:t>” for more information.</w:t>
      </w: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40"/>
          </w:cols>
          <w:pgMar w:left="320" w:top="969" w:right="639" w:bottom="1440" w:gutter="0" w:footer="0" w:header="0"/>
          <w:type w:val="continuous"/>
        </w:sectPr>
      </w:pPr>
    </w:p>
    <w:bookmarkStart w:id="12" w:name="page13"/>
    <w:bookmarkEnd w:id="12"/>
    <w:p>
      <w:pPr>
        <w:spacing w:after="0" w:line="266" w:lineRule="auto"/>
        <w:rPr>
          <w:sz w:val="20"/>
          <w:szCs w:val="20"/>
          <w:color w:val="auto"/>
        </w:rPr>
      </w:pPr>
      <w:r>
        <w:rPr>
          <w:rFonts w:ascii="Arial" w:cs="Arial" w:eastAsia="Arial" w:hAnsi="Arial"/>
          <w:sz w:val="19"/>
          <w:szCs w:val="19"/>
          <w:b w:val="1"/>
          <w:bCs w:val="1"/>
          <w:color w:val="auto"/>
        </w:rPr>
        <w:t xml:space="preserve">Voting Deadlines: </w:t>
      </w:r>
      <w:r>
        <w:rPr>
          <w:rFonts w:ascii="Arial" w:cs="Arial" w:eastAsia="Arial" w:hAnsi="Arial"/>
          <w:sz w:val="15"/>
          <w:szCs w:val="15"/>
          <w:color w:val="auto"/>
        </w:rPr>
        <w:t>You may vote your shares prior to the Annual Meeting until 11:59 p.m. EDT on April 30, 2023, online or by telephone. If you are voting by</w:t>
      </w:r>
      <w:r>
        <w:rPr>
          <w:rFonts w:ascii="Arial" w:cs="Arial" w:eastAsia="Arial" w:hAnsi="Arial"/>
          <w:sz w:val="19"/>
          <w:szCs w:val="19"/>
          <w:b w:val="1"/>
          <w:bCs w:val="1"/>
          <w:color w:val="auto"/>
        </w:rPr>
        <w:t xml:space="preserve"> </w:t>
      </w:r>
      <w:r>
        <w:rPr>
          <w:rFonts w:ascii="Arial" w:cs="Arial" w:eastAsia="Arial" w:hAnsi="Arial"/>
          <w:sz w:val="15"/>
          <w:szCs w:val="15"/>
          <w:color w:val="auto"/>
        </w:rPr>
        <w:t>mail, your marked, signed, and dated proxy card must be received by April 30, 2023. Shareholders who hold their shares in the 401(k) Plan must vote in advance of the Annual Meeting, by April 26, 2023, so the plan trustee can vote their shares accordingly. See “</w:t>
      </w:r>
      <w:r>
        <w:rPr>
          <w:rFonts w:ascii="Arial" w:cs="Arial" w:eastAsia="Arial" w:hAnsi="Arial"/>
          <w:sz w:val="15"/>
          <w:szCs w:val="15"/>
          <w:u w:val="single" w:color="auto"/>
          <w:color w:val="0000FF"/>
        </w:rPr>
        <w:t>Other Information—Meeting and Voting Logistics—How to Vote</w:t>
      </w:r>
      <w:r>
        <w:rPr>
          <w:rFonts w:ascii="Arial" w:cs="Arial" w:eastAsia="Arial" w:hAnsi="Arial"/>
          <w:sz w:val="15"/>
          <w:szCs w:val="15"/>
          <w:color w:val="auto"/>
        </w:rPr>
        <w:t>” for more information.</w:t>
      </w:r>
    </w:p>
    <w:p>
      <w:pPr>
        <w:spacing w:after="0" w:line="154" w:lineRule="exact"/>
        <w:rPr>
          <w:sz w:val="20"/>
          <w:szCs w:val="20"/>
          <w:color w:val="auto"/>
        </w:rPr>
      </w:pPr>
    </w:p>
    <w:p>
      <w:pPr>
        <w:ind w:right="280"/>
        <w:spacing w:after="0" w:line="232" w:lineRule="auto"/>
        <w:rPr>
          <w:sz w:val="20"/>
          <w:szCs w:val="20"/>
          <w:color w:val="auto"/>
        </w:rPr>
      </w:pPr>
      <w:r>
        <w:rPr>
          <w:rFonts w:ascii="Arial" w:cs="Arial" w:eastAsia="Arial" w:hAnsi="Arial"/>
          <w:sz w:val="19"/>
          <w:szCs w:val="19"/>
          <w:b w:val="1"/>
          <w:bCs w:val="1"/>
          <w:color w:val="auto"/>
        </w:rPr>
        <w:t xml:space="preserve">More Information: </w:t>
      </w:r>
      <w:r>
        <w:rPr>
          <w:rFonts w:ascii="Arial" w:cs="Arial" w:eastAsia="Arial" w:hAnsi="Arial"/>
          <w:sz w:val="15"/>
          <w:szCs w:val="15"/>
          <w:color w:val="auto"/>
        </w:rPr>
        <w:t>Further information on how to vote, including if you hold voting shares in the 401(k) Plan, is provided under “</w:t>
      </w:r>
      <w:r>
        <w:rPr>
          <w:rFonts w:ascii="Arial" w:cs="Arial" w:eastAsia="Arial" w:hAnsi="Arial"/>
          <w:sz w:val="15"/>
          <w:szCs w:val="15"/>
          <w:u w:val="single" w:color="auto"/>
          <w:color w:val="0000FF"/>
        </w:rPr>
        <w:t>Other Information—Meeting</w:t>
      </w:r>
      <w:r>
        <w:rPr>
          <w:rFonts w:ascii="Arial" w:cs="Arial" w:eastAsia="Arial" w:hAnsi="Arial"/>
          <w:sz w:val="19"/>
          <w:szCs w:val="19"/>
          <w:b w:val="1"/>
          <w:bCs w:val="1"/>
          <w:color w:val="auto"/>
        </w:rPr>
        <w:t xml:space="preserve"> </w:t>
      </w:r>
      <w:r>
        <w:rPr>
          <w:rFonts w:ascii="Arial" w:cs="Arial" w:eastAsia="Arial" w:hAnsi="Arial"/>
          <w:sz w:val="15"/>
          <w:szCs w:val="15"/>
          <w:u w:val="single" w:color="auto"/>
          <w:color w:val="0000FF"/>
        </w:rPr>
        <w:t>and Voting Logistics—How to Vote</w:t>
      </w:r>
      <w:r>
        <w:rPr>
          <w:rFonts w:ascii="Arial" w:cs="Arial" w:eastAsia="Arial" w:hAnsi="Arial"/>
          <w:sz w:val="15"/>
          <w:szCs w:val="15"/>
          <w:color w:val="000000"/>
        </w:rPr>
        <w: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9847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6"/>
              </w:rPr>
              <w:t>Board Vote</w:t>
            </w:r>
          </w:p>
        </w:tc>
        <w:tc>
          <w:tcPr>
            <w:tcW w:w="6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8"/>
              </w:rPr>
              <w:t>See</w:t>
            </w:r>
          </w:p>
        </w:tc>
      </w:tr>
      <w:tr>
        <w:trPr>
          <w:trHeight w:val="221"/>
        </w:trPr>
        <w:tc>
          <w:tcPr>
            <w:tcW w:w="4180" w:type="dxa"/>
            <w:vAlign w:val="bottom"/>
            <w:tcBorders>
              <w:bottom w:val="single" w:sz="8" w:color="666666"/>
            </w:tcBorders>
          </w:tcPr>
          <w:p>
            <w:pPr>
              <w:ind w:left="680"/>
              <w:spacing w:after="0"/>
              <w:rPr>
                <w:sz w:val="20"/>
                <w:szCs w:val="20"/>
                <w:color w:val="auto"/>
              </w:rPr>
            </w:pPr>
            <w:r>
              <w:rPr>
                <w:rFonts w:ascii="Arial" w:cs="Arial" w:eastAsia="Arial" w:hAnsi="Arial"/>
                <w:sz w:val="16"/>
                <w:szCs w:val="16"/>
                <w:b w:val="1"/>
                <w:bCs w:val="1"/>
                <w:color w:val="auto"/>
              </w:rPr>
              <w:t>Voting Matter</w:t>
            </w:r>
          </w:p>
        </w:tc>
        <w:tc>
          <w:tcPr>
            <w:tcW w:w="1500" w:type="dxa"/>
            <w:vAlign w:val="bottom"/>
            <w:tcBorders>
              <w:bottom w:val="single" w:sz="8" w:color="666666"/>
            </w:tcBorders>
          </w:tcPr>
          <w:p>
            <w:pPr>
              <w:jc w:val="center"/>
              <w:ind w:left="22"/>
              <w:spacing w:after="0"/>
              <w:rPr>
                <w:sz w:val="20"/>
                <w:szCs w:val="20"/>
                <w:color w:val="auto"/>
              </w:rPr>
            </w:pPr>
            <w:r>
              <w:rPr>
                <w:rFonts w:ascii="Arial" w:cs="Arial" w:eastAsia="Arial" w:hAnsi="Arial"/>
                <w:sz w:val="16"/>
                <w:szCs w:val="16"/>
                <w:b w:val="1"/>
                <w:bCs w:val="1"/>
                <w:color w:val="auto"/>
                <w:w w:val="95"/>
              </w:rPr>
              <w:t>Required Vote</w:t>
            </w:r>
          </w:p>
        </w:tc>
        <w:tc>
          <w:tcPr>
            <w:tcW w:w="15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w w:val="96"/>
              </w:rPr>
              <w:t>Recommendation</w:t>
            </w:r>
          </w:p>
        </w:tc>
        <w:tc>
          <w:tcPr>
            <w:tcW w:w="620" w:type="dxa"/>
            <w:vAlign w:val="bottom"/>
            <w:tcBorders>
              <w:bottom w:val="single" w:sz="8" w:color="666666"/>
            </w:tcBorders>
            <w:gridSpan w:val="3"/>
          </w:tcPr>
          <w:p>
            <w:pPr>
              <w:jc w:val="center"/>
              <w:ind w:right="20"/>
              <w:spacing w:after="0"/>
              <w:rPr>
                <w:sz w:val="20"/>
                <w:szCs w:val="20"/>
                <w:color w:val="auto"/>
              </w:rPr>
            </w:pPr>
            <w:r>
              <w:rPr>
                <w:rFonts w:ascii="Arial" w:cs="Arial" w:eastAsia="Arial" w:hAnsi="Arial"/>
                <w:sz w:val="16"/>
                <w:szCs w:val="16"/>
                <w:b w:val="1"/>
                <w:bCs w:val="1"/>
                <w:color w:val="auto"/>
                <w:w w:val="94"/>
              </w:rPr>
              <w:t>Page</w:t>
            </w:r>
          </w:p>
        </w:tc>
      </w:tr>
      <w:tr>
        <w:trPr>
          <w:trHeight w:val="173"/>
        </w:trPr>
        <w:tc>
          <w:tcPr>
            <w:tcW w:w="4180" w:type="dxa"/>
            <w:vAlign w:val="bottom"/>
            <w:shd w:val="clear" w:color="auto" w:fill="F2F2F2"/>
          </w:tcPr>
          <w:p>
            <w:pPr>
              <w:spacing w:after="0" w:line="155" w:lineRule="exact"/>
              <w:rPr>
                <w:sz w:val="20"/>
                <w:szCs w:val="20"/>
                <w:color w:val="auto"/>
              </w:rPr>
            </w:pPr>
            <w:r>
              <w:rPr>
                <w:rFonts w:ascii="Arial" w:cs="Arial" w:eastAsia="Arial" w:hAnsi="Arial"/>
                <w:sz w:val="16"/>
                <w:szCs w:val="16"/>
                <w:color w:val="auto"/>
              </w:rPr>
              <w:t xml:space="preserve">Item 1   </w:t>
            </w:r>
            <w:r>
              <w:rPr>
                <w:rFonts w:ascii="Arial" w:cs="Arial" w:eastAsia="Arial" w:hAnsi="Arial"/>
                <w:sz w:val="16"/>
                <w:szCs w:val="16"/>
                <w:b w:val="1"/>
                <w:bCs w:val="1"/>
                <w:color w:val="D52B1E"/>
              </w:rPr>
              <w:t>Election of four directors</w:t>
            </w:r>
            <w:r>
              <w:rPr>
                <w:rFonts w:ascii="Arial" w:cs="Arial" w:eastAsia="Arial" w:hAnsi="Arial"/>
                <w:sz w:val="16"/>
                <w:szCs w:val="16"/>
                <w:color w:val="auto"/>
              </w:rPr>
              <w:t xml:space="preserve"> to serve three-year</w:t>
            </w:r>
          </w:p>
        </w:tc>
        <w:tc>
          <w:tcPr>
            <w:tcW w:w="1500" w:type="dxa"/>
            <w:vAlign w:val="bottom"/>
            <w:shd w:val="clear" w:color="auto" w:fill="F2F2F2"/>
          </w:tcPr>
          <w:p>
            <w:pPr>
              <w:jc w:val="center"/>
              <w:ind w:left="2"/>
              <w:spacing w:after="0" w:line="155" w:lineRule="exact"/>
              <w:rPr>
                <w:sz w:val="20"/>
                <w:szCs w:val="20"/>
                <w:color w:val="auto"/>
              </w:rPr>
            </w:pPr>
            <w:r>
              <w:rPr>
                <w:rFonts w:ascii="Arial" w:cs="Arial" w:eastAsia="Arial" w:hAnsi="Arial"/>
                <w:sz w:val="16"/>
                <w:szCs w:val="16"/>
                <w:color w:val="auto"/>
                <w:w w:val="97"/>
              </w:rPr>
              <w:t>Majority of votes</w:t>
            </w:r>
          </w:p>
        </w:tc>
        <w:tc>
          <w:tcPr>
            <w:tcW w:w="154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w w:val="96"/>
              </w:rPr>
              <w:t>FOR EACH</w:t>
            </w:r>
          </w:p>
        </w:tc>
        <w:tc>
          <w:tcPr>
            <w:tcW w:w="620" w:type="dxa"/>
            <w:vAlign w:val="bottom"/>
            <w:gridSpan w:val="3"/>
            <w:shd w:val="clear" w:color="auto" w:fill="F2F2F2"/>
          </w:tcPr>
          <w:p>
            <w:pPr>
              <w:jc w:val="center"/>
              <w:ind w:right="20"/>
              <w:spacing w:after="0" w:line="155" w:lineRule="exact"/>
              <w:rPr>
                <w:sz w:val="20"/>
                <w:szCs w:val="20"/>
                <w:color w:val="auto"/>
              </w:rPr>
            </w:pPr>
            <w:r>
              <w:rPr>
                <w:rFonts w:ascii="Arial" w:cs="Arial" w:eastAsia="Arial" w:hAnsi="Arial"/>
                <w:sz w:val="16"/>
                <w:szCs w:val="16"/>
                <w:color w:val="0000FF"/>
                <w:w w:val="89"/>
              </w:rPr>
              <w:t>27</w:t>
            </w:r>
          </w:p>
        </w:tc>
      </w:tr>
      <w:tr>
        <w:trPr>
          <w:trHeight w:val="187"/>
        </w:trPr>
        <w:tc>
          <w:tcPr>
            <w:tcW w:w="4180" w:type="dxa"/>
            <w:vAlign w:val="bottom"/>
            <w:tcBorders>
              <w:top w:val="single" w:sz="8" w:color="F2F2F2"/>
            </w:tcBorders>
            <w:shd w:val="clear" w:color="auto" w:fill="F2F2F2"/>
          </w:tcPr>
          <w:p>
            <w:pPr>
              <w:ind w:left="680"/>
              <w:spacing w:after="0"/>
              <w:rPr>
                <w:sz w:val="20"/>
                <w:szCs w:val="20"/>
                <w:color w:val="auto"/>
              </w:rPr>
            </w:pPr>
            <w:r>
              <w:rPr>
                <w:rFonts w:ascii="Arial" w:cs="Arial" w:eastAsia="Arial" w:hAnsi="Arial"/>
                <w:sz w:val="16"/>
                <w:szCs w:val="16"/>
                <w:color w:val="auto"/>
              </w:rPr>
              <w:t>terms</w:t>
            </w:r>
          </w:p>
        </w:tc>
        <w:tc>
          <w:tcPr>
            <w:tcW w:w="1500" w:type="dxa"/>
            <w:vAlign w:val="bottom"/>
            <w:tcBorders>
              <w:top w:val="single" w:sz="8" w:color="F2F2F2"/>
            </w:tcBorders>
            <w:shd w:val="clear" w:color="auto" w:fill="F2F2F2"/>
          </w:tcPr>
          <w:p>
            <w:pPr>
              <w:jc w:val="center"/>
              <w:ind w:left="2"/>
              <w:spacing w:after="0"/>
              <w:rPr>
                <w:sz w:val="20"/>
                <w:szCs w:val="20"/>
                <w:color w:val="auto"/>
              </w:rPr>
            </w:pPr>
            <w:r>
              <w:rPr>
                <w:rFonts w:ascii="Arial" w:cs="Arial" w:eastAsia="Arial" w:hAnsi="Arial"/>
                <w:sz w:val="16"/>
                <w:szCs w:val="16"/>
                <w:color w:val="auto"/>
                <w:w w:val="96"/>
              </w:rPr>
              <w:t>cast (for each</w:t>
            </w:r>
          </w:p>
        </w:tc>
        <w:tc>
          <w:tcPr>
            <w:tcW w:w="154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NOMINEE</w:t>
            </w:r>
          </w:p>
        </w:tc>
        <w:tc>
          <w:tcPr>
            <w:tcW w:w="220" w:type="dxa"/>
            <w:vAlign w:val="bottom"/>
            <w:tcBorders>
              <w:top w:val="single" w:sz="8" w:color="F2F2F2"/>
            </w:tcBorders>
            <w:shd w:val="clear" w:color="auto" w:fill="F2F2F2"/>
          </w:tcPr>
          <w:p>
            <w:pPr>
              <w:spacing w:after="0"/>
              <w:rPr>
                <w:sz w:val="16"/>
                <w:szCs w:val="16"/>
                <w:color w:val="auto"/>
              </w:rPr>
            </w:pPr>
          </w:p>
        </w:tc>
        <w:tc>
          <w:tcPr>
            <w:tcW w:w="160" w:type="dxa"/>
            <w:vAlign w:val="bottom"/>
            <w:tcBorders>
              <w:top w:val="single" w:sz="8" w:color="0000FF"/>
            </w:tcBorders>
            <w:shd w:val="clear" w:color="auto" w:fill="F2F2F2"/>
          </w:tcPr>
          <w:p>
            <w:pPr>
              <w:spacing w:after="0"/>
              <w:rPr>
                <w:sz w:val="16"/>
                <w:szCs w:val="16"/>
                <w:color w:val="auto"/>
              </w:rPr>
            </w:pPr>
          </w:p>
        </w:tc>
        <w:tc>
          <w:tcPr>
            <w:tcW w:w="240" w:type="dxa"/>
            <w:vAlign w:val="bottom"/>
            <w:tcBorders>
              <w:top w:val="single" w:sz="8" w:color="F2F2F2"/>
            </w:tcBorders>
            <w:shd w:val="clear" w:color="auto" w:fill="F2F2F2"/>
          </w:tcPr>
          <w:p>
            <w:pPr>
              <w:spacing w:after="0"/>
              <w:rPr>
                <w:sz w:val="16"/>
                <w:szCs w:val="16"/>
                <w:color w:val="auto"/>
              </w:rPr>
            </w:pPr>
          </w:p>
        </w:tc>
      </w:tr>
      <w:tr>
        <w:trPr>
          <w:trHeight w:val="205"/>
        </w:trPr>
        <w:tc>
          <w:tcPr>
            <w:tcW w:w="4180" w:type="dxa"/>
            <w:vAlign w:val="bottom"/>
            <w:shd w:val="clear" w:color="auto" w:fill="F2F2F2"/>
          </w:tcPr>
          <w:p>
            <w:pPr>
              <w:spacing w:after="0"/>
              <w:rPr>
                <w:sz w:val="17"/>
                <w:szCs w:val="17"/>
                <w:color w:val="auto"/>
              </w:rPr>
            </w:pPr>
          </w:p>
        </w:tc>
        <w:tc>
          <w:tcPr>
            <w:tcW w:w="1500" w:type="dxa"/>
            <w:vAlign w:val="bottom"/>
            <w:shd w:val="clear" w:color="auto" w:fill="F2F2F2"/>
          </w:tcPr>
          <w:p>
            <w:pPr>
              <w:jc w:val="center"/>
              <w:ind w:left="22"/>
              <w:spacing w:after="0"/>
              <w:rPr>
                <w:sz w:val="20"/>
                <w:szCs w:val="20"/>
                <w:color w:val="auto"/>
              </w:rPr>
            </w:pPr>
            <w:r>
              <w:rPr>
                <w:rFonts w:ascii="Arial" w:cs="Arial" w:eastAsia="Arial" w:hAnsi="Arial"/>
                <w:sz w:val="16"/>
                <w:szCs w:val="16"/>
                <w:color w:val="auto"/>
                <w:w w:val="95"/>
              </w:rPr>
              <w:t>nominee)</w:t>
            </w:r>
          </w:p>
        </w:tc>
        <w:tc>
          <w:tcPr>
            <w:tcW w:w="15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r>
      <w:tr>
        <w:trPr>
          <w:trHeight w:val="20"/>
        </w:trPr>
        <w:tc>
          <w:tcPr>
            <w:tcW w:w="4180" w:type="dxa"/>
            <w:vAlign w:val="bottom"/>
            <w:shd w:val="clear" w:color="auto" w:fill="F2F2F2"/>
          </w:tcPr>
          <w:p>
            <w:pPr>
              <w:spacing w:after="0" w:line="20" w:lineRule="exact"/>
              <w:rPr>
                <w:sz w:val="1"/>
                <w:szCs w:val="1"/>
                <w:color w:val="auto"/>
              </w:rPr>
            </w:pPr>
          </w:p>
        </w:tc>
        <w:tc>
          <w:tcPr>
            <w:tcW w:w="1500" w:type="dxa"/>
            <w:vAlign w:val="bottom"/>
            <w:shd w:val="clear" w:color="auto" w:fill="F2F2F2"/>
          </w:tcPr>
          <w:p>
            <w:pPr>
              <w:spacing w:after="0" w:line="20" w:lineRule="exact"/>
              <w:rPr>
                <w:sz w:val="1"/>
                <w:szCs w:val="1"/>
                <w:color w:val="auto"/>
              </w:rPr>
            </w:pPr>
          </w:p>
        </w:tc>
        <w:tc>
          <w:tcPr>
            <w:tcW w:w="1540" w:type="dxa"/>
            <w:vAlign w:val="bottom"/>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160" w:type="dxa"/>
            <w:vAlign w:val="bottom"/>
            <w:shd w:val="clear" w:color="auto" w:fill="F2F2F2"/>
          </w:tcPr>
          <w:p>
            <w:pPr>
              <w:spacing w:after="0" w:line="20" w:lineRule="exact"/>
              <w:rPr>
                <w:sz w:val="1"/>
                <w:szCs w:val="1"/>
                <w:color w:val="auto"/>
              </w:rPr>
            </w:pPr>
          </w:p>
        </w:tc>
        <w:tc>
          <w:tcPr>
            <w:tcW w:w="240" w:type="dxa"/>
            <w:vAlign w:val="bottom"/>
            <w:shd w:val="clear" w:color="auto" w:fill="F2F2F2"/>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969" w:right="319" w:bottom="1440" w:gutter="0" w:footer="0" w:header="0"/>
        </w:sectPr>
      </w:pPr>
    </w:p>
    <w:p>
      <w:pPr>
        <w:spacing w:after="0" w:line="8" w:lineRule="exact"/>
        <w:rPr>
          <w:sz w:val="20"/>
          <w:szCs w:val="20"/>
          <w:color w:val="auto"/>
        </w:rPr>
      </w:pPr>
    </w:p>
    <w:p>
      <w:pPr>
        <w:ind w:left="680" w:hanging="665"/>
        <w:spacing w:after="0" w:line="282" w:lineRule="auto"/>
        <w:tabs>
          <w:tab w:leader="none" w:pos="660" w:val="left"/>
        </w:tabs>
        <w:rPr>
          <w:sz w:val="20"/>
          <w:szCs w:val="20"/>
          <w:color w:val="auto"/>
        </w:rPr>
      </w:pPr>
      <w:r>
        <w:rPr>
          <w:rFonts w:ascii="Arial" w:cs="Arial" w:eastAsia="Arial" w:hAnsi="Arial"/>
          <w:sz w:val="16"/>
          <w:szCs w:val="16"/>
          <w:color w:val="auto"/>
        </w:rPr>
        <w:t>Item 2</w:t>
        <w:tab/>
        <w:t xml:space="preserve">Advisory </w:t>
      </w:r>
      <w:r>
        <w:rPr>
          <w:rFonts w:ascii="Arial" w:cs="Arial" w:eastAsia="Arial" w:hAnsi="Arial"/>
          <w:sz w:val="16"/>
          <w:szCs w:val="16"/>
          <w:b w:val="1"/>
          <w:bCs w:val="1"/>
          <w:color w:val="D52B1E"/>
        </w:rPr>
        <w:t>vote on compensation</w:t>
      </w:r>
      <w:r>
        <w:rPr>
          <w:rFonts w:ascii="Arial" w:cs="Arial" w:eastAsia="Arial" w:hAnsi="Arial"/>
          <w:sz w:val="16"/>
          <w:szCs w:val="16"/>
          <w:color w:val="auto"/>
        </w:rPr>
        <w:t xml:space="preserve">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4984750" cy="370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4750" cy="370840"/>
                    </a:xfrm>
                    <a:prstGeom prst="rect">
                      <a:avLst/>
                    </a:prstGeom>
                    <a:noFill/>
                  </pic:spPr>
                </pic:pic>
              </a:graphicData>
            </a:graphic>
          </wp:anchor>
        </w:drawing>
      </w:r>
    </w:p>
    <w:p>
      <w:pPr>
        <w:spacing w:after="0" w:line="120" w:lineRule="exact"/>
        <w:rPr>
          <w:sz w:val="20"/>
          <w:szCs w:val="20"/>
          <w:color w:val="auto"/>
        </w:rPr>
      </w:pPr>
    </w:p>
    <w:p>
      <w:pPr>
        <w:ind w:left="680" w:hanging="665"/>
        <w:spacing w:after="0" w:line="311" w:lineRule="auto"/>
        <w:tabs>
          <w:tab w:leader="none" w:pos="660" w:val="left"/>
        </w:tabs>
        <w:rPr>
          <w:sz w:val="20"/>
          <w:szCs w:val="20"/>
          <w:color w:val="auto"/>
        </w:rPr>
      </w:pPr>
      <w:r>
        <w:rPr>
          <w:rFonts w:ascii="Arial" w:cs="Arial" w:eastAsia="Arial" w:hAnsi="Arial"/>
          <w:sz w:val="16"/>
          <w:szCs w:val="16"/>
          <w:color w:val="auto"/>
        </w:rPr>
        <w:t>Item 3</w:t>
        <w:tab/>
        <w:t xml:space="preserve">Advisory vote on </w:t>
      </w:r>
      <w:r>
        <w:rPr>
          <w:rFonts w:ascii="Arial" w:cs="Arial" w:eastAsia="Arial" w:hAnsi="Arial"/>
          <w:sz w:val="16"/>
          <w:szCs w:val="16"/>
          <w:b w:val="1"/>
          <w:bCs w:val="1"/>
          <w:color w:val="D52B1E"/>
        </w:rPr>
        <w:t>frequency of future advisory</w:t>
      </w:r>
      <w:r>
        <w:rPr>
          <w:rFonts w:ascii="Arial" w:cs="Arial" w:eastAsia="Arial" w:hAnsi="Arial"/>
          <w:sz w:val="16"/>
          <w:szCs w:val="16"/>
          <w:color w:val="auto"/>
        </w:rPr>
        <w:t xml:space="preserve"> </w:t>
      </w:r>
      <w:r>
        <w:rPr>
          <w:rFonts w:ascii="Arial" w:cs="Arial" w:eastAsia="Arial" w:hAnsi="Arial"/>
          <w:sz w:val="16"/>
          <w:szCs w:val="16"/>
          <w:b w:val="1"/>
          <w:bCs w:val="1"/>
          <w:color w:val="D52B1E"/>
        </w:rPr>
        <w:t xml:space="preserve">votes </w:t>
      </w:r>
      <w:r>
        <w:rPr>
          <w:rFonts w:ascii="Arial" w:cs="Arial" w:eastAsia="Arial" w:hAnsi="Arial"/>
          <w:sz w:val="15"/>
          <w:szCs w:val="15"/>
          <w:color w:val="000000"/>
        </w:rPr>
        <w:t>on named executive officer compensation</w:t>
      </w:r>
    </w:p>
    <w:p>
      <w:pPr>
        <w:spacing w:after="0" w:line="107" w:lineRule="exact"/>
        <w:rPr>
          <w:sz w:val="20"/>
          <w:szCs w:val="20"/>
          <w:color w:val="auto"/>
        </w:rPr>
      </w:pPr>
    </w:p>
    <w:p>
      <w:pPr>
        <w:ind w:left="680" w:right="740" w:hanging="665"/>
        <w:spacing w:after="0" w:line="289" w:lineRule="auto"/>
        <w:tabs>
          <w:tab w:leader="none" w:pos="66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b w:val="1"/>
          <w:bCs w:val="1"/>
          <w:color w:val="D52B1E"/>
        </w:rPr>
        <w:t xml:space="preserve">Ratification </w:t>
      </w:r>
      <w:r>
        <w:rPr>
          <w:rFonts w:ascii="Arial" w:cs="Arial" w:eastAsia="Arial" w:hAnsi="Arial"/>
          <w:sz w:val="15"/>
          <w:szCs w:val="15"/>
          <w:color w:val="000000"/>
        </w:rPr>
        <w:t>of the appointment of the</w:t>
      </w:r>
      <w:r>
        <w:rPr>
          <w:rFonts w:ascii="Arial" w:cs="Arial" w:eastAsia="Arial" w:hAnsi="Arial"/>
          <w:sz w:val="16"/>
          <w:szCs w:val="16"/>
          <w:b w:val="1"/>
          <w:bCs w:val="1"/>
          <w:color w:val="D52B1E"/>
        </w:rPr>
        <w:t xml:space="preserv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84750" cy="481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84750" cy="481965"/>
                    </a:xfrm>
                    <a:prstGeom prst="rect">
                      <a:avLst/>
                    </a:prstGeom>
                    <a:noFill/>
                  </pic:spPr>
                </pic:pic>
              </a:graphicData>
            </a:graphic>
          </wp:anchor>
        </w:drawing>
      </w:r>
    </w:p>
    <w:p>
      <w:pPr>
        <w:ind w:left="680" w:hanging="665"/>
        <w:spacing w:after="0" w:line="265" w:lineRule="auto"/>
        <w:tabs>
          <w:tab w:leader="none" w:pos="660" w:val="left"/>
        </w:tabs>
        <w:rPr>
          <w:sz w:val="20"/>
          <w:szCs w:val="20"/>
          <w:color w:val="auto"/>
        </w:rPr>
      </w:pPr>
      <w:r>
        <w:rPr>
          <w:rFonts w:ascii="Arial" w:cs="Arial" w:eastAsia="Arial" w:hAnsi="Arial"/>
          <w:sz w:val="16"/>
          <w:szCs w:val="16"/>
          <w:color w:val="auto"/>
        </w:rPr>
        <w:t>Item 5</w:t>
        <w:tab/>
        <w:t xml:space="preserve">Proposal to amend the company’s articles of incorporation to </w:t>
      </w:r>
      <w:r>
        <w:rPr>
          <w:rFonts w:ascii="Arial" w:cs="Arial" w:eastAsia="Arial" w:hAnsi="Arial"/>
          <w:sz w:val="16"/>
          <w:szCs w:val="16"/>
          <w:b w:val="1"/>
          <w:bCs w:val="1"/>
          <w:color w:val="D52B1E"/>
        </w:rPr>
        <w:t>eliminate the classified board</w:t>
      </w:r>
      <w:r>
        <w:rPr>
          <w:rFonts w:ascii="Arial" w:cs="Arial" w:eastAsia="Arial" w:hAnsi="Arial"/>
          <w:sz w:val="16"/>
          <w:szCs w:val="16"/>
          <w:color w:val="auto"/>
        </w:rPr>
        <w:t xml:space="preserve"> structure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660" w:type="dxa"/>
            <w:vAlign w:val="bottom"/>
          </w:tcPr>
          <w:p>
            <w:pPr>
              <w:jc w:val="center"/>
              <w:ind w:right="242"/>
              <w:spacing w:after="0" w:line="175" w:lineRule="exact"/>
              <w:rPr>
                <w:sz w:val="20"/>
                <w:szCs w:val="20"/>
                <w:color w:val="auto"/>
              </w:rPr>
            </w:pPr>
            <w:r>
              <w:rPr>
                <w:rFonts w:ascii="Arial" w:cs="Arial" w:eastAsia="Arial" w:hAnsi="Arial"/>
                <w:sz w:val="16"/>
                <w:szCs w:val="16"/>
                <w:color w:val="auto"/>
                <w:w w:val="97"/>
              </w:rPr>
              <w:t>Majority of votes</w:t>
            </w:r>
          </w:p>
        </w:tc>
        <w:tc>
          <w:tcPr>
            <w:tcW w:w="1480" w:type="dxa"/>
            <w:vAlign w:val="bottom"/>
          </w:tcPr>
          <w:p>
            <w:pPr>
              <w:ind w:left="320"/>
              <w:spacing w:after="0" w:line="175" w:lineRule="exact"/>
              <w:rPr>
                <w:sz w:val="20"/>
                <w:szCs w:val="20"/>
                <w:color w:val="auto"/>
              </w:rPr>
            </w:pPr>
            <w:r>
              <w:rPr>
                <w:rFonts w:ascii="Arial" w:cs="Arial" w:eastAsia="Arial" w:hAnsi="Arial"/>
                <w:sz w:val="16"/>
                <w:szCs w:val="16"/>
                <w:color w:val="auto"/>
              </w:rPr>
              <w:t>FOR</w:t>
            </w:r>
          </w:p>
        </w:tc>
        <w:tc>
          <w:tcPr>
            <w:tcW w:w="160" w:type="dxa"/>
            <w:vAlign w:val="bottom"/>
            <w:tcBorders>
              <w:bottom w:val="single" w:sz="8" w:color="0000FF"/>
            </w:tcBorders>
          </w:tcPr>
          <w:p>
            <w:pPr>
              <w:jc w:val="right"/>
              <w:spacing w:after="0" w:line="175" w:lineRule="exact"/>
              <w:rPr>
                <w:sz w:val="20"/>
                <w:szCs w:val="20"/>
                <w:color w:val="auto"/>
              </w:rPr>
            </w:pPr>
            <w:r>
              <w:rPr>
                <w:rFonts w:ascii="Arial" w:cs="Arial" w:eastAsia="Arial" w:hAnsi="Arial"/>
                <w:sz w:val="16"/>
                <w:szCs w:val="16"/>
                <w:color w:val="0000FF"/>
                <w:w w:val="78"/>
              </w:rPr>
              <w:t>50</w:t>
            </w:r>
          </w:p>
        </w:tc>
      </w:tr>
      <w:tr>
        <w:trPr>
          <w:trHeight w:val="205"/>
        </w:trPr>
        <w:tc>
          <w:tcPr>
            <w:tcW w:w="1660" w:type="dxa"/>
            <w:vAlign w:val="bottom"/>
          </w:tcPr>
          <w:p>
            <w:pPr>
              <w:jc w:val="center"/>
              <w:ind w:right="222"/>
              <w:spacing w:after="0"/>
              <w:rPr>
                <w:sz w:val="20"/>
                <w:szCs w:val="20"/>
                <w:color w:val="auto"/>
              </w:rPr>
            </w:pPr>
            <w:r>
              <w:rPr>
                <w:rFonts w:ascii="Arial" w:cs="Arial" w:eastAsia="Arial" w:hAnsi="Arial"/>
                <w:sz w:val="16"/>
                <w:szCs w:val="16"/>
                <w:color w:val="auto"/>
                <w:w w:val="95"/>
              </w:rPr>
              <w:t>cast</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7"/>
        </w:trPr>
        <w:tc>
          <w:tcPr>
            <w:tcW w:w="1660" w:type="dxa"/>
            <w:vAlign w:val="bottom"/>
          </w:tcPr>
          <w:p>
            <w:pPr>
              <w:jc w:val="center"/>
              <w:ind w:right="242"/>
              <w:spacing w:after="0"/>
              <w:rPr>
                <w:sz w:val="20"/>
                <w:szCs w:val="20"/>
                <w:color w:val="auto"/>
              </w:rPr>
            </w:pPr>
            <w:r>
              <w:rPr>
                <w:rFonts w:ascii="Arial" w:cs="Arial" w:eastAsia="Arial" w:hAnsi="Arial"/>
                <w:sz w:val="16"/>
                <w:szCs w:val="16"/>
                <w:color w:val="auto"/>
                <w:w w:val="97"/>
              </w:rPr>
              <w:t>Majority of votes</w:t>
            </w:r>
          </w:p>
        </w:tc>
        <w:tc>
          <w:tcPr>
            <w:tcW w:w="1480" w:type="dxa"/>
            <w:vAlign w:val="bottom"/>
          </w:tcPr>
          <w:p>
            <w:pPr>
              <w:ind w:left="320"/>
              <w:spacing w:after="0"/>
              <w:rPr>
                <w:sz w:val="20"/>
                <w:szCs w:val="20"/>
                <w:color w:val="auto"/>
              </w:rPr>
            </w:pPr>
            <w:r>
              <w:rPr>
                <w:rFonts w:ascii="Arial" w:cs="Arial" w:eastAsia="Arial" w:hAnsi="Arial"/>
                <w:sz w:val="16"/>
                <w:szCs w:val="16"/>
                <w:color w:val="auto"/>
              </w:rPr>
              <w:t>FOR</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84</w:t>
            </w:r>
          </w:p>
        </w:tc>
      </w:tr>
      <w:tr>
        <w:trPr>
          <w:trHeight w:val="205"/>
        </w:trPr>
        <w:tc>
          <w:tcPr>
            <w:tcW w:w="1660" w:type="dxa"/>
            <w:vAlign w:val="bottom"/>
          </w:tcPr>
          <w:p>
            <w:pPr>
              <w:jc w:val="center"/>
              <w:ind w:right="222"/>
              <w:spacing w:after="0"/>
              <w:rPr>
                <w:sz w:val="20"/>
                <w:szCs w:val="20"/>
                <w:color w:val="auto"/>
              </w:rPr>
            </w:pPr>
            <w:r>
              <w:rPr>
                <w:rFonts w:ascii="Arial" w:cs="Arial" w:eastAsia="Arial" w:hAnsi="Arial"/>
                <w:sz w:val="16"/>
                <w:szCs w:val="16"/>
                <w:color w:val="auto"/>
                <w:w w:val="95"/>
              </w:rPr>
              <w:t>cast</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59"/>
        </w:trPr>
        <w:tc>
          <w:tcPr>
            <w:tcW w:w="1660" w:type="dxa"/>
            <w:vAlign w:val="bottom"/>
          </w:tcPr>
          <w:p>
            <w:pPr>
              <w:jc w:val="center"/>
              <w:ind w:right="242"/>
              <w:spacing w:after="0"/>
              <w:rPr>
                <w:sz w:val="20"/>
                <w:szCs w:val="20"/>
                <w:color w:val="auto"/>
              </w:rPr>
            </w:pPr>
            <w:r>
              <w:rPr>
                <w:rFonts w:ascii="Arial" w:cs="Arial" w:eastAsia="Arial" w:hAnsi="Arial"/>
                <w:sz w:val="16"/>
                <w:szCs w:val="16"/>
                <w:color w:val="auto"/>
                <w:w w:val="97"/>
              </w:rPr>
              <w:t>Majority of votes</w:t>
            </w:r>
          </w:p>
        </w:tc>
        <w:tc>
          <w:tcPr>
            <w:tcW w:w="1480" w:type="dxa"/>
            <w:vAlign w:val="bottom"/>
          </w:tcPr>
          <w:p>
            <w:pPr>
              <w:ind w:left="320"/>
              <w:spacing w:after="0"/>
              <w:rPr>
                <w:sz w:val="20"/>
                <w:szCs w:val="20"/>
                <w:color w:val="auto"/>
              </w:rPr>
            </w:pPr>
            <w:r>
              <w:rPr>
                <w:rFonts w:ascii="Arial" w:cs="Arial" w:eastAsia="Arial" w:hAnsi="Arial"/>
                <w:sz w:val="16"/>
                <w:szCs w:val="16"/>
                <w:color w:val="auto"/>
              </w:rPr>
              <w:t>FOR</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84</w:t>
            </w:r>
          </w:p>
        </w:tc>
      </w:tr>
      <w:tr>
        <w:trPr>
          <w:trHeight w:val="205"/>
        </w:trPr>
        <w:tc>
          <w:tcPr>
            <w:tcW w:w="1660" w:type="dxa"/>
            <w:vAlign w:val="bottom"/>
          </w:tcPr>
          <w:p>
            <w:pPr>
              <w:jc w:val="center"/>
              <w:ind w:right="222"/>
              <w:spacing w:after="0"/>
              <w:rPr>
                <w:sz w:val="20"/>
                <w:szCs w:val="20"/>
                <w:color w:val="auto"/>
              </w:rPr>
            </w:pPr>
            <w:r>
              <w:rPr>
                <w:rFonts w:ascii="Arial" w:cs="Arial" w:eastAsia="Arial" w:hAnsi="Arial"/>
                <w:sz w:val="16"/>
                <w:szCs w:val="16"/>
                <w:color w:val="auto"/>
                <w:w w:val="95"/>
              </w:rPr>
              <w:t>cast</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1660" w:type="dxa"/>
            <w:vAlign w:val="bottom"/>
          </w:tcPr>
          <w:p>
            <w:pPr>
              <w:jc w:val="center"/>
              <w:ind w:right="242"/>
              <w:spacing w:after="0"/>
              <w:rPr>
                <w:sz w:val="20"/>
                <w:szCs w:val="20"/>
                <w:color w:val="auto"/>
              </w:rPr>
            </w:pPr>
            <w:r>
              <w:rPr>
                <w:rFonts w:ascii="Arial" w:cs="Arial" w:eastAsia="Arial" w:hAnsi="Arial"/>
                <w:sz w:val="16"/>
                <w:szCs w:val="16"/>
                <w:color w:val="auto"/>
                <w:w w:val="97"/>
              </w:rPr>
              <w:t>80% of outstanding</w:t>
            </w:r>
          </w:p>
        </w:tc>
        <w:tc>
          <w:tcPr>
            <w:tcW w:w="1480" w:type="dxa"/>
            <w:vAlign w:val="bottom"/>
          </w:tcPr>
          <w:p>
            <w:pPr>
              <w:ind w:left="320"/>
              <w:spacing w:after="0"/>
              <w:rPr>
                <w:sz w:val="20"/>
                <w:szCs w:val="20"/>
                <w:color w:val="auto"/>
              </w:rPr>
            </w:pPr>
            <w:r>
              <w:rPr>
                <w:rFonts w:ascii="Arial" w:cs="Arial" w:eastAsia="Arial" w:hAnsi="Arial"/>
                <w:sz w:val="16"/>
                <w:szCs w:val="16"/>
                <w:color w:val="auto"/>
              </w:rPr>
              <w:t>FOR</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87</w:t>
            </w:r>
          </w:p>
        </w:tc>
      </w:tr>
      <w:tr>
        <w:trPr>
          <w:trHeight w:val="205"/>
        </w:trPr>
        <w:tc>
          <w:tcPr>
            <w:tcW w:w="1660" w:type="dxa"/>
            <w:vAlign w:val="bottom"/>
          </w:tcPr>
          <w:p>
            <w:pPr>
              <w:jc w:val="center"/>
              <w:ind w:right="242"/>
              <w:spacing w:after="0"/>
              <w:rPr>
                <w:sz w:val="20"/>
                <w:szCs w:val="20"/>
                <w:color w:val="auto"/>
              </w:rPr>
            </w:pPr>
            <w:r>
              <w:rPr>
                <w:rFonts w:ascii="Arial" w:cs="Arial" w:eastAsia="Arial" w:hAnsi="Arial"/>
                <w:sz w:val="16"/>
                <w:szCs w:val="16"/>
                <w:color w:val="auto"/>
                <w:w w:val="95"/>
              </w:rPr>
              <w:t>shares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349" w:lineRule="exact"/>
        <w:rPr>
          <w:sz w:val="20"/>
          <w:szCs w:val="20"/>
          <w:color w:val="auto"/>
        </w:rPr>
      </w:pPr>
    </w:p>
    <w:p>
      <w:pPr>
        <w:sectPr>
          <w:pgSz w:w="11900" w:h="16838" w:orient="portrait"/>
          <w:cols w:equalWidth="0" w:num="2">
            <w:col w:w="4080" w:space="220"/>
            <w:col w:w="6960"/>
          </w:cols>
          <w:pgMar w:left="320" w:top="969"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Arial" w:cs="Arial" w:eastAsia="Arial" w:hAnsi="Arial"/>
                <w:sz w:val="16"/>
                <w:szCs w:val="16"/>
                <w:color w:val="auto"/>
              </w:rPr>
              <w:t>Item 6   Proposal to amend the company’s articles of</w:t>
            </w:r>
          </w:p>
        </w:tc>
        <w:tc>
          <w:tcPr>
            <w:tcW w:w="1720" w:type="dxa"/>
            <w:vAlign w:val="bottom"/>
          </w:tcPr>
          <w:p>
            <w:pPr>
              <w:jc w:val="center"/>
              <w:ind w:right="182"/>
              <w:spacing w:after="0"/>
              <w:rPr>
                <w:sz w:val="20"/>
                <w:szCs w:val="20"/>
                <w:color w:val="auto"/>
              </w:rPr>
            </w:pPr>
            <w:r>
              <w:rPr>
                <w:rFonts w:ascii="Arial" w:cs="Arial" w:eastAsia="Arial" w:hAnsi="Arial"/>
                <w:sz w:val="16"/>
                <w:szCs w:val="16"/>
                <w:color w:val="auto"/>
                <w:w w:val="97"/>
              </w:rPr>
              <w:t>80% of outstanding</w:t>
            </w:r>
          </w:p>
        </w:tc>
        <w:tc>
          <w:tcPr>
            <w:tcW w:w="1480" w:type="dxa"/>
            <w:vAlign w:val="bottom"/>
          </w:tcPr>
          <w:p>
            <w:pPr>
              <w:ind w:left="320"/>
              <w:spacing w:after="0"/>
              <w:rPr>
                <w:sz w:val="20"/>
                <w:szCs w:val="20"/>
                <w:color w:val="auto"/>
              </w:rPr>
            </w:pPr>
            <w:r>
              <w:rPr>
                <w:rFonts w:ascii="Arial" w:cs="Arial" w:eastAsia="Arial" w:hAnsi="Arial"/>
                <w:sz w:val="16"/>
                <w:szCs w:val="16"/>
                <w:color w:val="auto"/>
              </w:rPr>
              <w:t>FOR</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88</w:t>
            </w:r>
          </w:p>
        </w:tc>
      </w:tr>
      <w:tr>
        <w:trPr>
          <w:trHeight w:val="199"/>
        </w:trPr>
        <w:tc>
          <w:tcPr>
            <w:tcW w:w="4240" w:type="dxa"/>
            <w:vAlign w:val="bottom"/>
          </w:tcPr>
          <w:p>
            <w:pPr>
              <w:ind w:left="680"/>
              <w:spacing w:after="0"/>
              <w:rPr>
                <w:sz w:val="20"/>
                <w:szCs w:val="20"/>
                <w:color w:val="auto"/>
              </w:rPr>
            </w:pPr>
            <w:r>
              <w:rPr>
                <w:rFonts w:ascii="Arial" w:cs="Arial" w:eastAsia="Arial" w:hAnsi="Arial"/>
                <w:sz w:val="16"/>
                <w:szCs w:val="16"/>
                <w:color w:val="auto"/>
              </w:rPr>
              <w:t xml:space="preserve">incorporation to </w:t>
            </w:r>
            <w:r>
              <w:rPr>
                <w:rFonts w:ascii="Arial" w:cs="Arial" w:eastAsia="Arial" w:hAnsi="Arial"/>
                <w:sz w:val="16"/>
                <w:szCs w:val="16"/>
                <w:b w:val="1"/>
                <w:bCs w:val="1"/>
                <w:color w:val="D52B1E"/>
              </w:rPr>
              <w:t>eliminate supermajority voting</w:t>
            </w:r>
          </w:p>
        </w:tc>
        <w:tc>
          <w:tcPr>
            <w:tcW w:w="1720" w:type="dxa"/>
            <w:vAlign w:val="bottom"/>
          </w:tcPr>
          <w:p>
            <w:pPr>
              <w:jc w:val="center"/>
              <w:ind w:right="182"/>
              <w:spacing w:after="0"/>
              <w:rPr>
                <w:sz w:val="20"/>
                <w:szCs w:val="20"/>
                <w:color w:val="auto"/>
              </w:rPr>
            </w:pPr>
            <w:r>
              <w:rPr>
                <w:rFonts w:ascii="Arial" w:cs="Arial" w:eastAsia="Arial" w:hAnsi="Arial"/>
                <w:sz w:val="16"/>
                <w:szCs w:val="16"/>
                <w:color w:val="auto"/>
                <w:w w:val="95"/>
              </w:rPr>
              <w:t>shares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4240" w:type="dxa"/>
            <w:vAlign w:val="bottom"/>
          </w:tcPr>
          <w:p>
            <w:pPr>
              <w:ind w:left="680"/>
              <w:spacing w:after="0"/>
              <w:rPr>
                <w:sz w:val="20"/>
                <w:szCs w:val="20"/>
                <w:color w:val="auto"/>
              </w:rPr>
            </w:pPr>
            <w:r>
              <w:rPr>
                <w:rFonts w:ascii="Arial" w:cs="Arial" w:eastAsia="Arial" w:hAnsi="Arial"/>
                <w:sz w:val="16"/>
                <w:szCs w:val="16"/>
                <w:color w:val="auto"/>
              </w:rPr>
              <w:t>provisions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4984750" cy="370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84750" cy="370840"/>
                    </a:xfrm>
                    <a:prstGeom prst="rect">
                      <a:avLst/>
                    </a:prstGeom>
                    <a:noFill/>
                  </pic:spPr>
                </pic:pic>
              </a:graphicData>
            </a:graphic>
          </wp:anchor>
        </w:drawing>
      </w:r>
    </w:p>
    <w:p>
      <w:pPr>
        <w:sectPr>
          <w:pgSz w:w="11900" w:h="16838" w:orient="portrait"/>
          <w:cols w:equalWidth="0" w:num="1">
            <w:col w:w="11260"/>
          </w:cols>
          <w:pgMar w:left="320" w:top="969" w:right="319" w:bottom="1440" w:gutter="0" w:footer="0" w:header="0"/>
          <w:type w:val="continuous"/>
        </w:sectPr>
      </w:pPr>
    </w:p>
    <w:p>
      <w:pPr>
        <w:spacing w:after="0" w:line="169" w:lineRule="exact"/>
        <w:rPr>
          <w:sz w:val="20"/>
          <w:szCs w:val="20"/>
          <w:color w:val="auto"/>
        </w:rPr>
      </w:pPr>
    </w:p>
    <w:p>
      <w:pPr>
        <w:ind w:left="680" w:right="40" w:hanging="665"/>
        <w:spacing w:after="0" w:line="311" w:lineRule="auto"/>
        <w:tabs>
          <w:tab w:leader="none" w:pos="660" w:val="left"/>
        </w:tabs>
        <w:rPr>
          <w:sz w:val="20"/>
          <w:szCs w:val="20"/>
          <w:color w:val="auto"/>
        </w:rPr>
      </w:pPr>
      <w:r>
        <w:rPr>
          <w:rFonts w:ascii="Arial" w:cs="Arial" w:eastAsia="Arial" w:hAnsi="Arial"/>
          <w:sz w:val="16"/>
          <w:szCs w:val="16"/>
          <w:color w:val="auto"/>
        </w:rPr>
        <w:t>Item 7</w:t>
        <w:tab/>
        <w:t xml:space="preserve">Shareholder proposal to publish an </w:t>
      </w:r>
      <w:r>
        <w:rPr>
          <w:rFonts w:ascii="Arial" w:cs="Arial" w:eastAsia="Arial" w:hAnsi="Arial"/>
          <w:sz w:val="16"/>
          <w:szCs w:val="16"/>
          <w:b w:val="1"/>
          <w:bCs w:val="1"/>
          <w:color w:val="D52B1E"/>
        </w:rPr>
        <w:t>annual report</w:t>
      </w:r>
      <w:r>
        <w:rPr>
          <w:rFonts w:ascii="Arial" w:cs="Arial" w:eastAsia="Arial" w:hAnsi="Arial"/>
          <w:sz w:val="16"/>
          <w:szCs w:val="16"/>
          <w:color w:val="auto"/>
        </w:rPr>
        <w:t xml:space="preserve"> </w:t>
      </w:r>
      <w:r>
        <w:rPr>
          <w:rFonts w:ascii="Arial" w:cs="Arial" w:eastAsia="Arial" w:hAnsi="Arial"/>
          <w:sz w:val="16"/>
          <w:szCs w:val="16"/>
          <w:b w:val="1"/>
          <w:bCs w:val="1"/>
          <w:color w:val="D52B1E"/>
        </w:rPr>
        <w:t>disclosing lobbying activities</w:t>
      </w:r>
    </w:p>
    <w:p>
      <w:pPr>
        <w:spacing w:after="0" w:line="107" w:lineRule="exact"/>
        <w:rPr>
          <w:sz w:val="20"/>
          <w:szCs w:val="20"/>
          <w:color w:val="auto"/>
        </w:rPr>
      </w:pPr>
    </w:p>
    <w:p>
      <w:pPr>
        <w:ind w:left="680" w:hanging="665"/>
        <w:spacing w:after="0" w:line="311" w:lineRule="auto"/>
        <w:tabs>
          <w:tab w:leader="none" w:pos="660" w:val="left"/>
        </w:tabs>
        <w:rPr>
          <w:sz w:val="20"/>
          <w:szCs w:val="20"/>
          <w:color w:val="auto"/>
        </w:rPr>
      </w:pPr>
      <w:r>
        <w:rPr>
          <w:rFonts w:ascii="Arial" w:cs="Arial" w:eastAsia="Arial" w:hAnsi="Arial"/>
          <w:sz w:val="16"/>
          <w:szCs w:val="16"/>
          <w:color w:val="auto"/>
        </w:rPr>
        <w:t>Item 8</w:t>
        <w:tab/>
        <w:t xml:space="preserve">Shareholder proposal to </w:t>
      </w:r>
      <w:r>
        <w:rPr>
          <w:rFonts w:ascii="Arial" w:cs="Arial" w:eastAsia="Arial" w:hAnsi="Arial"/>
          <w:sz w:val="16"/>
          <w:szCs w:val="16"/>
          <w:b w:val="1"/>
          <w:bCs w:val="1"/>
          <w:color w:val="D52B1E"/>
        </w:rPr>
        <w:t>eliminate supermajority</w:t>
      </w:r>
      <w:r>
        <w:rPr>
          <w:rFonts w:ascii="Arial" w:cs="Arial" w:eastAsia="Arial" w:hAnsi="Arial"/>
          <w:sz w:val="16"/>
          <w:szCs w:val="16"/>
          <w:color w:val="auto"/>
        </w:rPr>
        <w:t xml:space="preserve"> </w:t>
      </w:r>
      <w:r>
        <w:rPr>
          <w:rFonts w:ascii="Arial" w:cs="Arial" w:eastAsia="Arial" w:hAnsi="Arial"/>
          <w:sz w:val="16"/>
          <w:szCs w:val="16"/>
          <w:b w:val="1"/>
          <w:bCs w:val="1"/>
          <w:color w:val="D52B1E"/>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4984750" cy="734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84750" cy="734060"/>
                    </a:xfrm>
                    <a:prstGeom prst="rect">
                      <a:avLst/>
                    </a:prstGeom>
                    <a:noFill/>
                  </pic:spPr>
                </pic:pic>
              </a:graphicData>
            </a:graphic>
          </wp:anchor>
        </w:drawing>
      </w:r>
    </w:p>
    <w:p>
      <w:pPr>
        <w:spacing w:after="0" w:line="87" w:lineRule="exact"/>
        <w:rPr>
          <w:sz w:val="20"/>
          <w:szCs w:val="20"/>
          <w:color w:val="auto"/>
        </w:rPr>
      </w:pPr>
    </w:p>
    <w:p>
      <w:pPr>
        <w:ind w:left="680" w:right="20" w:hanging="665"/>
        <w:spacing w:after="0" w:line="265" w:lineRule="auto"/>
        <w:tabs>
          <w:tab w:leader="none" w:pos="660" w:val="left"/>
        </w:tabs>
        <w:rPr>
          <w:sz w:val="20"/>
          <w:szCs w:val="20"/>
          <w:color w:val="auto"/>
        </w:rPr>
      </w:pPr>
      <w:r>
        <w:rPr>
          <w:rFonts w:ascii="Arial" w:cs="Arial" w:eastAsia="Arial" w:hAnsi="Arial"/>
          <w:sz w:val="16"/>
          <w:szCs w:val="16"/>
          <w:color w:val="auto"/>
        </w:rPr>
        <w:t>Item 9</w:t>
        <w:tab/>
        <w:t xml:space="preserve">Shareholder proposal to establish and </w:t>
      </w:r>
      <w:r>
        <w:rPr>
          <w:rFonts w:ascii="Arial" w:cs="Arial" w:eastAsia="Arial" w:hAnsi="Arial"/>
          <w:sz w:val="16"/>
          <w:szCs w:val="16"/>
          <w:b w:val="1"/>
          <w:bCs w:val="1"/>
          <w:color w:val="D52B1E"/>
        </w:rPr>
        <w:t>report</w:t>
      </w:r>
      <w:r>
        <w:rPr>
          <w:rFonts w:ascii="Arial" w:cs="Arial" w:eastAsia="Arial" w:hAnsi="Arial"/>
          <w:sz w:val="16"/>
          <w:szCs w:val="16"/>
          <w:color w:val="auto"/>
        </w:rPr>
        <w:t xml:space="preserve"> on a process by which the </w:t>
      </w:r>
      <w:r>
        <w:rPr>
          <w:rFonts w:ascii="Arial" w:cs="Arial" w:eastAsia="Arial" w:hAnsi="Arial"/>
          <w:sz w:val="16"/>
          <w:szCs w:val="16"/>
          <w:b w:val="1"/>
          <w:bCs w:val="1"/>
          <w:color w:val="D52B1E"/>
        </w:rPr>
        <w:t>impact of extended patent</w:t>
      </w:r>
      <w:r>
        <w:rPr>
          <w:rFonts w:ascii="Arial" w:cs="Arial" w:eastAsia="Arial" w:hAnsi="Arial"/>
          <w:sz w:val="16"/>
          <w:szCs w:val="16"/>
          <w:color w:val="auto"/>
        </w:rPr>
        <w:t xml:space="preserve"> </w:t>
      </w:r>
      <w:r>
        <w:rPr>
          <w:rFonts w:ascii="Arial" w:cs="Arial" w:eastAsia="Arial" w:hAnsi="Arial"/>
          <w:sz w:val="16"/>
          <w:szCs w:val="16"/>
          <w:b w:val="1"/>
          <w:bCs w:val="1"/>
          <w:color w:val="D52B1E"/>
        </w:rPr>
        <w:t xml:space="preserve">exclusivities on product access </w:t>
      </w:r>
      <w:r>
        <w:rPr>
          <w:rFonts w:ascii="Arial" w:cs="Arial" w:eastAsia="Arial" w:hAnsi="Arial"/>
          <w:sz w:val="15"/>
          <w:szCs w:val="15"/>
          <w:color w:val="000000"/>
        </w:rPr>
        <w:t>would be</w:t>
      </w:r>
      <w:r>
        <w:rPr>
          <w:rFonts w:ascii="Arial" w:cs="Arial" w:eastAsia="Arial" w:hAnsi="Arial"/>
          <w:sz w:val="16"/>
          <w:szCs w:val="16"/>
          <w:b w:val="1"/>
          <w:bCs w:val="1"/>
          <w:color w:val="D52B1E"/>
        </w:rPr>
        <w:t xml:space="preserve"> </w:t>
      </w:r>
      <w:r>
        <w:rPr>
          <w:rFonts w:ascii="Arial" w:cs="Arial" w:eastAsia="Arial" w:hAnsi="Arial"/>
          <w:sz w:val="15"/>
          <w:szCs w:val="15"/>
          <w:color w:val="000000"/>
        </w:rPr>
        <w:t>considered in deciding whether to apply for secondary and tertiary patents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620" w:type="dxa"/>
            <w:vAlign w:val="bottom"/>
          </w:tcPr>
          <w:p>
            <w:pPr>
              <w:ind w:left="300"/>
              <w:spacing w:after="0"/>
              <w:rPr>
                <w:sz w:val="20"/>
                <w:szCs w:val="20"/>
                <w:color w:val="auto"/>
              </w:rPr>
            </w:pPr>
            <w:r>
              <w:rPr>
                <w:rFonts w:ascii="Arial" w:cs="Arial" w:eastAsia="Arial" w:hAnsi="Arial"/>
                <w:sz w:val="16"/>
                <w:szCs w:val="16"/>
                <w:color w:val="auto"/>
              </w:rPr>
              <w:t>AGAINST</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89</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59"/>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620" w:type="dxa"/>
            <w:vAlign w:val="bottom"/>
          </w:tcPr>
          <w:p>
            <w:pPr>
              <w:ind w:left="300"/>
              <w:spacing w:after="0"/>
              <w:rPr>
                <w:sz w:val="20"/>
                <w:szCs w:val="20"/>
                <w:color w:val="auto"/>
              </w:rPr>
            </w:pPr>
            <w:r>
              <w:rPr>
                <w:rFonts w:ascii="Arial" w:cs="Arial" w:eastAsia="Arial" w:hAnsi="Arial"/>
                <w:sz w:val="16"/>
                <w:szCs w:val="16"/>
                <w:color w:val="auto"/>
              </w:rPr>
              <w:t>AGAINST</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92</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59"/>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620" w:type="dxa"/>
            <w:vAlign w:val="bottom"/>
          </w:tcPr>
          <w:p>
            <w:pPr>
              <w:ind w:left="300"/>
              <w:spacing w:after="0"/>
              <w:rPr>
                <w:sz w:val="20"/>
                <w:szCs w:val="20"/>
                <w:color w:val="auto"/>
              </w:rPr>
            </w:pPr>
            <w:r>
              <w:rPr>
                <w:rFonts w:ascii="Arial" w:cs="Arial" w:eastAsia="Arial" w:hAnsi="Arial"/>
                <w:sz w:val="16"/>
                <w:szCs w:val="16"/>
                <w:color w:val="auto"/>
              </w:rPr>
              <w:t>AGAINST</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94</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747" w:lineRule="exact"/>
        <w:rPr>
          <w:sz w:val="20"/>
          <w:szCs w:val="20"/>
          <w:color w:val="auto"/>
        </w:rPr>
      </w:pPr>
    </w:p>
    <w:p>
      <w:pPr>
        <w:sectPr>
          <w:pgSz w:w="11900" w:h="16838" w:orient="portrait"/>
          <w:cols w:equalWidth="0" w:num="2">
            <w:col w:w="4220" w:space="180"/>
            <w:col w:w="6860"/>
          </w:cols>
          <w:pgMar w:left="320" w:top="969" w:right="319" w:bottom="1440" w:gutter="0" w:footer="0" w:header="0"/>
          <w:type w:val="continuous"/>
        </w:sectPr>
      </w:pPr>
    </w:p>
    <w:p>
      <w:pPr>
        <w:spacing w:after="0" w:line="17" w:lineRule="exact"/>
        <w:rPr>
          <w:sz w:val="20"/>
          <w:szCs w:val="20"/>
          <w:color w:val="auto"/>
        </w:rPr>
      </w:pPr>
    </w:p>
    <w:p>
      <w:pPr>
        <w:ind w:left="680" w:right="520" w:hanging="665"/>
        <w:spacing w:after="0" w:line="311" w:lineRule="auto"/>
        <w:tabs>
          <w:tab w:leader="none" w:pos="660" w:val="left"/>
        </w:tabs>
        <w:rPr>
          <w:sz w:val="20"/>
          <w:szCs w:val="20"/>
          <w:color w:val="auto"/>
        </w:rPr>
      </w:pPr>
      <w:r>
        <w:rPr>
          <w:rFonts w:ascii="Arial" w:cs="Arial" w:eastAsia="Arial" w:hAnsi="Arial"/>
          <w:sz w:val="16"/>
          <w:szCs w:val="16"/>
          <w:color w:val="auto"/>
        </w:rPr>
        <w:t>Item 10</w:t>
        <w:tab/>
        <w:t xml:space="preserve">Shareholder proposal to report on </w:t>
      </w:r>
      <w:r>
        <w:rPr>
          <w:rFonts w:ascii="Arial" w:cs="Arial" w:eastAsia="Arial" w:hAnsi="Arial"/>
          <w:sz w:val="16"/>
          <w:szCs w:val="16"/>
          <w:b w:val="1"/>
          <w:bCs w:val="1"/>
          <w:color w:val="D52B1E"/>
        </w:rPr>
        <w:t>risks of</w:t>
      </w:r>
      <w:r>
        <w:rPr>
          <w:rFonts w:ascii="Arial" w:cs="Arial" w:eastAsia="Arial" w:hAnsi="Arial"/>
          <w:sz w:val="16"/>
          <w:szCs w:val="16"/>
          <w:color w:val="auto"/>
        </w:rPr>
        <w:t xml:space="preserve"> </w:t>
      </w:r>
      <w:r>
        <w:rPr>
          <w:rFonts w:ascii="Arial" w:cs="Arial" w:eastAsia="Arial" w:hAnsi="Arial"/>
          <w:sz w:val="16"/>
          <w:szCs w:val="16"/>
          <w:b w:val="1"/>
          <w:bCs w:val="1"/>
          <w:color w:val="D52B1E"/>
        </w:rPr>
        <w:t>supporting abortion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4984750" cy="489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4750" cy="489585"/>
                    </a:xfrm>
                    <a:prstGeom prst="rect">
                      <a:avLst/>
                    </a:prstGeom>
                    <a:noFill/>
                  </pic:spPr>
                </pic:pic>
              </a:graphicData>
            </a:graphic>
          </wp:anchor>
        </w:drawing>
      </w:r>
    </w:p>
    <w:p>
      <w:pPr>
        <w:spacing w:after="0" w:line="87" w:lineRule="exact"/>
        <w:rPr>
          <w:sz w:val="20"/>
          <w:szCs w:val="20"/>
          <w:color w:val="auto"/>
        </w:rPr>
      </w:pPr>
    </w:p>
    <w:p>
      <w:pPr>
        <w:jc w:val="both"/>
        <w:ind w:left="680" w:right="380" w:hanging="665"/>
        <w:spacing w:after="0" w:line="271" w:lineRule="auto"/>
        <w:tabs>
          <w:tab w:leader="none" w:pos="660" w:val="left"/>
        </w:tabs>
        <w:rPr>
          <w:sz w:val="20"/>
          <w:szCs w:val="20"/>
          <w:color w:val="auto"/>
        </w:rPr>
      </w:pPr>
      <w:r>
        <w:rPr>
          <w:rFonts w:ascii="Arial" w:cs="Arial" w:eastAsia="Arial" w:hAnsi="Arial"/>
          <w:sz w:val="16"/>
          <w:szCs w:val="16"/>
          <w:color w:val="auto"/>
        </w:rPr>
        <w:t>Item 11</w:t>
        <w:tab/>
        <w:t xml:space="preserve">Shareholder proposal to </w:t>
      </w:r>
      <w:r>
        <w:rPr>
          <w:rFonts w:ascii="Arial" w:cs="Arial" w:eastAsia="Arial" w:hAnsi="Arial"/>
          <w:sz w:val="16"/>
          <w:szCs w:val="16"/>
          <w:b w:val="1"/>
          <w:bCs w:val="1"/>
          <w:color w:val="D52B1E"/>
        </w:rPr>
        <w:t>disclose lobbying</w:t>
      </w:r>
      <w:r>
        <w:rPr>
          <w:rFonts w:ascii="Arial" w:cs="Arial" w:eastAsia="Arial" w:hAnsi="Arial"/>
          <w:sz w:val="16"/>
          <w:szCs w:val="16"/>
          <w:color w:val="auto"/>
        </w:rPr>
        <w:t xml:space="preserve"> </w:t>
      </w:r>
      <w:r>
        <w:rPr>
          <w:rFonts w:ascii="Arial" w:cs="Arial" w:eastAsia="Arial" w:hAnsi="Arial"/>
          <w:sz w:val="16"/>
          <w:szCs w:val="16"/>
          <w:b w:val="1"/>
          <w:bCs w:val="1"/>
          <w:color w:val="D52B1E"/>
        </w:rPr>
        <w:t xml:space="preserve">activities and alignment </w:t>
      </w:r>
      <w:r>
        <w:rPr>
          <w:rFonts w:ascii="Arial" w:cs="Arial" w:eastAsia="Arial" w:hAnsi="Arial"/>
          <w:sz w:val="15"/>
          <w:szCs w:val="15"/>
          <w:color w:val="000000"/>
        </w:rPr>
        <w:t>with public policy</w:t>
      </w:r>
      <w:r>
        <w:rPr>
          <w:rFonts w:ascii="Arial" w:cs="Arial" w:eastAsia="Arial" w:hAnsi="Arial"/>
          <w:sz w:val="16"/>
          <w:szCs w:val="16"/>
          <w:b w:val="1"/>
          <w:bCs w:val="1"/>
          <w:color w:val="D52B1E"/>
        </w:rPr>
        <w:t xml:space="preserve"> </w:t>
      </w:r>
      <w:r>
        <w:rPr>
          <w:rFonts w:ascii="Arial" w:cs="Arial" w:eastAsia="Arial" w:hAnsi="Arial"/>
          <w:sz w:val="15"/>
          <w:szCs w:val="15"/>
          <w:color w:val="000000"/>
        </w:rPr>
        <w:t>positions and statements</w:t>
      </w:r>
    </w:p>
    <w:p>
      <w:pPr>
        <w:spacing w:after="0" w:line="148"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6"/>
          <w:szCs w:val="16"/>
          <w:color w:val="auto"/>
        </w:rPr>
        <w:t>Item 12</w:t>
      </w:r>
      <w:r>
        <w:rPr>
          <w:sz w:val="20"/>
          <w:szCs w:val="20"/>
          <w:color w:val="auto"/>
        </w:rPr>
        <w:tab/>
      </w:r>
      <w:r>
        <w:rPr>
          <w:rFonts w:ascii="Arial" w:cs="Arial" w:eastAsia="Arial" w:hAnsi="Arial"/>
          <w:sz w:val="15"/>
          <w:szCs w:val="15"/>
          <w:color w:val="auto"/>
        </w:rPr>
        <w:t xml:space="preserve">Shareholder proposal to </w:t>
      </w:r>
      <w:r>
        <w:rPr>
          <w:rFonts w:ascii="Arial" w:cs="Arial" w:eastAsia="Arial" w:hAnsi="Arial"/>
          <w:sz w:val="15"/>
          <w:szCs w:val="15"/>
          <w:b w:val="1"/>
          <w:bCs w:val="1"/>
          <w:color w:val="D52B1E"/>
        </w:rPr>
        <w:t>report</w:t>
      </w:r>
      <w:r>
        <w:rPr>
          <w:rFonts w:ascii="Arial" w:cs="Arial" w:eastAsia="Arial" w:hAnsi="Arial"/>
          <w:sz w:val="15"/>
          <w:szCs w:val="15"/>
          <w:color w:val="auto"/>
        </w:rPr>
        <w:t xml:space="preserve"> on </w:t>
      </w:r>
      <w:r>
        <w:rPr>
          <w:rFonts w:ascii="Arial" w:cs="Arial" w:eastAsia="Arial" w:hAnsi="Arial"/>
          <w:sz w:val="15"/>
          <w:szCs w:val="15"/>
          <w:b w:val="1"/>
          <w:bCs w:val="1"/>
          <w:color w:val="D52B1E"/>
        </w:rPr>
        <w:t>effectiveness</w:t>
      </w:r>
    </w:p>
    <w:p>
      <w:pPr>
        <w:spacing w:after="0" w:line="33" w:lineRule="exact"/>
        <w:rPr>
          <w:sz w:val="20"/>
          <w:szCs w:val="20"/>
          <w:color w:val="auto"/>
        </w:rPr>
      </w:pPr>
    </w:p>
    <w:p>
      <w:pPr>
        <w:ind w:left="680" w:right="640"/>
        <w:spacing w:after="0" w:line="290" w:lineRule="auto"/>
        <w:rPr>
          <w:sz w:val="20"/>
          <w:szCs w:val="20"/>
          <w:color w:val="auto"/>
        </w:rPr>
      </w:pPr>
      <w:r>
        <w:rPr>
          <w:rFonts w:ascii="Arial" w:cs="Arial" w:eastAsia="Arial" w:hAnsi="Arial"/>
          <w:sz w:val="16"/>
          <w:szCs w:val="16"/>
          <w:color w:val="auto"/>
        </w:rPr>
        <w:t xml:space="preserve">of the company’s </w:t>
      </w:r>
      <w:r>
        <w:rPr>
          <w:rFonts w:ascii="Arial" w:cs="Arial" w:eastAsia="Arial" w:hAnsi="Arial"/>
          <w:sz w:val="16"/>
          <w:szCs w:val="16"/>
          <w:b w:val="1"/>
          <w:bCs w:val="1"/>
          <w:color w:val="D52B1E"/>
        </w:rPr>
        <w:t>diversity, equity, and</w:t>
      </w:r>
      <w:r>
        <w:rPr>
          <w:rFonts w:ascii="Arial" w:cs="Arial" w:eastAsia="Arial" w:hAnsi="Arial"/>
          <w:sz w:val="16"/>
          <w:szCs w:val="16"/>
          <w:color w:val="auto"/>
        </w:rPr>
        <w:t xml:space="preserve"> </w:t>
      </w:r>
      <w:r>
        <w:rPr>
          <w:rFonts w:ascii="Arial" w:cs="Arial" w:eastAsia="Arial" w:hAnsi="Arial"/>
          <w:sz w:val="16"/>
          <w:szCs w:val="16"/>
          <w:b w:val="1"/>
          <w:bCs w:val="1"/>
          <w:color w:val="D52B1E"/>
        </w:rPr>
        <w:t xml:space="preserve">inclusion </w:t>
      </w:r>
      <w:r>
        <w:rPr>
          <w:rFonts w:ascii="Arial" w:cs="Arial" w:eastAsia="Arial" w:hAnsi="Arial"/>
          <w:sz w:val="15"/>
          <w:szCs w:val="15"/>
          <w:color w:val="000000"/>
        </w:rPr>
        <w:t>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498475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84750" cy="548640"/>
                    </a:xfrm>
                    <a:prstGeom prst="rect">
                      <a:avLst/>
                    </a:prstGeom>
                    <a:noFill/>
                  </pic:spPr>
                </pic:pic>
              </a:graphicData>
            </a:graphic>
          </wp:anchor>
        </w:drawing>
      </w:r>
    </w:p>
    <w:p>
      <w:pPr>
        <w:spacing w:after="0" w:line="101"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Item 13</w:t>
      </w:r>
      <w:r>
        <w:rPr>
          <w:sz w:val="20"/>
          <w:szCs w:val="20"/>
          <w:color w:val="auto"/>
        </w:rPr>
        <w:tab/>
      </w:r>
      <w:r>
        <w:rPr>
          <w:rFonts w:ascii="Arial" w:cs="Arial" w:eastAsia="Arial" w:hAnsi="Arial"/>
          <w:sz w:val="14"/>
          <w:szCs w:val="14"/>
          <w:color w:val="auto"/>
        </w:rPr>
        <w:t>Shareholder proposal to adopt a policy to require</w:t>
      </w:r>
    </w:p>
    <w:p>
      <w:pPr>
        <w:spacing w:after="0" w:line="21" w:lineRule="exact"/>
        <w:rPr>
          <w:sz w:val="20"/>
          <w:szCs w:val="20"/>
          <w:color w:val="auto"/>
        </w:rPr>
      </w:pPr>
    </w:p>
    <w:p>
      <w:pPr>
        <w:ind w:left="680" w:right="120"/>
        <w:spacing w:after="0" w:line="256" w:lineRule="auto"/>
        <w:rPr>
          <w:sz w:val="20"/>
          <w:szCs w:val="20"/>
          <w:color w:val="auto"/>
        </w:rPr>
      </w:pPr>
      <w:r>
        <w:rPr>
          <w:rFonts w:ascii="Arial" w:cs="Arial" w:eastAsia="Arial" w:hAnsi="Arial"/>
          <w:sz w:val="16"/>
          <w:szCs w:val="16"/>
          <w:color w:val="auto"/>
        </w:rPr>
        <w:t xml:space="preserve">certain </w:t>
      </w:r>
      <w:r>
        <w:rPr>
          <w:rFonts w:ascii="Arial" w:cs="Arial" w:eastAsia="Arial" w:hAnsi="Arial"/>
          <w:sz w:val="16"/>
          <w:szCs w:val="16"/>
          <w:b w:val="1"/>
          <w:bCs w:val="1"/>
          <w:color w:val="D52B1E"/>
        </w:rPr>
        <w:t>third-party organizations to annually</w:t>
      </w:r>
      <w:r>
        <w:rPr>
          <w:rFonts w:ascii="Arial" w:cs="Arial" w:eastAsia="Arial" w:hAnsi="Arial"/>
          <w:sz w:val="16"/>
          <w:szCs w:val="16"/>
          <w:color w:val="auto"/>
        </w:rPr>
        <w:t xml:space="preserve"> </w:t>
      </w:r>
      <w:r>
        <w:rPr>
          <w:rFonts w:ascii="Arial" w:cs="Arial" w:eastAsia="Arial" w:hAnsi="Arial"/>
          <w:sz w:val="16"/>
          <w:szCs w:val="16"/>
          <w:b w:val="1"/>
          <w:bCs w:val="1"/>
          <w:color w:val="D52B1E"/>
        </w:rPr>
        <w:t>report expenditures for political activities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before Lilly contributes to 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49847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580" w:type="dxa"/>
            <w:vAlign w:val="bottom"/>
          </w:tcPr>
          <w:p>
            <w:pPr>
              <w:ind w:left="300"/>
              <w:spacing w:after="0"/>
              <w:rPr>
                <w:sz w:val="20"/>
                <w:szCs w:val="20"/>
                <w:color w:val="auto"/>
              </w:rPr>
            </w:pPr>
            <w:r>
              <w:rPr>
                <w:rFonts w:ascii="Arial" w:cs="Arial" w:eastAsia="Arial" w:hAnsi="Arial"/>
                <w:sz w:val="16"/>
                <w:szCs w:val="16"/>
                <w:color w:val="auto"/>
              </w:rPr>
              <w:t>AGAINST</w:t>
            </w:r>
          </w:p>
        </w:tc>
        <w:tc>
          <w:tcPr>
            <w:tcW w:w="26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97</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359"/>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580" w:type="dxa"/>
            <w:vAlign w:val="bottom"/>
          </w:tcPr>
          <w:p>
            <w:pPr>
              <w:ind w:left="300"/>
              <w:spacing w:after="0"/>
              <w:rPr>
                <w:sz w:val="20"/>
                <w:szCs w:val="20"/>
                <w:color w:val="auto"/>
              </w:rPr>
            </w:pPr>
            <w:r>
              <w:rPr>
                <w:rFonts w:ascii="Arial" w:cs="Arial" w:eastAsia="Arial" w:hAnsi="Arial"/>
                <w:sz w:val="16"/>
                <w:szCs w:val="16"/>
                <w:color w:val="auto"/>
              </w:rPr>
              <w:t>AGAINST</w:t>
            </w:r>
          </w:p>
        </w:tc>
        <w:tc>
          <w:tcPr>
            <w:tcW w:w="26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99</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546"/>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580" w:type="dxa"/>
            <w:vAlign w:val="bottom"/>
          </w:tcPr>
          <w:p>
            <w:pPr>
              <w:ind w:left="300"/>
              <w:spacing w:after="0"/>
              <w:rPr>
                <w:sz w:val="20"/>
                <w:szCs w:val="20"/>
                <w:color w:val="auto"/>
              </w:rPr>
            </w:pPr>
            <w:r>
              <w:rPr>
                <w:rFonts w:ascii="Arial" w:cs="Arial" w:eastAsia="Arial" w:hAnsi="Arial"/>
                <w:sz w:val="16"/>
                <w:szCs w:val="16"/>
                <w:color w:val="auto"/>
              </w:rPr>
              <w:t>AGAINST</w:t>
            </w:r>
          </w:p>
        </w:tc>
        <w:tc>
          <w:tcPr>
            <w:tcW w:w="2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w w:val="97"/>
              </w:rPr>
              <w:t>102</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57"/>
        </w:trPr>
        <w:tc>
          <w:tcPr>
            <w:tcW w:w="1420" w:type="dxa"/>
            <w:vAlign w:val="bottom"/>
          </w:tcPr>
          <w:p>
            <w:pPr>
              <w:jc w:val="center"/>
              <w:ind w:right="202"/>
              <w:spacing w:after="0"/>
              <w:rPr>
                <w:sz w:val="20"/>
                <w:szCs w:val="20"/>
                <w:color w:val="auto"/>
              </w:rPr>
            </w:pPr>
            <w:r>
              <w:rPr>
                <w:rFonts w:ascii="Arial" w:cs="Arial" w:eastAsia="Arial" w:hAnsi="Arial"/>
                <w:sz w:val="16"/>
                <w:szCs w:val="16"/>
                <w:color w:val="auto"/>
                <w:w w:val="97"/>
              </w:rPr>
              <w:t>Majority of votes</w:t>
            </w:r>
          </w:p>
        </w:tc>
        <w:tc>
          <w:tcPr>
            <w:tcW w:w="1580" w:type="dxa"/>
            <w:vAlign w:val="bottom"/>
          </w:tcPr>
          <w:p>
            <w:pPr>
              <w:ind w:left="300"/>
              <w:spacing w:after="0"/>
              <w:rPr>
                <w:sz w:val="20"/>
                <w:szCs w:val="20"/>
                <w:color w:val="auto"/>
              </w:rPr>
            </w:pPr>
            <w:r>
              <w:rPr>
                <w:rFonts w:ascii="Arial" w:cs="Arial" w:eastAsia="Arial" w:hAnsi="Arial"/>
                <w:sz w:val="16"/>
                <w:szCs w:val="16"/>
                <w:color w:val="auto"/>
              </w:rPr>
              <w:t>AGAINST</w:t>
            </w:r>
          </w:p>
        </w:tc>
        <w:tc>
          <w:tcPr>
            <w:tcW w:w="2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w w:val="97"/>
              </w:rPr>
              <w:t>104</w:t>
            </w:r>
          </w:p>
        </w:tc>
      </w:tr>
      <w:tr>
        <w:trPr>
          <w:trHeight w:val="205"/>
        </w:trPr>
        <w:tc>
          <w:tcPr>
            <w:tcW w:w="1420" w:type="dxa"/>
            <w:vAlign w:val="bottom"/>
          </w:tcPr>
          <w:p>
            <w:pPr>
              <w:jc w:val="center"/>
              <w:ind w:right="182"/>
              <w:spacing w:after="0"/>
              <w:rPr>
                <w:sz w:val="20"/>
                <w:szCs w:val="20"/>
                <w:color w:val="auto"/>
              </w:rPr>
            </w:pPr>
            <w:r>
              <w:rPr>
                <w:rFonts w:ascii="Arial" w:cs="Arial" w:eastAsia="Arial" w:hAnsi="Arial"/>
                <w:sz w:val="16"/>
                <w:szCs w:val="16"/>
                <w:color w:val="auto"/>
                <w:w w:val="95"/>
              </w:rPr>
              <w:t>cast</w:t>
            </w: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590" w:lineRule="exact"/>
        <w:rPr>
          <w:sz w:val="20"/>
          <w:szCs w:val="20"/>
          <w:color w:val="auto"/>
        </w:rPr>
      </w:pPr>
    </w:p>
    <w:p>
      <w:pPr>
        <w:sectPr>
          <w:pgSz w:w="11900" w:h="16838" w:orient="portrait"/>
          <w:cols w:equalWidth="0" w:num="2">
            <w:col w:w="4140" w:space="260"/>
            <w:col w:w="6860"/>
          </w:cols>
          <w:pgMar w:left="320" w:top="969" w:right="319" w:bottom="1440" w:gutter="0" w:footer="0" w:header="0"/>
          <w:type w:val="continuous"/>
        </w:sect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130175</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969"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5"/>
          <w:szCs w:val="45"/>
          <w:b w:val="1"/>
          <w:bCs w:val="1"/>
          <w:color w:val="auto"/>
        </w:rPr>
        <w:t>Governance</w:t>
      </w:r>
    </w:p>
    <w:p>
      <w:pPr>
        <w:spacing w:after="0" w:line="356"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How We Build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174625</wp:posOffset>
            </wp:positionV>
            <wp:extent cx="2433320" cy="16395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33320" cy="1639570"/>
                    </a:xfrm>
                    <a:prstGeom prst="rect">
                      <a:avLst/>
                    </a:prstGeom>
                    <a:noFill/>
                  </pic:spPr>
                </pic:pic>
              </a:graphicData>
            </a:graphic>
          </wp:anchor>
        </w:drawing>
      </w:r>
    </w:p>
    <w:p>
      <w:pPr>
        <w:spacing w:after="0" w:line="334" w:lineRule="exact"/>
        <w:rPr>
          <w:sz w:val="20"/>
          <w:szCs w:val="20"/>
          <w:color w:val="auto"/>
        </w:rPr>
      </w:pPr>
    </w:p>
    <w:p>
      <w:pPr>
        <w:ind w:right="7440"/>
        <w:spacing w:after="0" w:line="245" w:lineRule="auto"/>
        <w:rPr>
          <w:sz w:val="20"/>
          <w:szCs w:val="20"/>
          <w:color w:val="auto"/>
        </w:rPr>
      </w:pPr>
      <w:r>
        <w:rPr>
          <w:rFonts w:ascii="Arial" w:cs="Arial" w:eastAsia="Arial" w:hAnsi="Arial"/>
          <w:sz w:val="16"/>
          <w:szCs w:val="16"/>
          <w:color w:val="auto"/>
        </w:rPr>
        <w:t>Our directors are elected by the company’s shareholders to oversee the actions and results of the company’s management. The Directors and Corporate Governance Committee, together with our lead independent director, regularly assesses the effectiveness of the board to ensure that directors reflect the skill sets, experiences, diverse viewpoints and characteristics necessary to lead our complex and evolving business. Execution of our robust assessment and refreshment process, guided by key governance guidelines, has resulted in a mix of directors that balance experienced institutional knowledge and fresh perspectives, and reflect a broad range of backgrounds and viewpoints.</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Director Qualifications</w:t>
      </w:r>
    </w:p>
    <w:p>
      <w:pPr>
        <w:spacing w:after="0" w:line="200"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b w:val="1"/>
          <w:bCs w:val="1"/>
          <w:color w:val="auto"/>
        </w:rPr>
        <w:t xml:space="preserve">Character: </w:t>
      </w:r>
      <w:r>
        <w:rPr>
          <w:rFonts w:ascii="Arial" w:cs="Arial" w:eastAsia="Arial" w:hAnsi="Arial"/>
          <w:sz w:val="15"/>
          <w:szCs w:val="15"/>
          <w:color w:val="auto"/>
        </w:rPr>
        <w:t>Our board members should possess the personal attributes necessary to be an effective director, including unquestioned integrity, sound judgment, a</w:t>
      </w:r>
      <w:r>
        <w:rPr>
          <w:rFonts w:ascii="Arial" w:cs="Arial" w:eastAsia="Arial" w:hAnsi="Arial"/>
          <w:sz w:val="19"/>
          <w:szCs w:val="19"/>
          <w:b w:val="1"/>
          <w:bCs w:val="1"/>
          <w:color w:val="auto"/>
        </w:rPr>
        <w:t xml:space="preserve"> </w:t>
      </w:r>
      <w:r>
        <w:rPr>
          <w:rFonts w:ascii="Arial" w:cs="Arial" w:eastAsia="Arial" w:hAnsi="Arial"/>
          <w:sz w:val="15"/>
          <w:szCs w:val="15"/>
          <w:color w:val="auto"/>
        </w:rPr>
        <w:t>collaborative spirit, and commitment to our company, our shareholders, and other constituencies.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b w:val="1"/>
          <w:bCs w:val="1"/>
          <w:color w:val="auto"/>
        </w:rPr>
        <w:t xml:space="preserve">Independence: </w:t>
      </w:r>
      <w:r>
        <w:rPr>
          <w:rFonts w:ascii="Arial" w:cs="Arial" w:eastAsia="Arial" w:hAnsi="Arial"/>
          <w:sz w:val="15"/>
          <w:szCs w:val="15"/>
          <w:color w:val="auto"/>
        </w:rPr>
        <w:t>We believe there should always be a substantial majority (75 percent or more) of independent directors. The board annually determines the</w:t>
      </w:r>
      <w:r>
        <w:rPr>
          <w:rFonts w:ascii="Arial" w:cs="Arial" w:eastAsia="Arial" w:hAnsi="Arial"/>
          <w:sz w:val="19"/>
          <w:szCs w:val="19"/>
          <w:b w:val="1"/>
          <w:bCs w:val="1"/>
          <w:color w:val="auto"/>
        </w:rPr>
        <w:t xml:space="preserve"> </w:t>
      </w:r>
      <w:r>
        <w:rPr>
          <w:rFonts w:ascii="Arial" w:cs="Arial" w:eastAsia="Arial" w:hAnsi="Arial"/>
          <w:sz w:val="15"/>
          <w:szCs w:val="15"/>
          <w:color w:val="auto"/>
        </w:rPr>
        <w:t>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12" w:lineRule="exact"/>
        <w:rPr>
          <w:sz w:val="20"/>
          <w:szCs w:val="20"/>
          <w:color w:val="auto"/>
        </w:rPr>
      </w:pPr>
    </w:p>
    <w:p>
      <w:pPr>
        <w:ind w:right="1180"/>
        <w:spacing w:after="0" w:line="271" w:lineRule="auto"/>
        <w:rPr>
          <w:sz w:val="20"/>
          <w:szCs w:val="20"/>
          <w:color w:val="auto"/>
        </w:rPr>
      </w:pPr>
      <w:r>
        <w:rPr>
          <w:rFonts w:ascii="Arial" w:cs="Arial" w:eastAsia="Arial" w:hAnsi="Arial"/>
          <w:sz w:val="16"/>
          <w:szCs w:val="16"/>
          <w:color w:val="auto"/>
        </w:rPr>
        <w:t xml:space="preserve">Lilly’s process for determining director independence is set forth in our Standards for Director Independence, which can be found on our website at </w:t>
      </w:r>
      <w:r>
        <w:rPr>
          <w:rFonts w:ascii="Arial" w:cs="Arial" w:eastAsia="Arial" w:hAnsi="Arial"/>
          <w:sz w:val="16"/>
          <w:szCs w:val="16"/>
          <w:color w:val="D52B1E"/>
        </w:rPr>
        <w:t>lilly.com/leadership/governance</w:t>
      </w:r>
      <w:r>
        <w:rPr>
          <w:rFonts w:ascii="Arial" w:cs="Arial" w:eastAsia="Arial" w:hAnsi="Arial"/>
          <w:sz w:val="16"/>
          <w:szCs w:val="16"/>
          <w:color w:val="000000"/>
        </w:rPr>
        <w:t>, along with our corporate governance guidelines.</w:t>
      </w:r>
    </w:p>
    <w:p>
      <w:pPr>
        <w:spacing w:after="0" w:line="9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On the recommendation of the Directors and Corporate Governance Committee, the board determined that each current non-employee director is independent. The board also determined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173" w:lineRule="exact"/>
        <w:rPr>
          <w:sz w:val="20"/>
          <w:szCs w:val="20"/>
          <w:color w:val="auto"/>
        </w:rPr>
      </w:pPr>
    </w:p>
    <w:p>
      <w:pPr>
        <w:ind w:left="2140" w:right="3480"/>
        <w:spacing w:after="0" w:line="257" w:lineRule="auto"/>
        <w:rPr>
          <w:sz w:val="20"/>
          <w:szCs w:val="20"/>
          <w:color w:val="auto"/>
        </w:rPr>
      </w:pPr>
      <w:r>
        <w:rPr>
          <w:rFonts w:ascii="Arial" w:cs="Arial" w:eastAsia="Arial" w:hAnsi="Arial"/>
          <w:sz w:val="16"/>
          <w:szCs w:val="16"/>
          <w:color w:val="auto"/>
        </w:rPr>
        <w:t>In making its independence determinations, the board considered that Ms. Walker is affiliated with the Goldman Sachs Group, which the company may use for advisory, investment banking or similar services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-365125</wp:posOffset>
            </wp:positionV>
            <wp:extent cx="1297940" cy="986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97940" cy="986790"/>
                    </a:xfrm>
                    <a:prstGeom prst="rect">
                      <a:avLst/>
                    </a:prstGeom>
                    <a:noFill/>
                  </pic:spPr>
                </pic:pic>
              </a:graphicData>
            </a:graphic>
          </wp:anchor>
        </w:drawing>
      </w:r>
    </w:p>
    <w:p>
      <w:pPr>
        <w:spacing w:after="0" w:line="90" w:lineRule="exact"/>
        <w:rPr>
          <w:sz w:val="20"/>
          <w:szCs w:val="20"/>
          <w:color w:val="auto"/>
        </w:rPr>
      </w:pPr>
    </w:p>
    <w:p>
      <w:pPr>
        <w:ind w:left="2140" w:right="3480"/>
        <w:spacing w:after="0" w:line="295" w:lineRule="auto"/>
        <w:rPr>
          <w:sz w:val="20"/>
          <w:szCs w:val="20"/>
          <w:color w:val="auto"/>
        </w:rPr>
      </w:pPr>
      <w:r>
        <w:rPr>
          <w:rFonts w:ascii="Arial" w:cs="Arial" w:eastAsia="Arial" w:hAnsi="Arial"/>
          <w:sz w:val="14"/>
          <w:szCs w:val="14"/>
          <w:color w:val="auto"/>
        </w:rPr>
        <w:t>In addition, the board considered that some of the current non-employee directors are affiliated with companies or entities to which the company sold products or made payments, or from which the company purchased products or services during the year. Drs. Baicker, Kaelin, Hedley, and Runge are employed at medical or academic institutions with which the company engages in clinical research,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87" w:right="319" w:bottom="1440" w:gutter="0" w:footer="0" w:header="0"/>
        </w:sectPr>
      </w:pPr>
    </w:p>
    <w:bookmarkStart w:id="14" w:name="page15"/>
    <w:bookmarkEnd w:id="14"/>
    <w:p>
      <w:pPr>
        <w:spacing w:after="0" w:line="238" w:lineRule="auto"/>
        <w:rPr>
          <w:sz w:val="20"/>
          <w:szCs w:val="20"/>
          <w:color w:val="auto"/>
        </w:rPr>
      </w:pPr>
      <w:r>
        <w:rPr>
          <w:rFonts w:ascii="Arial" w:cs="Arial" w:eastAsia="Arial" w:hAnsi="Arial"/>
          <w:sz w:val="16"/>
          <w:szCs w:val="16"/>
          <w:color w:val="auto"/>
        </w:rPr>
        <w:t>provides research grants, and/or engages in commercial transactions in the ordinary course of business. Mr. Luciano is employed by Archer-Daniels-Midland Company. The company engages in routine business transactions with these organizations. Aggregate payments to or from each such organization, in each of the last three fiscal years, did not exceed the greater of $ 1 million or 2 percent of that organization’s consolidated gross revenues in a single fiscal year. In reviewing these relationships, the board considered all relevant factors, including:</w:t>
      </w:r>
    </w:p>
    <w:p>
      <w:pPr>
        <w:spacing w:after="0" w:line="76" w:lineRule="exact"/>
        <w:rPr>
          <w:sz w:val="20"/>
          <w:szCs w:val="20"/>
          <w:color w:val="auto"/>
        </w:rPr>
      </w:pPr>
    </w:p>
    <w:p>
      <w:pPr>
        <w:ind w:left="560" w:right="520" w:hanging="286"/>
        <w:spacing w:after="0" w:line="271" w:lineRule="auto"/>
        <w:tabs>
          <w:tab w:leader="none" w:pos="550" w:val="left"/>
        </w:tabs>
        <w:numPr>
          <w:ilvl w:val="0"/>
          <w:numId w:val="13"/>
        </w:numPr>
        <w:rPr>
          <w:rFonts w:ascii="Arial" w:cs="Arial" w:eastAsia="Arial" w:hAnsi="Arial"/>
          <w:sz w:val="14"/>
          <w:szCs w:val="14"/>
          <w:color w:val="auto"/>
        </w:rPr>
      </w:pPr>
      <w:r>
        <w:rPr>
          <w:rFonts w:ascii="Arial" w:cs="Arial" w:eastAsia="Arial" w:hAnsi="Arial"/>
          <w:sz w:val="16"/>
          <w:szCs w:val="16"/>
          <w:color w:val="auto"/>
        </w:rPr>
        <w:t>whether transactions were entered into at arm’s length in the normal course of business and, to the extent they were commercial relationships, had standard commercial terms; and</w:t>
      </w:r>
    </w:p>
    <w:p>
      <w:pPr>
        <w:spacing w:after="0" w:line="5" w:lineRule="exact"/>
        <w:rPr>
          <w:rFonts w:ascii="Arial" w:cs="Arial" w:eastAsia="Arial" w:hAnsi="Arial"/>
          <w:sz w:val="14"/>
          <w:szCs w:val="14"/>
          <w:color w:val="auto"/>
        </w:rPr>
      </w:pPr>
    </w:p>
    <w:p>
      <w:pPr>
        <w:ind w:left="560" w:right="500" w:hanging="286"/>
        <w:spacing w:after="0" w:line="271" w:lineRule="auto"/>
        <w:tabs>
          <w:tab w:leader="none" w:pos="550" w:val="left"/>
        </w:tabs>
        <w:numPr>
          <w:ilvl w:val="0"/>
          <w:numId w:val="13"/>
        </w:numPr>
        <w:rPr>
          <w:rFonts w:ascii="Arial" w:cs="Arial" w:eastAsia="Arial" w:hAnsi="Arial"/>
          <w:sz w:val="14"/>
          <w:szCs w:val="14"/>
          <w:color w:val="auto"/>
        </w:rPr>
      </w:pPr>
      <w:r>
        <w:rPr>
          <w:rFonts w:ascii="Arial" w:cs="Arial" w:eastAsia="Arial" w:hAnsi="Arial"/>
          <w:sz w:val="16"/>
          <w:szCs w:val="16"/>
          <w:color w:val="auto"/>
        </w:rPr>
        <w:t>whether any director had any direct business relationships with the company or received any direct personal benefit from any of these transactions, relationships,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42545</wp:posOffset>
            </wp:positionV>
            <wp:extent cx="1617345" cy="133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17345" cy="1335405"/>
                    </a:xfrm>
                    <a:prstGeom prst="rect">
                      <a:avLst/>
                    </a:prstGeom>
                    <a:noFill/>
                  </pic:spPr>
                </pic:pic>
              </a:graphicData>
            </a:graphic>
          </wp:anchor>
        </w:drawing>
      </w:r>
    </w:p>
    <w:p>
      <w:pPr>
        <w:spacing w:after="0" w:line="268" w:lineRule="exact"/>
        <w:rPr>
          <w:sz w:val="20"/>
          <w:szCs w:val="20"/>
          <w:color w:val="auto"/>
        </w:rPr>
      </w:pPr>
    </w:p>
    <w:p>
      <w:pPr>
        <w:ind w:right="6100"/>
        <w:spacing w:after="0" w:line="254" w:lineRule="auto"/>
        <w:rPr>
          <w:sz w:val="20"/>
          <w:szCs w:val="20"/>
          <w:color w:val="auto"/>
        </w:rPr>
      </w:pPr>
      <w:r>
        <w:rPr>
          <w:rFonts w:ascii="Arial" w:cs="Arial" w:eastAsia="Arial" w:hAnsi="Arial"/>
          <w:sz w:val="19"/>
          <w:szCs w:val="19"/>
          <w:b w:val="1"/>
          <w:bCs w:val="1"/>
          <w:color w:val="auto"/>
        </w:rPr>
        <w:t xml:space="preserve">Diversity: </w:t>
      </w:r>
      <w:r>
        <w:rPr>
          <w:rFonts w:ascii="Arial" w:cs="Arial" w:eastAsia="Arial" w:hAnsi="Arial"/>
          <w:sz w:val="15"/>
          <w:szCs w:val="15"/>
          <w:color w:val="auto"/>
        </w:rPr>
        <w:t>The board strives to achieve diversity in the broadest sense,</w:t>
      </w:r>
      <w:r>
        <w:rPr>
          <w:rFonts w:ascii="Arial" w:cs="Arial" w:eastAsia="Arial" w:hAnsi="Arial"/>
          <w:sz w:val="19"/>
          <w:szCs w:val="19"/>
          <w:b w:val="1"/>
          <w:bCs w:val="1"/>
          <w:color w:val="auto"/>
        </w:rPr>
        <w:t xml:space="preserve"> </w:t>
      </w:r>
      <w:r>
        <w:rPr>
          <w:rFonts w:ascii="Arial" w:cs="Arial" w:eastAsia="Arial" w:hAnsi="Arial"/>
          <w:sz w:val="15"/>
          <w:szCs w:val="15"/>
          <w:color w:val="auto"/>
        </w:rPr>
        <w:t>including persons diverse in geography, gender, ethnicity, age, and experience.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current 13 directors range in age from 50 to 72 and include five women and six minority group members (MGM).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106680</wp:posOffset>
            </wp:positionV>
            <wp:extent cx="1097915" cy="779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97915" cy="779145"/>
                    </a:xfrm>
                    <a:prstGeom prst="rect">
                      <a:avLst/>
                    </a:prstGeom>
                    <a:noFill/>
                  </pic:spPr>
                </pic:pic>
              </a:graphicData>
            </a:graphic>
          </wp:anchor>
        </w:drawing>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2120" w:type="dxa"/>
            <w:vAlign w:val="bottom"/>
            <w:vMerge w:val="restart"/>
          </w:tcPr>
          <w:p>
            <w:pPr>
              <w:jc w:val="center"/>
              <w:ind w:right="950"/>
              <w:spacing w:after="0"/>
              <w:rPr>
                <w:sz w:val="20"/>
                <w:szCs w:val="20"/>
                <w:color w:val="auto"/>
              </w:rPr>
            </w:pPr>
            <w:r>
              <w:rPr>
                <w:rFonts w:ascii="Arial" w:cs="Arial" w:eastAsia="Arial" w:hAnsi="Arial"/>
                <w:sz w:val="14"/>
                <w:szCs w:val="14"/>
                <w:b w:val="1"/>
                <w:bCs w:val="1"/>
                <w:color w:val="D52B1E"/>
              </w:rPr>
              <w:t>7.8 Years</w:t>
            </w:r>
          </w:p>
        </w:tc>
        <w:tc>
          <w:tcPr>
            <w:tcW w:w="5620" w:type="dxa"/>
            <w:vAlign w:val="bottom"/>
          </w:tcPr>
          <w:p>
            <w:pPr>
              <w:ind w:left="1000"/>
              <w:spacing w:after="0"/>
              <w:rPr>
                <w:sz w:val="20"/>
                <w:szCs w:val="20"/>
                <w:color w:val="auto"/>
              </w:rPr>
            </w:pPr>
            <w:r>
              <w:rPr>
                <w:rFonts w:ascii="Arial" w:cs="Arial" w:eastAsia="Arial" w:hAnsi="Arial"/>
                <w:sz w:val="19"/>
                <w:szCs w:val="19"/>
                <w:b w:val="1"/>
                <w:bCs w:val="1"/>
                <w:color w:val="auto"/>
              </w:rPr>
              <w:t xml:space="preserve">Tenure: </w:t>
            </w:r>
            <w:r>
              <w:rPr>
                <w:rFonts w:ascii="Arial" w:cs="Arial" w:eastAsia="Arial" w:hAnsi="Arial"/>
                <w:sz w:val="15"/>
                <w:szCs w:val="15"/>
                <w:color w:val="auto"/>
              </w:rPr>
              <w:t>Our director composition reflects a mix of tenure on the</w:t>
            </w:r>
          </w:p>
        </w:tc>
        <w:tc>
          <w:tcPr>
            <w:tcW w:w="0" w:type="dxa"/>
            <w:vAlign w:val="bottom"/>
          </w:tcPr>
          <w:p>
            <w:pPr>
              <w:spacing w:after="0"/>
              <w:rPr>
                <w:sz w:val="1"/>
                <w:szCs w:val="1"/>
                <w:color w:val="auto"/>
              </w:rPr>
            </w:pPr>
          </w:p>
        </w:tc>
      </w:tr>
      <w:tr>
        <w:trPr>
          <w:trHeight w:val="72"/>
        </w:trPr>
        <w:tc>
          <w:tcPr>
            <w:tcW w:w="2120" w:type="dxa"/>
            <w:vAlign w:val="bottom"/>
            <w:vMerge w:val="continue"/>
          </w:tcPr>
          <w:p>
            <w:pPr>
              <w:spacing w:after="0"/>
              <w:rPr>
                <w:sz w:val="6"/>
                <w:szCs w:val="6"/>
                <w:color w:val="auto"/>
              </w:rPr>
            </w:pPr>
          </w:p>
        </w:tc>
        <w:tc>
          <w:tcPr>
            <w:tcW w:w="5620" w:type="dxa"/>
            <w:vAlign w:val="bottom"/>
            <w:vMerge w:val="restart"/>
          </w:tcPr>
          <w:p>
            <w:pPr>
              <w:ind w:left="1000"/>
              <w:spacing w:after="0"/>
              <w:rPr>
                <w:sz w:val="20"/>
                <w:szCs w:val="20"/>
                <w:color w:val="auto"/>
              </w:rPr>
            </w:pPr>
            <w:r>
              <w:rPr>
                <w:rFonts w:ascii="Arial" w:cs="Arial" w:eastAsia="Arial" w:hAnsi="Arial"/>
                <w:sz w:val="16"/>
                <w:szCs w:val="16"/>
                <w:color w:val="auto"/>
                <w:w w:val="97"/>
              </w:rPr>
              <w:t>board, which provides an effective balance of historical perspective</w:t>
            </w:r>
          </w:p>
        </w:tc>
        <w:tc>
          <w:tcPr>
            <w:tcW w:w="0" w:type="dxa"/>
            <w:vAlign w:val="bottom"/>
          </w:tcPr>
          <w:p>
            <w:pPr>
              <w:spacing w:after="0"/>
              <w:rPr>
                <w:sz w:val="1"/>
                <w:szCs w:val="1"/>
                <w:color w:val="auto"/>
              </w:rPr>
            </w:pPr>
          </w:p>
        </w:tc>
      </w:tr>
      <w:tr>
        <w:trPr>
          <w:trHeight w:val="114"/>
        </w:trPr>
        <w:tc>
          <w:tcPr>
            <w:tcW w:w="2120" w:type="dxa"/>
            <w:vAlign w:val="bottom"/>
            <w:vMerge w:val="restart"/>
          </w:tcPr>
          <w:p>
            <w:pPr>
              <w:jc w:val="center"/>
              <w:ind w:right="930"/>
              <w:spacing w:after="0"/>
              <w:rPr>
                <w:sz w:val="20"/>
                <w:szCs w:val="20"/>
                <w:color w:val="auto"/>
              </w:rPr>
            </w:pPr>
            <w:r>
              <w:rPr>
                <w:rFonts w:ascii="Arial" w:cs="Arial" w:eastAsia="Arial" w:hAnsi="Arial"/>
                <w:sz w:val="14"/>
                <w:szCs w:val="14"/>
                <w:b w:val="1"/>
                <w:bCs w:val="1"/>
                <w:color w:val="auto"/>
                <w:w w:val="99"/>
              </w:rPr>
              <w:t>Average Director</w:t>
            </w: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120" w:type="dxa"/>
            <w:vAlign w:val="bottom"/>
            <w:vMerge w:val="continue"/>
          </w:tcPr>
          <w:p>
            <w:pPr>
              <w:spacing w:after="0"/>
              <w:rPr>
                <w:sz w:val="4"/>
                <w:szCs w:val="4"/>
                <w:color w:val="auto"/>
              </w:rPr>
            </w:pPr>
          </w:p>
        </w:tc>
        <w:tc>
          <w:tcPr>
            <w:tcW w:w="5620" w:type="dxa"/>
            <w:vAlign w:val="bottom"/>
            <w:vMerge w:val="restart"/>
          </w:tcPr>
          <w:p>
            <w:pPr>
              <w:ind w:left="1000"/>
              <w:spacing w:after="0"/>
              <w:rPr>
                <w:sz w:val="20"/>
                <w:szCs w:val="20"/>
                <w:color w:val="auto"/>
              </w:rPr>
            </w:pPr>
            <w:r>
              <w:rPr>
                <w:rFonts w:ascii="Arial" w:cs="Arial" w:eastAsia="Arial" w:hAnsi="Arial"/>
                <w:sz w:val="16"/>
                <w:szCs w:val="16"/>
                <w:color w:val="auto"/>
              </w:rPr>
              <w:t>and an understanding of the evolution of our business with fresh</w:t>
            </w:r>
          </w:p>
        </w:tc>
        <w:tc>
          <w:tcPr>
            <w:tcW w:w="0" w:type="dxa"/>
            <w:vAlign w:val="bottom"/>
          </w:tcPr>
          <w:p>
            <w:pPr>
              <w:spacing w:after="0"/>
              <w:rPr>
                <w:sz w:val="1"/>
                <w:szCs w:val="1"/>
                <w:color w:val="auto"/>
              </w:rPr>
            </w:pPr>
          </w:p>
        </w:tc>
      </w:tr>
      <w:tr>
        <w:trPr>
          <w:trHeight w:val="141"/>
        </w:trPr>
        <w:tc>
          <w:tcPr>
            <w:tcW w:w="2120" w:type="dxa"/>
            <w:vAlign w:val="bottom"/>
          </w:tcPr>
          <w:p>
            <w:pPr>
              <w:jc w:val="center"/>
              <w:ind w:right="950"/>
              <w:spacing w:after="0" w:line="141" w:lineRule="exact"/>
              <w:rPr>
                <w:sz w:val="20"/>
                <w:szCs w:val="20"/>
                <w:color w:val="auto"/>
              </w:rPr>
            </w:pPr>
            <w:r>
              <w:rPr>
                <w:rFonts w:ascii="Arial" w:cs="Arial" w:eastAsia="Arial" w:hAnsi="Arial"/>
                <w:sz w:val="14"/>
                <w:szCs w:val="14"/>
                <w:b w:val="1"/>
                <w:bCs w:val="1"/>
                <w:color w:val="auto"/>
                <w:w w:val="98"/>
              </w:rPr>
              <w:t>Tenure</w:t>
            </w:r>
          </w:p>
        </w:tc>
        <w:tc>
          <w:tcPr>
            <w:tcW w:w="5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5620" w:type="dxa"/>
            <w:vAlign w:val="bottom"/>
          </w:tcPr>
          <w:p>
            <w:pPr>
              <w:ind w:left="1000"/>
              <w:spacing w:after="0"/>
              <w:rPr>
                <w:sz w:val="20"/>
                <w:szCs w:val="20"/>
                <w:color w:val="auto"/>
              </w:rPr>
            </w:pPr>
            <w:r>
              <w:rPr>
                <w:rFonts w:ascii="Arial" w:cs="Arial" w:eastAsia="Arial" w:hAnsi="Arial"/>
                <w:sz w:val="16"/>
                <w:szCs w:val="16"/>
                <w:color w:val="auto"/>
              </w:rPr>
              <w:t>perspectives and insights. Mr. Tai, who joined the board in 2013,</w:t>
            </w: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5620" w:type="dxa"/>
            <w:vAlign w:val="bottom"/>
          </w:tcPr>
          <w:p>
            <w:pPr>
              <w:ind w:left="1000"/>
              <w:spacing w:after="0"/>
              <w:rPr>
                <w:sz w:val="20"/>
                <w:szCs w:val="20"/>
                <w:color w:val="auto"/>
              </w:rPr>
            </w:pPr>
            <w:r>
              <w:rPr>
                <w:rFonts w:ascii="Arial" w:cs="Arial" w:eastAsia="Arial" w:hAnsi="Arial"/>
                <w:sz w:val="16"/>
                <w:szCs w:val="16"/>
                <w:color w:val="auto"/>
              </w:rPr>
              <w:t>will retire from the board following the Annual Meeting.</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D52B1E"/>
        </w:rPr>
        <w:t>Director 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992370" cy="3286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2370" cy="3286125"/>
                    </a:xfrm>
                    <a:prstGeom prst="rect">
                      <a:avLst/>
                    </a:prstGeom>
                    <a:noFill/>
                  </pic:spPr>
                </pic:pic>
              </a:graphicData>
            </a:graphic>
          </wp:anchor>
        </w:drawing>
      </w:r>
    </w:p>
    <w:p>
      <w:pPr>
        <w:spacing w:after="0" w:line="65" w:lineRule="exact"/>
        <w:rPr>
          <w:sz w:val="20"/>
          <w:szCs w:val="20"/>
          <w:color w:val="auto"/>
        </w:rPr>
      </w:pPr>
    </w:p>
    <w:p>
      <w:pPr>
        <w:ind w:left="540" w:right="3580" w:hanging="295"/>
        <w:spacing w:after="0" w:line="218" w:lineRule="auto"/>
        <w:tabs>
          <w:tab w:leader="none" w:pos="540" w:val="left"/>
        </w:tabs>
        <w:numPr>
          <w:ilvl w:val="0"/>
          <w:numId w:val="14"/>
        </w:numPr>
        <w:rPr>
          <w:rFonts w:ascii="MS PGothic" w:cs="MS PGothic" w:eastAsia="MS PGothic" w:hAnsi="MS PGothic"/>
          <w:sz w:val="22"/>
          <w:szCs w:val="22"/>
          <w:color w:val="auto"/>
          <w:shd w:val="clear" w:color="auto" w:fill="00A1DE"/>
        </w:rPr>
      </w:pPr>
      <w:r>
        <w:rPr>
          <w:rFonts w:ascii="Arial" w:cs="Arial" w:eastAsia="Arial" w:hAnsi="Arial"/>
          <w:sz w:val="16"/>
          <w:szCs w:val="16"/>
          <w:b w:val="1"/>
          <w:bCs w:val="1"/>
          <w:color w:val="auto"/>
        </w:rPr>
        <w:t xml:space="preserve">Resignation Policy </w:t>
      </w:r>
      <w:r>
        <w:rPr>
          <w:rFonts w:ascii="Arial" w:cs="Arial" w:eastAsia="Arial" w:hAnsi="Arial"/>
          <w:sz w:val="15"/>
          <w:szCs w:val="15"/>
          <w:color w:val="auto"/>
        </w:rPr>
        <w:t>- In an uncontested election, directors are elected by a majority of votes cast. An</w:t>
      </w:r>
      <w:r>
        <w:rPr>
          <w:rFonts w:ascii="Arial" w:cs="Arial" w:eastAsia="Arial" w:hAnsi="Arial"/>
          <w:sz w:val="16"/>
          <w:szCs w:val="16"/>
          <w:b w:val="1"/>
          <w:bCs w:val="1"/>
          <w:color w:val="auto"/>
        </w:rPr>
        <w:t xml:space="preserve"> </w:t>
      </w:r>
      <w:r>
        <w:rPr>
          <w:rFonts w:ascii="Arial" w:cs="Arial" w:eastAsia="Arial" w:hAnsi="Arial"/>
          <w:sz w:val="15"/>
          <w:szCs w:val="15"/>
          <w:color w:val="auto"/>
        </w:rPr>
        <w:t>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78" w:lineRule="exact"/>
        <w:rPr>
          <w:rFonts w:ascii="MS PGothic" w:cs="MS PGothic" w:eastAsia="MS PGothic" w:hAnsi="MS PGothic"/>
          <w:sz w:val="22"/>
          <w:szCs w:val="22"/>
          <w:color w:val="auto"/>
          <w:shd w:val="clear" w:color="auto" w:fill="00A1DE"/>
        </w:rPr>
      </w:pPr>
    </w:p>
    <w:p>
      <w:pPr>
        <w:ind w:left="540" w:right="3540" w:hanging="295"/>
        <w:spacing w:after="0" w:line="220" w:lineRule="auto"/>
        <w:tabs>
          <w:tab w:leader="none" w:pos="540" w:val="left"/>
        </w:tabs>
        <w:numPr>
          <w:ilvl w:val="0"/>
          <w:numId w:val="14"/>
        </w:numPr>
        <w:rPr>
          <w:rFonts w:ascii="MS PGothic" w:cs="MS PGothic" w:eastAsia="MS PGothic" w:hAnsi="MS PGothic"/>
          <w:sz w:val="22"/>
          <w:szCs w:val="22"/>
          <w:color w:val="auto"/>
          <w:shd w:val="clear" w:color="auto" w:fill="00A1DE"/>
        </w:rPr>
      </w:pPr>
      <w:r>
        <w:rPr>
          <w:rFonts w:ascii="Arial" w:cs="Arial" w:eastAsia="Arial" w:hAnsi="Arial"/>
          <w:sz w:val="16"/>
          <w:szCs w:val="16"/>
          <w:b w:val="1"/>
          <w:bCs w:val="1"/>
          <w:color w:val="auto"/>
        </w:rPr>
        <w:t xml:space="preserve">Director Retirement Policy </w:t>
      </w:r>
      <w:r>
        <w:rPr>
          <w:rFonts w:ascii="Arial" w:cs="Arial" w:eastAsia="Arial" w:hAnsi="Arial"/>
          <w:sz w:val="15"/>
          <w:szCs w:val="15"/>
          <w:color w:val="auto"/>
        </w:rPr>
        <w:t>- Non-employee directors must retire from the board no later than the</w:t>
      </w:r>
      <w:r>
        <w:rPr>
          <w:rFonts w:ascii="Arial" w:cs="Arial" w:eastAsia="Arial" w:hAnsi="Arial"/>
          <w:sz w:val="16"/>
          <w:szCs w:val="16"/>
          <w:b w:val="1"/>
          <w:bCs w:val="1"/>
          <w:color w:val="auto"/>
        </w:rPr>
        <w:t xml:space="preserve"> </w:t>
      </w:r>
      <w:r>
        <w:rPr>
          <w:rFonts w:ascii="Arial" w:cs="Arial" w:eastAsia="Arial" w:hAnsi="Arial"/>
          <w:sz w:val="15"/>
          <w:szCs w:val="15"/>
          <w:color w:val="auto"/>
        </w:rPr>
        <w:t>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pacing w:after="0" w:line="114" w:lineRule="exact"/>
        <w:rPr>
          <w:rFonts w:ascii="MS PGothic" w:cs="MS PGothic" w:eastAsia="MS PGothic" w:hAnsi="MS PGothic"/>
          <w:sz w:val="22"/>
          <w:szCs w:val="22"/>
          <w:color w:val="auto"/>
          <w:shd w:val="clear" w:color="auto" w:fill="00A1DE"/>
        </w:rPr>
      </w:pPr>
    </w:p>
    <w:p>
      <w:pPr>
        <w:ind w:left="540" w:right="3660" w:hanging="295"/>
        <w:spacing w:after="0" w:line="218" w:lineRule="auto"/>
        <w:tabs>
          <w:tab w:leader="none" w:pos="540" w:val="left"/>
        </w:tabs>
        <w:numPr>
          <w:ilvl w:val="0"/>
          <w:numId w:val="14"/>
        </w:numPr>
        <w:rPr>
          <w:rFonts w:ascii="MS PGothic" w:cs="MS PGothic" w:eastAsia="MS PGothic" w:hAnsi="MS PGothic"/>
          <w:sz w:val="22"/>
          <w:szCs w:val="22"/>
          <w:color w:val="auto"/>
          <w:shd w:val="clear" w:color="auto" w:fill="00A1DE"/>
        </w:rPr>
      </w:pPr>
      <w:r>
        <w:rPr>
          <w:rFonts w:ascii="Arial" w:cs="Arial" w:eastAsia="Arial" w:hAnsi="Arial"/>
          <w:sz w:val="16"/>
          <w:szCs w:val="16"/>
          <w:b w:val="1"/>
          <w:bCs w:val="1"/>
          <w:color w:val="auto"/>
        </w:rPr>
        <w:t xml:space="preserve">Other Board Service Policy </w:t>
      </w:r>
      <w:r>
        <w:rPr>
          <w:rFonts w:ascii="Arial" w:cs="Arial" w:eastAsia="Arial" w:hAnsi="Arial"/>
          <w:sz w:val="15"/>
          <w:szCs w:val="15"/>
          <w:color w:val="auto"/>
        </w:rPr>
        <w:t>- To ensure proper engagement from our directors and effective</w:t>
      </w:r>
      <w:r>
        <w:rPr>
          <w:rFonts w:ascii="Arial" w:cs="Arial" w:eastAsia="Arial" w:hAnsi="Arial"/>
          <w:sz w:val="16"/>
          <w:szCs w:val="16"/>
          <w:b w:val="1"/>
          <w:bCs w:val="1"/>
          <w:color w:val="auto"/>
        </w:rPr>
        <w:t xml:space="preserve"> </w:t>
      </w:r>
      <w:r>
        <w:rPr>
          <w:rFonts w:ascii="Arial" w:cs="Arial" w:eastAsia="Arial" w:hAnsi="Arial"/>
          <w:sz w:val="15"/>
          <w:szCs w:val="15"/>
          <w:color w:val="auto"/>
        </w:rPr>
        <w:t>functioning of our board, we have instituted certain limitations on service on the boards of other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03" w:lineRule="exact"/>
        <w:rPr>
          <w:rFonts w:ascii="MS PGothic" w:cs="MS PGothic" w:eastAsia="MS PGothic" w:hAnsi="MS PGothic"/>
          <w:sz w:val="22"/>
          <w:szCs w:val="22"/>
          <w:color w:val="auto"/>
          <w:shd w:val="clear" w:color="auto" w:fill="00A1DE"/>
        </w:rPr>
      </w:pPr>
    </w:p>
    <w:p>
      <w:pPr>
        <w:ind w:left="540" w:right="3580" w:hanging="295"/>
        <w:spacing w:after="0" w:line="243" w:lineRule="auto"/>
        <w:tabs>
          <w:tab w:leader="none" w:pos="540" w:val="left"/>
        </w:tabs>
        <w:numPr>
          <w:ilvl w:val="0"/>
          <w:numId w:val="14"/>
        </w:numPr>
        <w:rPr>
          <w:rFonts w:ascii="MS PGothic" w:cs="MS PGothic" w:eastAsia="MS PGothic" w:hAnsi="MS PGothic"/>
          <w:sz w:val="22"/>
          <w:szCs w:val="22"/>
          <w:color w:val="auto"/>
          <w:shd w:val="clear" w:color="auto" w:fill="00A1DE"/>
        </w:rPr>
      </w:pPr>
      <w:r>
        <w:rPr>
          <w:rFonts w:ascii="Arial" w:cs="Arial" w:eastAsia="Arial" w:hAnsi="Arial"/>
          <w:sz w:val="16"/>
          <w:szCs w:val="16"/>
          <w:b w:val="1"/>
          <w:bCs w:val="1"/>
          <w:color w:val="auto"/>
        </w:rPr>
        <w:t xml:space="preserve">Confidentiality Policy </w:t>
      </w:r>
      <w:r>
        <w:rPr>
          <w:rFonts w:ascii="Arial" w:cs="Arial" w:eastAsia="Arial" w:hAnsi="Arial"/>
          <w:sz w:val="15"/>
          <w:szCs w:val="15"/>
          <w:b w:val="1"/>
          <w:bCs w:val="1"/>
          <w:color w:val="auto"/>
        </w:rPr>
        <w:t>-</w:t>
      </w:r>
      <w:r>
        <w:rPr>
          <w:rFonts w:ascii="Arial" w:cs="Arial" w:eastAsia="Arial" w:hAnsi="Arial"/>
          <w:sz w:val="16"/>
          <w:szCs w:val="16"/>
          <w:b w:val="1"/>
          <w:bCs w:val="1"/>
          <w:color w:val="auto"/>
        </w:rPr>
        <w:t xml:space="preserve"> </w:t>
      </w:r>
      <w:r>
        <w:rPr>
          <w:rFonts w:ascii="Arial" w:cs="Arial" w:eastAsia="Arial" w:hAnsi="Arial"/>
          <w:sz w:val="15"/>
          <w:szCs w:val="15"/>
          <w:color w:val="auto"/>
        </w:rPr>
        <w:t>The board has adopted a Confidentiality Policy, applicable to all members of</w:t>
      </w:r>
      <w:r>
        <w:rPr>
          <w:rFonts w:ascii="Arial" w:cs="Arial" w:eastAsia="Arial" w:hAnsi="Arial"/>
          <w:sz w:val="16"/>
          <w:szCs w:val="16"/>
          <w:b w:val="1"/>
          <w:bCs w:val="1"/>
          <w:color w:val="auto"/>
        </w:rPr>
        <w:t xml:space="preserve"> </w:t>
      </w:r>
      <w:r>
        <w:rPr>
          <w:rFonts w:ascii="Arial" w:cs="Arial" w:eastAsia="Arial" w:hAnsi="Arial"/>
          <w:sz w:val="15"/>
          <w:szCs w:val="15"/>
          <w:color w:val="auto"/>
        </w:rPr>
        <w:t>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at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color w:val="D52B1E"/>
        </w:rPr>
        <w:t>lilly.com/leadership/governance</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861" w:right="419" w:bottom="1440" w:gutter="0" w:footer="0" w:header="0"/>
        </w:sectPr>
      </w:pPr>
    </w:p>
    <w:bookmarkStart w:id="15" w:name="page16"/>
    <w:bookmarkEnd w:id="15"/>
    <w:p>
      <w:pPr>
        <w:spacing w:after="0"/>
        <w:rPr>
          <w:sz w:val="20"/>
          <w:szCs w:val="20"/>
          <w:color w:val="auto"/>
        </w:rPr>
      </w:pPr>
      <w:r>
        <w:rPr>
          <w:rFonts w:ascii="Arial" w:cs="Arial" w:eastAsia="Arial" w:hAnsi="Arial"/>
          <w:sz w:val="19"/>
          <w:szCs w:val="19"/>
          <w:b w:val="1"/>
          <w:bCs w:val="1"/>
          <w:color w:val="auto"/>
        </w:rPr>
        <w:t>Director Skills:</w:t>
      </w:r>
    </w:p>
    <w:p>
      <w:pPr>
        <w:spacing w:after="0" w:line="15" w:lineRule="exact"/>
        <w:rPr>
          <w:sz w:val="20"/>
          <w:szCs w:val="20"/>
          <w:color w:val="auto"/>
        </w:rPr>
      </w:pPr>
    </w:p>
    <w:p>
      <w:pPr>
        <w:jc w:val="both"/>
        <w:ind w:right="360"/>
        <w:spacing w:after="0" w:line="248" w:lineRule="auto"/>
        <w:rPr>
          <w:sz w:val="20"/>
          <w:szCs w:val="20"/>
          <w:color w:val="auto"/>
        </w:rPr>
      </w:pPr>
      <w:r>
        <w:rPr>
          <w:rFonts w:ascii="Arial" w:cs="Arial" w:eastAsia="Arial" w:hAnsi="Arial"/>
          <w:sz w:val="16"/>
          <w:szCs w:val="16"/>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4984750" cy="5170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84750" cy="517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Experience:</w:t>
      </w:r>
    </w:p>
    <w:p>
      <w:pPr>
        <w:spacing w:after="0" w:line="15" w:lineRule="exact"/>
        <w:rPr>
          <w:sz w:val="20"/>
          <w:szCs w:val="20"/>
          <w:color w:val="auto"/>
        </w:rPr>
      </w:pPr>
    </w:p>
    <w:p>
      <w:pPr>
        <w:jc w:val="both"/>
        <w:ind w:right="700"/>
        <w:spacing w:after="0" w:line="248" w:lineRule="auto"/>
        <w:rPr>
          <w:sz w:val="20"/>
          <w:szCs w:val="20"/>
          <w:color w:val="auto"/>
        </w:rPr>
      </w:pPr>
      <w:r>
        <w:rPr>
          <w:rFonts w:ascii="Arial" w:cs="Arial" w:eastAsia="Arial" w:hAnsi="Arial"/>
          <w:sz w:val="16"/>
          <w:szCs w:val="16"/>
          <w:color w:val="auto"/>
        </w:rPr>
        <w:t>Set forth below is information, as of February 21, 2023, regarding our directors and director nominees. We have provided the most relevant experiences, qualifications, attributes, and skills that led to the conclusion that each director or director nominee should serve as a director in light of our business and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969" w:right="39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6"/>
          <w:szCs w:val="16"/>
          <w:color w:val="auto"/>
        </w:rPr>
        <w:t>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Under our articles of incorporation, the board is divided into three classes with approximately one-third of the directors standing for election each year.</w:t>
      </w:r>
    </w:p>
    <w:p>
      <w:pPr>
        <w:sectPr>
          <w:pgSz w:w="11900" w:h="16838" w:orient="portrait"/>
          <w:cols w:equalWidth="0" w:num="1">
            <w:col w:w="11100"/>
          </w:cols>
          <w:pgMar w:left="320" w:top="872" w:right="47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Class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1134745" cy="1134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47" w:lineRule="auto"/>
        <w:rPr>
          <w:sz w:val="20"/>
          <w:szCs w:val="20"/>
          <w:color w:val="auto"/>
        </w:rPr>
      </w:pPr>
      <w:r>
        <w:rPr>
          <w:rFonts w:ascii="Arial" w:cs="Arial" w:eastAsia="Arial" w:hAnsi="Arial"/>
          <w:sz w:val="19"/>
          <w:szCs w:val="19"/>
          <w:b w:val="1"/>
          <w:bCs w:val="1"/>
          <w:color w:val="EF3729"/>
        </w:rPr>
        <w:t>William G. Kaelin,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2388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61" w:lineRule="exact"/>
        <w:rPr>
          <w:sz w:val="20"/>
          <w:szCs w:val="20"/>
          <w:color w:val="auto"/>
        </w:rPr>
      </w:pPr>
    </w:p>
    <w:p>
      <w:pPr>
        <w:ind w:left="280" w:right="120" w:hanging="140"/>
        <w:spacing w:after="0" w:line="279" w:lineRule="auto"/>
        <w:rPr>
          <w:sz w:val="20"/>
          <w:szCs w:val="20"/>
          <w:color w:val="auto"/>
        </w:rPr>
      </w:pPr>
      <w:r>
        <w:rPr>
          <w:rFonts w:ascii="Arial" w:cs="Arial" w:eastAsia="Arial" w:hAnsi="Arial"/>
          <w:sz w:val="14"/>
          <w:szCs w:val="14"/>
          <w:color w:val="auto"/>
        </w:rPr>
        <w:t>– Directors and Corporate Governance</w:t>
      </w:r>
    </w:p>
    <w:p>
      <w:pPr>
        <w:spacing w:after="0" w:line="11" w:lineRule="exact"/>
        <w:rPr>
          <w:sz w:val="20"/>
          <w:szCs w:val="20"/>
          <w:color w:val="auto"/>
        </w:rPr>
      </w:pPr>
    </w:p>
    <w:p>
      <w:pPr>
        <w:ind w:left="280" w:right="100" w:hanging="140"/>
        <w:spacing w:after="0" w:line="278" w:lineRule="auto"/>
        <w:rPr>
          <w:sz w:val="20"/>
          <w:szCs w:val="20"/>
          <w:color w:val="auto"/>
        </w:rPr>
      </w:pPr>
      <w:r>
        <w:rPr>
          <w:rFonts w:ascii="Arial" w:cs="Arial" w:eastAsia="Arial" w:hAnsi="Arial"/>
          <w:sz w:val="14"/>
          <w:szCs w:val="14"/>
          <w:color w:val="auto"/>
        </w:rPr>
        <w:t>– Science and Technology (Chair)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519430" cy="259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9430" cy="259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-114300</wp:posOffset>
            </wp:positionV>
            <wp:extent cx="3686810" cy="2180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6810" cy="2180590"/>
                    </a:xfrm>
                    <a:prstGeom prst="rect">
                      <a:avLst/>
                    </a:prstGeom>
                    <a:noFill/>
                  </pic:spPr>
                </pic:pic>
              </a:graphicData>
            </a:graphic>
          </wp:anchor>
        </w:drawing>
      </w:r>
    </w:p>
    <w:p>
      <w:pPr>
        <w:spacing w:after="0" w:line="11" w:lineRule="exact"/>
        <w:rPr>
          <w:sz w:val="20"/>
          <w:szCs w:val="20"/>
          <w:color w:val="auto"/>
        </w:rPr>
      </w:pPr>
    </w:p>
    <w:p>
      <w:pPr>
        <w:ind w:right="3260"/>
        <w:spacing w:after="0" w:line="256" w:lineRule="auto"/>
        <w:rPr>
          <w:sz w:val="20"/>
          <w:szCs w:val="20"/>
          <w:color w:val="auto"/>
        </w:rPr>
      </w:pPr>
      <w:r>
        <w:rPr>
          <w:rFonts w:ascii="Arial" w:cs="Arial" w:eastAsia="Arial" w:hAnsi="Arial"/>
          <w:sz w:val="14"/>
          <w:szCs w:val="14"/>
          <w:i w:val="1"/>
          <w:iCs w:val="1"/>
          <w:color w:val="auto"/>
        </w:rPr>
        <w:t>Dr. Kaelin is a world-renowned Nobel Laureate, scientist, academician, and physician who provides valuable leadership to the board’s oversight of Lilly’s discovery and development programs. His groundbreaking research and discovery talents provide an important resource to management, including in his role as the Chair of the board’s Science and Technology Committee.</w:t>
      </w:r>
    </w:p>
    <w:p>
      <w:pPr>
        <w:spacing w:after="0" w:line="27" w:lineRule="exact"/>
        <w:rPr>
          <w:sz w:val="20"/>
          <w:szCs w:val="20"/>
          <w:color w:val="auto"/>
        </w:rPr>
      </w:pPr>
    </w:p>
    <w:p>
      <w:pPr>
        <w:ind w:left="560" w:right="3300" w:hanging="276"/>
        <w:spacing w:after="0" w:line="290" w:lineRule="auto"/>
        <w:tabs>
          <w:tab w:leader="none" w:pos="5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With decades of preeminent medical research experience, particularly within oncology, Dr. Kaelin offers a valuable perspective to the board and management in pharmaceutical research and discovery in key therapeutic areas.</w:t>
      </w:r>
    </w:p>
    <w:p>
      <w:pPr>
        <w:spacing w:after="0" w:line="7" w:lineRule="exact"/>
        <w:rPr>
          <w:rFonts w:ascii="Arial" w:cs="Arial" w:eastAsia="Arial" w:hAnsi="Arial"/>
          <w:sz w:val="13"/>
          <w:szCs w:val="13"/>
          <w:color w:val="auto"/>
        </w:rPr>
      </w:pPr>
    </w:p>
    <w:p>
      <w:pPr>
        <w:jc w:val="both"/>
        <w:ind w:left="560" w:right="3700" w:hanging="276"/>
        <w:spacing w:after="0" w:line="279" w:lineRule="auto"/>
        <w:tabs>
          <w:tab w:leader="none" w:pos="551"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Kaelin has extensive experience as a professor and mentor to medical professionals who are key constituents for Lilly’s business and workforce.</w:t>
      </w:r>
    </w:p>
    <w:p>
      <w:pPr>
        <w:spacing w:after="0" w:line="11" w:lineRule="exact"/>
        <w:rPr>
          <w:rFonts w:ascii="Arial" w:cs="Arial" w:eastAsia="Arial" w:hAnsi="Arial"/>
          <w:sz w:val="14"/>
          <w:szCs w:val="14"/>
          <w:color w:val="auto"/>
        </w:rPr>
      </w:pPr>
    </w:p>
    <w:p>
      <w:pPr>
        <w:jc w:val="both"/>
        <w:ind w:left="560" w:right="3500" w:hanging="276"/>
        <w:spacing w:after="0" w:line="261" w:lineRule="auto"/>
        <w:tabs>
          <w:tab w:leader="none" w:pos="551"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an investigator at Howard Hughes Medical Institute, Dr. Kaelin has a deep understanding of the challenges, perspectives, and opportunities for medical researchers.</w:t>
      </w:r>
    </w:p>
    <w:p>
      <w:pPr>
        <w:spacing w:after="0" w:line="23" w:lineRule="exact"/>
        <w:rPr>
          <w:rFonts w:ascii="Arial" w:cs="Arial" w:eastAsia="Arial" w:hAnsi="Arial"/>
          <w:sz w:val="14"/>
          <w:szCs w:val="14"/>
          <w:color w:val="auto"/>
        </w:rPr>
      </w:pPr>
    </w:p>
    <w:p>
      <w:pPr>
        <w:ind w:left="560" w:right="3560" w:hanging="276"/>
        <w:spacing w:after="0" w:line="278" w:lineRule="auto"/>
        <w:tabs>
          <w:tab w:leader="none" w:pos="551"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Kaelin also brings commercialization experience to the board through his work with venture capital funds and biotech companies.</w:t>
      </w:r>
    </w:p>
    <w:p>
      <w:pPr>
        <w:ind w:left="560" w:right="3800" w:hanging="276"/>
        <w:spacing w:after="0" w:line="296" w:lineRule="auto"/>
        <w:tabs>
          <w:tab w:leader="none" w:pos="551"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Kaelin’s passion for improving the lives of patients drives his ongoing research and is core to Lilly’s mission.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73" w:lineRule="exact"/>
        <w:rPr>
          <w:sz w:val="20"/>
          <w:szCs w:val="20"/>
          <w:color w:val="auto"/>
        </w:rPr>
      </w:pPr>
    </w:p>
    <w:p>
      <w:pPr>
        <w:ind w:left="560" w:hanging="276"/>
        <w:spacing w:after="0"/>
        <w:tabs>
          <w:tab w:leader="none" w:pos="5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Harvard Medical School</w:t>
      </w:r>
    </w:p>
    <w:p>
      <w:pPr>
        <w:spacing w:after="0" w:line="54"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Sidney Farber Professor of Medicine (2018 - present)</w:t>
      </w:r>
    </w:p>
    <w:p>
      <w:pPr>
        <w:spacing w:after="0" w:line="49"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Professor of Medicine (2002 - 2018)</w:t>
      </w:r>
    </w:p>
    <w:p>
      <w:pPr>
        <w:spacing w:after="0" w:line="56" w:lineRule="exact"/>
        <w:rPr>
          <w:rFonts w:ascii="Arial" w:cs="Arial" w:eastAsia="Arial" w:hAnsi="Arial"/>
          <w:sz w:val="16"/>
          <w:szCs w:val="16"/>
          <w:b w:val="1"/>
          <w:bCs w:val="1"/>
          <w:color w:val="auto"/>
        </w:rPr>
      </w:pPr>
    </w:p>
    <w:p>
      <w:pPr>
        <w:ind w:left="560" w:hanging="276"/>
        <w:spacing w:after="0"/>
        <w:tabs>
          <w:tab w:leader="none" w:pos="5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Dana-Farber Cancer Institute and Brigham and Women’s Hospital</w:t>
      </w:r>
    </w:p>
    <w:p>
      <w:pPr>
        <w:spacing w:after="0" w:line="54"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Professor (2002 - present)</w:t>
      </w:r>
    </w:p>
    <w:p>
      <w:pPr>
        <w:spacing w:after="0" w:line="44" w:lineRule="exact"/>
        <w:rPr>
          <w:rFonts w:ascii="Arial" w:cs="Arial" w:eastAsia="Arial" w:hAnsi="Arial"/>
          <w:sz w:val="16"/>
          <w:szCs w:val="16"/>
          <w:b w:val="1"/>
          <w:bCs w:val="1"/>
          <w:color w:val="auto"/>
        </w:rPr>
      </w:pPr>
    </w:p>
    <w:p>
      <w:pPr>
        <w:ind w:left="560" w:hanging="276"/>
        <w:spacing w:after="0"/>
        <w:tabs>
          <w:tab w:leader="none" w:pos="5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Howard Hughes Medical Institute</w:t>
      </w:r>
    </w:p>
    <w:p>
      <w:pPr>
        <w:spacing w:after="0" w:line="54"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Investigator (2002 - present)</w:t>
      </w:r>
    </w:p>
    <w:p>
      <w:pPr>
        <w:spacing w:after="0" w:line="49"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Assistant Investigator (1998 - 2002)</w:t>
      </w:r>
    </w:p>
    <w:p>
      <w:pPr>
        <w:spacing w:after="0" w:line="185" w:lineRule="exact"/>
        <w:rPr>
          <w:sz w:val="20"/>
          <w:szCs w:val="20"/>
          <w:color w:val="auto"/>
        </w:rPr>
      </w:pPr>
    </w:p>
    <w:p>
      <w:pPr>
        <w:sectPr>
          <w:pgSz w:w="11900" w:h="16838" w:orient="portrait"/>
          <w:cols w:equalWidth="0" w:num="2">
            <w:col w:w="1900" w:space="360"/>
            <w:col w:w="8840"/>
          </w:cols>
          <w:pgMar w:left="320" w:top="872" w:right="479" w:bottom="1440" w:gutter="0" w:footer="0" w:header="0"/>
          <w:type w:val="continuous"/>
        </w:sectPr>
      </w:pPr>
    </w:p>
    <w:p>
      <w:pPr>
        <w:ind w:left="2260"/>
        <w:spacing w:after="0"/>
        <w:rPr>
          <w:sz w:val="20"/>
          <w:szCs w:val="20"/>
          <w:color w:val="auto"/>
        </w:rPr>
      </w:pPr>
      <w:r>
        <w:rPr>
          <w:rFonts w:ascii="Arial" w:cs="Arial" w:eastAsia="Arial" w:hAnsi="Arial"/>
          <w:sz w:val="16"/>
          <w:szCs w:val="16"/>
          <w:b w:val="1"/>
          <w:bCs w:val="1"/>
          <w:color w:val="00A1DE"/>
        </w:rPr>
        <w:t>OTHER HIGHLIGHTS</w:t>
      </w:r>
    </w:p>
    <w:p>
      <w:pPr>
        <w:spacing w:after="0" w:line="77" w:lineRule="exact"/>
        <w:rPr>
          <w:sz w:val="20"/>
          <w:szCs w:val="20"/>
          <w:color w:val="auto"/>
        </w:rPr>
      </w:pPr>
    </w:p>
    <w:p>
      <w:pPr>
        <w:ind w:left="2820" w:hanging="276"/>
        <w:spacing w:after="0"/>
        <w:tabs>
          <w:tab w:leader="none" w:pos="2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Recipient of numerous prizes and honors, including:</w:t>
      </w:r>
    </w:p>
    <w:p>
      <w:pPr>
        <w:spacing w:after="0" w:line="49" w:lineRule="exact"/>
        <w:rPr>
          <w:rFonts w:ascii="Arial" w:cs="Arial" w:eastAsia="Arial" w:hAnsi="Arial"/>
          <w:sz w:val="14"/>
          <w:szCs w:val="14"/>
          <w:color w:val="auto"/>
        </w:rPr>
      </w:pPr>
    </w:p>
    <w:p>
      <w:pPr>
        <w:ind w:left="2820"/>
        <w:spacing w:after="0"/>
        <w:rPr>
          <w:rFonts w:ascii="Arial" w:cs="Arial" w:eastAsia="Arial" w:hAnsi="Arial"/>
          <w:sz w:val="14"/>
          <w:szCs w:val="14"/>
          <w:color w:val="auto"/>
        </w:rPr>
      </w:pPr>
      <w:r>
        <w:rPr>
          <w:rFonts w:ascii="Arial" w:cs="Arial" w:eastAsia="Arial" w:hAnsi="Arial"/>
          <w:sz w:val="14"/>
          <w:szCs w:val="14"/>
          <w:color w:val="auto"/>
        </w:rPr>
        <w:t>–   Nobel Prize in Physiology or Medicine</w:t>
      </w:r>
    </w:p>
    <w:p>
      <w:pPr>
        <w:spacing w:after="0" w:line="60" w:lineRule="exact"/>
        <w:rPr>
          <w:rFonts w:ascii="Arial" w:cs="Arial" w:eastAsia="Arial" w:hAnsi="Arial"/>
          <w:sz w:val="14"/>
          <w:szCs w:val="14"/>
          <w:color w:val="auto"/>
        </w:rPr>
      </w:pPr>
    </w:p>
    <w:p>
      <w:pPr>
        <w:ind w:left="2820"/>
        <w:spacing w:after="0"/>
        <w:rPr>
          <w:rFonts w:ascii="Arial" w:cs="Arial" w:eastAsia="Arial" w:hAnsi="Arial"/>
          <w:sz w:val="14"/>
          <w:szCs w:val="14"/>
          <w:color w:val="auto"/>
        </w:rPr>
      </w:pPr>
      <w:r>
        <w:rPr>
          <w:rFonts w:ascii="Arial" w:cs="Arial" w:eastAsia="Arial" w:hAnsi="Arial"/>
          <w:sz w:val="14"/>
          <w:szCs w:val="14"/>
          <w:color w:val="auto"/>
        </w:rPr>
        <w:t>–   Albert Lasker Basic Medical Research Award</w:t>
      </w:r>
    </w:p>
    <w:p>
      <w:pPr>
        <w:spacing w:after="0" w:line="49" w:lineRule="exact"/>
        <w:rPr>
          <w:rFonts w:ascii="Arial" w:cs="Arial" w:eastAsia="Arial" w:hAnsi="Arial"/>
          <w:sz w:val="14"/>
          <w:szCs w:val="14"/>
          <w:color w:val="auto"/>
        </w:rPr>
      </w:pPr>
    </w:p>
    <w:p>
      <w:pPr>
        <w:ind w:left="2820"/>
        <w:spacing w:after="0"/>
        <w:rPr>
          <w:rFonts w:ascii="Arial" w:cs="Arial" w:eastAsia="Arial" w:hAnsi="Arial"/>
          <w:sz w:val="14"/>
          <w:szCs w:val="14"/>
          <w:color w:val="auto"/>
        </w:rPr>
      </w:pPr>
      <w:r>
        <w:rPr>
          <w:rFonts w:ascii="Arial" w:cs="Arial" w:eastAsia="Arial" w:hAnsi="Arial"/>
          <w:sz w:val="14"/>
          <w:szCs w:val="14"/>
          <w:color w:val="auto"/>
        </w:rPr>
        <w:t>–   Canada Gairdner International Award</w:t>
      </w:r>
    </w:p>
    <w:p>
      <w:pPr>
        <w:spacing w:after="0" w:line="49" w:lineRule="exact"/>
        <w:rPr>
          <w:rFonts w:ascii="Arial" w:cs="Arial" w:eastAsia="Arial" w:hAnsi="Arial"/>
          <w:sz w:val="14"/>
          <w:szCs w:val="14"/>
          <w:color w:val="auto"/>
        </w:rPr>
      </w:pPr>
    </w:p>
    <w:p>
      <w:pPr>
        <w:ind w:left="2820"/>
        <w:spacing w:after="0"/>
        <w:rPr>
          <w:rFonts w:ascii="Arial" w:cs="Arial" w:eastAsia="Arial" w:hAnsi="Arial"/>
          <w:sz w:val="14"/>
          <w:szCs w:val="14"/>
          <w:color w:val="auto"/>
        </w:rPr>
      </w:pPr>
      <w:r>
        <w:rPr>
          <w:rFonts w:ascii="Arial" w:cs="Arial" w:eastAsia="Arial" w:hAnsi="Arial"/>
          <w:sz w:val="14"/>
          <w:szCs w:val="14"/>
          <w:color w:val="auto"/>
        </w:rPr>
        <w:t>–   Wiley Prize in Biomedical Sciences from the Rockefeller University</w:t>
      </w:r>
    </w:p>
    <w:p>
      <w:pPr>
        <w:spacing w:after="0" w:line="60" w:lineRule="exact"/>
        <w:rPr>
          <w:rFonts w:ascii="Arial" w:cs="Arial" w:eastAsia="Arial" w:hAnsi="Arial"/>
          <w:sz w:val="14"/>
          <w:szCs w:val="14"/>
          <w:color w:val="auto"/>
        </w:rPr>
      </w:pPr>
    </w:p>
    <w:p>
      <w:pPr>
        <w:ind w:left="3100" w:right="3440" w:hanging="280"/>
        <w:spacing w:after="0" w:line="279" w:lineRule="auto"/>
        <w:rPr>
          <w:rFonts w:ascii="Arial" w:cs="Arial" w:eastAsia="Arial" w:hAnsi="Arial"/>
          <w:sz w:val="14"/>
          <w:szCs w:val="14"/>
          <w:color w:val="auto"/>
        </w:rPr>
      </w:pPr>
      <w:r>
        <w:rPr>
          <w:rFonts w:ascii="Arial" w:cs="Arial" w:eastAsia="Arial" w:hAnsi="Arial"/>
          <w:sz w:val="14"/>
          <w:szCs w:val="14"/>
          <w:color w:val="auto"/>
        </w:rPr>
        <w:t>– Paul Marks Prize for Cancer Research from the Memorial Sloan Kettering Cancer Center</w:t>
      </w:r>
    </w:p>
    <w:p>
      <w:pPr>
        <w:spacing w:after="0" w:line="11" w:lineRule="exact"/>
        <w:rPr>
          <w:rFonts w:ascii="Arial" w:cs="Arial" w:eastAsia="Arial" w:hAnsi="Arial"/>
          <w:sz w:val="14"/>
          <w:szCs w:val="14"/>
          <w:color w:val="auto"/>
        </w:rPr>
      </w:pPr>
    </w:p>
    <w:p>
      <w:pPr>
        <w:ind w:left="2820" w:right="3260" w:hanging="276"/>
        <w:spacing w:after="0" w:line="261" w:lineRule="auto"/>
        <w:tabs>
          <w:tab w:leader="none" w:pos="2811"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National Academy of Medicine; National Academy of Sciences; American College of Physicians; Association of American Physicians; American Society of Clinical Investigation (ASCI);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453390</wp:posOffset>
            </wp:positionV>
            <wp:extent cx="185420" cy="185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453390</wp:posOffset>
            </wp:positionV>
            <wp:extent cx="185420" cy="185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453390</wp:posOffset>
            </wp:positionV>
            <wp:extent cx="185420" cy="185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453390</wp:posOffset>
            </wp:positionV>
            <wp:extent cx="185420" cy="185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453390</wp:posOffset>
            </wp:positionV>
            <wp:extent cx="185420" cy="185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400" w:type="dxa"/>
        <w:tblCellMar>
          <w:top w:w="0" w:type="dxa"/>
          <w:left w:w="0" w:type="dxa"/>
          <w:bottom w:w="0" w:type="dxa"/>
          <w:right w:w="0" w:type="dxa"/>
        </w:tblCellMar>
      </w:tblPr>
      <w:tr>
        <w:trPr>
          <w:trHeight w:val="140"/>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2"/>
                <w:szCs w:val="12"/>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00"/>
          </w:cols>
          <w:pgMar w:left="320" w:top="872" w:right="47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548640</wp:posOffset>
            </wp:positionV>
            <wp:extent cx="1134745" cy="11347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David A. Ricks</w:t>
      </w:r>
    </w:p>
    <w:p>
      <w:pPr>
        <w:spacing w:after="0"/>
        <w:rPr>
          <w:sz w:val="20"/>
          <w:szCs w:val="20"/>
          <w:color w:val="auto"/>
        </w:rPr>
      </w:pPr>
      <w:r>
        <w:rPr>
          <w:rFonts w:ascii="Arial" w:cs="Arial" w:eastAsia="Arial" w:hAnsi="Arial"/>
          <w:sz w:val="14"/>
          <w:szCs w:val="14"/>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123888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2017</w:t>
      </w:r>
    </w:p>
    <w:p>
      <w:pPr>
        <w:spacing w:after="0" w:line="61" w:lineRule="exact"/>
        <w:rPr>
          <w:sz w:val="20"/>
          <w:szCs w:val="20"/>
          <w:color w:val="auto"/>
        </w:rPr>
      </w:pPr>
    </w:p>
    <w:p>
      <w:pPr>
        <w:ind w:right="220"/>
        <w:spacing w:after="0" w:line="322" w:lineRule="auto"/>
        <w:rPr>
          <w:sz w:val="20"/>
          <w:szCs w:val="20"/>
          <w:color w:val="auto"/>
        </w:rPr>
      </w:pPr>
      <w:r>
        <w:rPr>
          <w:rFonts w:ascii="Arial" w:cs="Arial" w:eastAsia="Arial" w:hAnsi="Arial"/>
          <w:sz w:val="14"/>
          <w:szCs w:val="14"/>
          <w:b w:val="1"/>
          <w:bCs w:val="1"/>
          <w:color w:val="auto"/>
        </w:rPr>
        <w:t xml:space="preserve">Board Committees: </w:t>
      </w:r>
      <w:r>
        <w:rPr>
          <w:rFonts w:ascii="Arial" w:cs="Arial" w:eastAsia="Arial" w:hAnsi="Arial"/>
          <w:sz w:val="14"/>
          <w:szCs w:val="14"/>
          <w:color w:val="auto"/>
        </w:rPr>
        <w:t>None</w:t>
      </w:r>
      <w:r>
        <w:rPr>
          <w:rFonts w:ascii="Arial" w:cs="Arial" w:eastAsia="Arial" w:hAnsi="Arial"/>
          <w:sz w:val="14"/>
          <w:szCs w:val="14"/>
          <w:b w:val="1"/>
          <w:bCs w:val="1"/>
          <w:color w:val="auto"/>
        </w:rPr>
        <w:t xml:space="preserve"> Other Public Boards:</w:t>
      </w:r>
    </w:p>
    <w:p>
      <w:pPr>
        <w:ind w:left="140"/>
        <w:spacing w:after="0"/>
        <w:rPr>
          <w:sz w:val="20"/>
          <w:szCs w:val="20"/>
          <w:color w:val="auto"/>
        </w:rPr>
      </w:pPr>
      <w:r>
        <w:rPr>
          <w:rFonts w:ascii="Arial" w:cs="Arial" w:eastAsia="Arial" w:hAnsi="Arial"/>
          <w:sz w:val="14"/>
          <w:szCs w:val="14"/>
          <w:color w:val="auto"/>
        </w:rPr>
        <w:t>– Adobe Inc.</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Elanco Animal Health Inc.</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068070" cy="5861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68070" cy="58610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3978275</wp:posOffset>
            </wp:positionV>
            <wp:extent cx="185420" cy="185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-114300</wp:posOffset>
            </wp:positionV>
            <wp:extent cx="3686810" cy="2506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86810" cy="2506980"/>
                    </a:xfrm>
                    <a:prstGeom prst="rect">
                      <a:avLst/>
                    </a:prstGeom>
                    <a:noFill/>
                  </pic:spPr>
                </pic:pic>
              </a:graphicData>
            </a:graphic>
          </wp:anchor>
        </w:drawing>
      </w:r>
    </w:p>
    <w:p>
      <w:pPr>
        <w:spacing w:after="0" w:line="11" w:lineRule="exact"/>
        <w:rPr>
          <w:sz w:val="20"/>
          <w:szCs w:val="20"/>
          <w:color w:val="auto"/>
        </w:rPr>
      </w:pPr>
    </w:p>
    <w:p>
      <w:pPr>
        <w:ind w:right="2259"/>
        <w:spacing w:after="0" w:line="257" w:lineRule="auto"/>
        <w:rPr>
          <w:sz w:val="20"/>
          <w:szCs w:val="20"/>
          <w:color w:val="auto"/>
        </w:rPr>
      </w:pPr>
      <w:r>
        <w:rPr>
          <w:rFonts w:ascii="Arial" w:cs="Arial" w:eastAsia="Arial" w:hAnsi="Arial"/>
          <w:sz w:val="14"/>
          <w:szCs w:val="14"/>
          <w:i w:val="1"/>
          <w:iCs w:val="1"/>
          <w:color w:val="auto"/>
        </w:rPr>
        <w:t>Mr. Ricks has 25 years of experience at Lilly, leading and shaping large-scale operations across the world. He has overseen some of the most transformative growth in the company’s history; since assuming the role as CEO, Lilly has (i) experienced revenue growth of approximately 34%, (ii) experienced a five-year total shareholder return of 377%, and (iii) taken important steps to increase the affordability and accessibility of our products around the globe.</w:t>
      </w:r>
    </w:p>
    <w:p>
      <w:pPr>
        <w:spacing w:after="0" w:line="15" w:lineRule="exact"/>
        <w:rPr>
          <w:sz w:val="20"/>
          <w:szCs w:val="20"/>
          <w:color w:val="auto"/>
        </w:rPr>
      </w:pPr>
    </w:p>
    <w:p>
      <w:pPr>
        <w:ind w:left="560" w:right="2359" w:hanging="276"/>
        <w:spacing w:after="0" w:line="270" w:lineRule="auto"/>
        <w:tabs>
          <w:tab w:leader="none" w:pos="551"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Ricks embodies the “tone at the top” that strengthens the company’s culture, including through his commitment to compliance, talent development, and the expansion of our diverse workforce.</w:t>
      </w:r>
    </w:p>
    <w:p>
      <w:pPr>
        <w:spacing w:after="0" w:line="17" w:lineRule="exact"/>
        <w:rPr>
          <w:rFonts w:ascii="Arial" w:cs="Arial" w:eastAsia="Arial" w:hAnsi="Arial"/>
          <w:sz w:val="14"/>
          <w:szCs w:val="14"/>
          <w:color w:val="auto"/>
        </w:rPr>
      </w:pPr>
    </w:p>
    <w:p>
      <w:pPr>
        <w:ind w:left="560" w:right="2259" w:hanging="276"/>
        <w:spacing w:after="0" w:line="261" w:lineRule="auto"/>
        <w:tabs>
          <w:tab w:leader="none" w:pos="551"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Ricks has combined his company-specific and industry knowledge to grow, articulate and implement Lilly’s strategic plan, as reflected by the growth in revenue, robust pipeline, and progressive approach on leveraging technology into the business.</w:t>
      </w:r>
    </w:p>
    <w:p>
      <w:pPr>
        <w:spacing w:after="0" w:line="12" w:lineRule="exact"/>
        <w:rPr>
          <w:rFonts w:ascii="Arial" w:cs="Arial" w:eastAsia="Arial" w:hAnsi="Arial"/>
          <w:sz w:val="14"/>
          <w:szCs w:val="14"/>
          <w:color w:val="auto"/>
        </w:rPr>
      </w:pPr>
    </w:p>
    <w:p>
      <w:pPr>
        <w:ind w:left="560" w:right="2339" w:hanging="276"/>
        <w:spacing w:after="0" w:line="261" w:lineRule="auto"/>
        <w:tabs>
          <w:tab w:leader="none" w:pos="551"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the primary face for Lilly, Mr. Ricks is able to draw on his extensive interactions with various stakeholders to apprise the board of significant developments in our business and industry, as well as to communicate feedback to the board and offer insights.</w:t>
      </w:r>
    </w:p>
    <w:p>
      <w:pPr>
        <w:spacing w:after="0" w:line="23" w:lineRule="exact"/>
        <w:rPr>
          <w:rFonts w:ascii="Arial" w:cs="Arial" w:eastAsia="Arial" w:hAnsi="Arial"/>
          <w:sz w:val="14"/>
          <w:szCs w:val="14"/>
          <w:color w:val="auto"/>
        </w:rPr>
      </w:pPr>
    </w:p>
    <w:p>
      <w:pPr>
        <w:ind w:left="560" w:right="2379" w:hanging="276"/>
        <w:spacing w:after="0" w:line="261" w:lineRule="auto"/>
        <w:tabs>
          <w:tab w:leader="none" w:pos="551"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Ricks’ multi-faceted leadership approach is derived from his experience in marketing, sales, drug development, and international operations, as well as his significant experience in public policy.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31" w:lineRule="exact"/>
        <w:rPr>
          <w:sz w:val="20"/>
          <w:szCs w:val="20"/>
          <w:color w:val="auto"/>
        </w:rPr>
      </w:pPr>
    </w:p>
    <w:p>
      <w:pPr>
        <w:ind w:left="560" w:hanging="276"/>
        <w:spacing w:after="0"/>
        <w:tabs>
          <w:tab w:leader="none" w:pos="560" w:val="left"/>
        </w:tabs>
        <w:numPr>
          <w:ilvl w:val="0"/>
          <w:numId w:val="22"/>
        </w:numPr>
        <w:rPr>
          <w:rFonts w:ascii="Arial" w:cs="Arial" w:eastAsia="Arial" w:hAnsi="Arial"/>
          <w:sz w:val="14"/>
          <w:szCs w:val="14"/>
          <w:color w:val="auto"/>
        </w:rPr>
      </w:pPr>
      <w:r>
        <w:rPr>
          <w:rFonts w:ascii="Arial" w:cs="Arial" w:eastAsia="Arial" w:hAnsi="Arial"/>
          <w:sz w:val="16"/>
          <w:szCs w:val="16"/>
          <w:b w:val="1"/>
          <w:bCs w:val="1"/>
          <w:color w:val="auto"/>
        </w:rPr>
        <w:t>Eli Lilly and Company</w:t>
      </w:r>
    </w:p>
    <w:p>
      <w:pPr>
        <w:spacing w:after="0" w:line="3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 President, and Chief Executive Officer (2017 - present)</w:t>
      </w:r>
    </w:p>
    <w:p>
      <w:pPr>
        <w:spacing w:after="0" w:line="25"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Vice President and President, Lilly Bio-Medicines (2012 - 2016)</w:t>
      </w:r>
    </w:p>
    <w:p>
      <w:pPr>
        <w:spacing w:after="0" w:line="37"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Lilly USA (2009 - 2012)</w:t>
      </w:r>
    </w:p>
    <w:p>
      <w:pPr>
        <w:spacing w:after="0" w:line="37"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Served in various marketing, sales and international leadership roles (1996 -</w:t>
      </w:r>
    </w:p>
    <w:p>
      <w:pPr>
        <w:spacing w:after="0" w:line="25"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2009), including:</w:t>
      </w:r>
    </w:p>
    <w:p>
      <w:pPr>
        <w:spacing w:after="0" w:line="49" w:lineRule="exact"/>
        <w:rPr>
          <w:rFonts w:ascii="Arial" w:cs="Arial" w:eastAsia="Arial" w:hAnsi="Arial"/>
          <w:sz w:val="14"/>
          <w:szCs w:val="14"/>
          <w:color w:val="auto"/>
        </w:rPr>
      </w:pPr>
    </w:p>
    <w:p>
      <w:pPr>
        <w:ind w:left="1060" w:hanging="215"/>
        <w:spacing w:after="0"/>
        <w:tabs>
          <w:tab w:leader="none" w:pos="1060" w:val="left"/>
        </w:tabs>
        <w:numPr>
          <w:ilvl w:val="2"/>
          <w:numId w:val="22"/>
        </w:numPr>
        <w:rPr>
          <w:rFonts w:ascii="Arial" w:cs="Arial" w:eastAsia="Arial" w:hAnsi="Arial"/>
          <w:sz w:val="16"/>
          <w:szCs w:val="16"/>
          <w:color w:val="auto"/>
        </w:rPr>
      </w:pPr>
      <w:r>
        <w:rPr>
          <w:rFonts w:ascii="Arial" w:cs="Arial" w:eastAsia="Arial" w:hAnsi="Arial"/>
          <w:sz w:val="14"/>
          <w:szCs w:val="14"/>
          <w:color w:val="auto"/>
        </w:rPr>
        <w:t>As president and general manager of Lilly China</w:t>
      </w:r>
    </w:p>
    <w:p>
      <w:pPr>
        <w:spacing w:after="0" w:line="26" w:lineRule="exact"/>
        <w:rPr>
          <w:rFonts w:ascii="Arial" w:cs="Arial" w:eastAsia="Arial" w:hAnsi="Arial"/>
          <w:sz w:val="16"/>
          <w:szCs w:val="16"/>
          <w:color w:val="auto"/>
        </w:rPr>
      </w:pPr>
    </w:p>
    <w:p>
      <w:pPr>
        <w:ind w:left="1060" w:hanging="215"/>
        <w:spacing w:after="0"/>
        <w:tabs>
          <w:tab w:leader="none" w:pos="1060" w:val="left"/>
        </w:tabs>
        <w:numPr>
          <w:ilvl w:val="2"/>
          <w:numId w:val="22"/>
        </w:numPr>
        <w:rPr>
          <w:rFonts w:ascii="Arial" w:cs="Arial" w:eastAsia="Arial" w:hAnsi="Arial"/>
          <w:sz w:val="16"/>
          <w:szCs w:val="16"/>
          <w:color w:val="auto"/>
        </w:rPr>
      </w:pPr>
      <w:r>
        <w:rPr>
          <w:rFonts w:ascii="Arial" w:cs="Arial" w:eastAsia="Arial" w:hAnsi="Arial"/>
          <w:sz w:val="14"/>
          <w:szCs w:val="14"/>
          <w:color w:val="auto"/>
        </w:rPr>
        <w:t>As general manager of Lilly Canada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560" w:right="2779" w:hanging="276"/>
        <w:spacing w:after="0" w:line="257" w:lineRule="auto"/>
        <w:tabs>
          <w:tab w:leader="none" w:pos="552" w:val="left"/>
        </w:tabs>
        <w:numPr>
          <w:ilvl w:val="0"/>
          <w:numId w:val="23"/>
        </w:numPr>
        <w:rPr>
          <w:rFonts w:ascii="Cambria" w:cs="Cambria" w:eastAsia="Cambria" w:hAnsi="Cambria"/>
          <w:sz w:val="14"/>
          <w:szCs w:val="14"/>
          <w:b w:val="1"/>
          <w:bCs w:val="1"/>
          <w:color w:val="auto"/>
        </w:rPr>
      </w:pPr>
      <w:r>
        <w:rPr>
          <w:rFonts w:ascii="Arial" w:cs="Arial" w:eastAsia="Arial" w:hAnsi="Arial"/>
          <w:sz w:val="14"/>
          <w:szCs w:val="14"/>
          <w:color w:val="auto"/>
        </w:rPr>
        <w:t>International Federation of Pharmaceutical Manufacturers &amp; Associations (IFPMA), CEO Steering Committee</w:t>
      </w:r>
    </w:p>
    <w:p>
      <w:pPr>
        <w:ind w:left="560" w:right="2359" w:hanging="276"/>
        <w:spacing w:after="0" w:line="250" w:lineRule="auto"/>
        <w:tabs>
          <w:tab w:leader="none" w:pos="552" w:val="left"/>
        </w:tabs>
        <w:numPr>
          <w:ilvl w:val="0"/>
          <w:numId w:val="23"/>
        </w:numPr>
        <w:rPr>
          <w:rFonts w:ascii="Cambria" w:cs="Cambria" w:eastAsia="Cambria" w:hAnsi="Cambria"/>
          <w:sz w:val="14"/>
          <w:szCs w:val="14"/>
          <w:b w:val="1"/>
          <w:bCs w:val="1"/>
          <w:color w:val="auto"/>
        </w:rPr>
      </w:pPr>
      <w:r>
        <w:rPr>
          <w:rFonts w:ascii="Arial" w:cs="Arial" w:eastAsia="Arial" w:hAnsi="Arial"/>
          <w:sz w:val="14"/>
          <w:szCs w:val="14"/>
          <w:color w:val="auto"/>
        </w:rPr>
        <w:t>Pharmaceutical Research and Manufacturers of America (PhRMA), Board (Past Chair)</w:t>
      </w:r>
    </w:p>
    <w:p>
      <w:pPr>
        <w:ind w:left="560" w:hanging="276"/>
        <w:spacing w:after="0"/>
        <w:tabs>
          <w:tab w:leader="none" w:pos="560" w:val="left"/>
        </w:tabs>
        <w:numPr>
          <w:ilvl w:val="0"/>
          <w:numId w:val="23"/>
        </w:numPr>
        <w:rPr>
          <w:rFonts w:ascii="Cambria" w:cs="Cambria" w:eastAsia="Cambria" w:hAnsi="Cambria"/>
          <w:sz w:val="14"/>
          <w:szCs w:val="14"/>
          <w:b w:val="1"/>
          <w:bCs w:val="1"/>
          <w:color w:val="auto"/>
        </w:rPr>
      </w:pPr>
      <w:r>
        <w:rPr>
          <w:rFonts w:ascii="Arial" w:cs="Arial" w:eastAsia="Arial" w:hAnsi="Arial"/>
          <w:sz w:val="14"/>
          <w:szCs w:val="14"/>
          <w:color w:val="auto"/>
        </w:rPr>
        <w:t>U.S. Patent and Trademark Office, Council for Inclusive Innovation</w:t>
      </w:r>
    </w:p>
    <w:p>
      <w:pPr>
        <w:spacing w:after="0" w:line="3"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23"/>
        </w:numPr>
        <w:rPr>
          <w:rFonts w:ascii="Cambria" w:cs="Cambria" w:eastAsia="Cambria" w:hAnsi="Cambria"/>
          <w:sz w:val="14"/>
          <w:szCs w:val="14"/>
          <w:b w:val="1"/>
          <w:bCs w:val="1"/>
          <w:color w:val="auto"/>
        </w:rPr>
      </w:pPr>
      <w:r>
        <w:rPr>
          <w:rFonts w:ascii="Arial" w:cs="Arial" w:eastAsia="Arial" w:hAnsi="Arial"/>
          <w:sz w:val="14"/>
          <w:szCs w:val="14"/>
          <w:color w:val="auto"/>
        </w:rPr>
        <w:t>Riley Children's Foundation</w:t>
      </w:r>
    </w:p>
    <w:p>
      <w:pPr>
        <w:ind w:left="560" w:hanging="276"/>
        <w:spacing w:after="0"/>
        <w:tabs>
          <w:tab w:leader="none" w:pos="560" w:val="left"/>
        </w:tabs>
        <w:numPr>
          <w:ilvl w:val="0"/>
          <w:numId w:val="23"/>
        </w:numPr>
        <w:rPr>
          <w:rFonts w:ascii="Cambria" w:cs="Cambria" w:eastAsia="Cambria" w:hAnsi="Cambria"/>
          <w:sz w:val="14"/>
          <w:szCs w:val="14"/>
          <w:b w:val="1"/>
          <w:bCs w:val="1"/>
          <w:color w:val="auto"/>
        </w:rPr>
      </w:pPr>
      <w:r>
        <w:rPr>
          <w:rFonts w:ascii="Arial" w:cs="Arial" w:eastAsia="Arial" w:hAnsi="Arial"/>
          <w:sz w:val="14"/>
          <w:szCs w:val="14"/>
          <w:color w:val="auto"/>
        </w:rPr>
        <w:t>Central Indiana Corporate Partnership,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1882775</wp:posOffset>
            </wp:positionV>
            <wp:extent cx="185420" cy="185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1882775</wp:posOffset>
            </wp:positionV>
            <wp:extent cx="185420" cy="185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1882775</wp:posOffset>
            </wp:positionV>
            <wp:extent cx="185420" cy="185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1882775</wp:posOffset>
            </wp:positionV>
            <wp:extent cx="185420" cy="185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360"/>
            <w:col w:w="7879"/>
          </w:cols>
          <w:pgMar w:left="320" w:top="8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400" w:type="dxa"/>
        <w:tblCellMar>
          <w:top w:w="0" w:type="dxa"/>
          <w:left w:w="0" w:type="dxa"/>
          <w:bottom w:w="0" w:type="dxa"/>
          <w:right w:w="0" w:type="dxa"/>
        </w:tblCellMar>
      </w:tblPr>
      <w:tr>
        <w:trPr>
          <w:trHeight w:val="140"/>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2"/>
                <w:szCs w:val="12"/>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489585</wp:posOffset>
            </wp:positionV>
            <wp:extent cx="1134745" cy="1134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b w:val="1"/>
          <w:bCs w:val="1"/>
          <w:color w:val="EF3729"/>
        </w:rPr>
        <w:t>Marschall S. Runge,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12388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2013</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Ethics and Compliance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Science and Technology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801370" cy="267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1370" cy="267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2462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86810" cy="2462530"/>
                    </a:xfrm>
                    <a:prstGeom prst="rect">
                      <a:avLst/>
                    </a:prstGeom>
                    <a:noFill/>
                  </pic:spPr>
                </pic:pic>
              </a:graphicData>
            </a:graphic>
          </wp:anchor>
        </w:drawing>
      </w:r>
    </w:p>
    <w:p>
      <w:pPr>
        <w:spacing w:after="0" w:line="22" w:lineRule="exact"/>
        <w:rPr>
          <w:sz w:val="20"/>
          <w:szCs w:val="20"/>
          <w:color w:val="auto"/>
        </w:rPr>
      </w:pPr>
    </w:p>
    <w:p>
      <w:pPr>
        <w:ind w:right="2359"/>
        <w:spacing w:after="0" w:line="260" w:lineRule="auto"/>
        <w:rPr>
          <w:sz w:val="20"/>
          <w:szCs w:val="20"/>
          <w:color w:val="auto"/>
        </w:rPr>
      </w:pPr>
      <w:r>
        <w:rPr>
          <w:rFonts w:ascii="Arial" w:cs="Arial" w:eastAsia="Arial" w:hAnsi="Arial"/>
          <w:sz w:val="14"/>
          <w:szCs w:val="14"/>
          <w:i w:val="1"/>
          <w:iCs w:val="1"/>
          <w:color w:val="auto"/>
        </w:rPr>
        <w:t>Dr. Runge’s extensive experience as a physician and scientist contributes a unique depth of understanding to the board’s risk oversight and advice on scientific matters involving Lilly’s discovery and development programs, including a strong understanding of healthcare facility systems, biomedical research and training, innovation, clinical trial design and patient safety.</w:t>
      </w:r>
    </w:p>
    <w:p>
      <w:pPr>
        <w:spacing w:after="0" w:line="14" w:lineRule="exact"/>
        <w:rPr>
          <w:sz w:val="20"/>
          <w:szCs w:val="20"/>
          <w:color w:val="auto"/>
        </w:rPr>
      </w:pPr>
    </w:p>
    <w:p>
      <w:pPr>
        <w:ind w:left="560" w:right="2319" w:hanging="278"/>
        <w:spacing w:after="0" w:line="281" w:lineRule="auto"/>
        <w:tabs>
          <w:tab w:leader="none" w:pos="55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CEO of one of the largest hospitals in Michigan that is committed to high-quality care to under-resourced communities and is also a premier academic medical center, Dr. Runge brings to the board first-hand knowledge of healthcare services delivery, including hospital procurement and in-patient experiences with pharmaceuticals. Dr. Runge is committed to providing high-quality, low-cost healthcare for the underserved populations – locally and across the state.</w:t>
      </w:r>
    </w:p>
    <w:p>
      <w:pPr>
        <w:spacing w:after="0" w:line="1" w:lineRule="exact"/>
        <w:rPr>
          <w:rFonts w:ascii="Arial" w:cs="Arial" w:eastAsia="Arial" w:hAnsi="Arial"/>
          <w:sz w:val="13"/>
          <w:szCs w:val="13"/>
          <w:color w:val="auto"/>
        </w:rPr>
      </w:pPr>
    </w:p>
    <w:p>
      <w:pPr>
        <w:ind w:left="560" w:right="2359" w:hanging="278"/>
        <w:spacing w:after="0" w:line="270" w:lineRule="auto"/>
        <w:tabs>
          <w:tab w:leader="none" w:pos="551"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over three decades of academic experience across the United States, Dr. Runge provides a distinctive perspective on how future healthcare professionals are trained.</w:t>
      </w:r>
    </w:p>
    <w:p>
      <w:pPr>
        <w:spacing w:after="0" w:line="5" w:lineRule="exact"/>
        <w:rPr>
          <w:rFonts w:ascii="Arial" w:cs="Arial" w:eastAsia="Arial" w:hAnsi="Arial"/>
          <w:sz w:val="14"/>
          <w:szCs w:val="14"/>
          <w:color w:val="auto"/>
        </w:rPr>
      </w:pPr>
    </w:p>
    <w:p>
      <w:pPr>
        <w:ind w:left="560" w:right="2459" w:hanging="278"/>
        <w:spacing w:after="0" w:line="267" w:lineRule="auto"/>
        <w:tabs>
          <w:tab w:leader="none" w:pos="551"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Runge’s service as a principal investigator and director of an institution that was part of a national consortium to improve the way biomedical research is conducted across the country, as well as his own research efforts, provide valuable insights into the medical research process.</w:t>
      </w:r>
    </w:p>
    <w:p>
      <w:pPr>
        <w:spacing w:after="0" w:line="7" w:lineRule="exact"/>
        <w:rPr>
          <w:rFonts w:ascii="Arial" w:cs="Arial" w:eastAsia="Arial" w:hAnsi="Arial"/>
          <w:sz w:val="14"/>
          <w:szCs w:val="14"/>
          <w:color w:val="auto"/>
        </w:rPr>
      </w:pPr>
    </w:p>
    <w:p>
      <w:pPr>
        <w:ind w:left="560" w:right="2339" w:hanging="278"/>
        <w:spacing w:after="0" w:line="279" w:lineRule="auto"/>
        <w:tabs>
          <w:tab w:leader="none" w:pos="551"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Runge’s practical experience obtained at some of nation’s renowned medical institutions offers a valuable perspective on diabetes and obesity treatment.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61" w:lineRule="exact"/>
        <w:rPr>
          <w:sz w:val="20"/>
          <w:szCs w:val="20"/>
          <w:color w:val="auto"/>
        </w:rPr>
      </w:pPr>
    </w:p>
    <w:p>
      <w:pPr>
        <w:ind w:left="560" w:hanging="276"/>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6"/>
          <w:szCs w:val="16"/>
          <w:b w:val="1"/>
          <w:bCs w:val="1"/>
          <w:color w:val="auto"/>
        </w:rPr>
        <w:t>University of Michigan</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CEO, Michigan Medicine (2015 - present)</w:t>
      </w:r>
    </w:p>
    <w:p>
      <w:pPr>
        <w:spacing w:after="0" w:line="25"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Vice President for Medical Affairs (2015 - present)</w:t>
      </w:r>
    </w:p>
    <w:p>
      <w:pPr>
        <w:spacing w:after="0" w:line="37"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Dean, Medical School (2015 - present)</w:t>
      </w:r>
    </w:p>
    <w:p>
      <w:pPr>
        <w:spacing w:after="0" w:line="56" w:lineRule="exact"/>
        <w:rPr>
          <w:rFonts w:ascii="Arial" w:cs="Arial" w:eastAsia="Arial" w:hAnsi="Arial"/>
          <w:sz w:val="14"/>
          <w:szCs w:val="14"/>
          <w:color w:val="auto"/>
        </w:rPr>
      </w:pPr>
    </w:p>
    <w:p>
      <w:pPr>
        <w:ind w:left="560" w:hanging="276"/>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6"/>
          <w:szCs w:val="16"/>
          <w:b w:val="1"/>
          <w:bCs w:val="1"/>
          <w:color w:val="auto"/>
        </w:rPr>
        <w:t>University of North Carolina School of Medicine</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Dean (2010 - 2015)</w:t>
      </w:r>
    </w:p>
    <w:p>
      <w:pPr>
        <w:spacing w:after="0" w:line="37"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 of the Department of Medicine (2000 - 2015)</w:t>
      </w:r>
    </w:p>
    <w:p>
      <w:pPr>
        <w:spacing w:after="0" w:line="16" w:lineRule="exact"/>
        <w:rPr>
          <w:rFonts w:ascii="Arial" w:cs="Arial" w:eastAsia="Arial" w:hAnsi="Arial"/>
          <w:sz w:val="14"/>
          <w:szCs w:val="14"/>
          <w:color w:val="auto"/>
        </w:rPr>
      </w:pPr>
    </w:p>
    <w:p>
      <w:pPr>
        <w:ind w:left="840" w:right="2499" w:hanging="280"/>
        <w:spacing w:after="0" w:line="231"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Principal Investigator and Director of the North Carolina Translational and</w:t>
      </w:r>
      <w:r>
        <w:rPr>
          <w:rFonts w:ascii="Arial" w:cs="Arial" w:eastAsia="Arial" w:hAnsi="Arial"/>
          <w:sz w:val="12"/>
          <w:szCs w:val="12"/>
          <w:color w:val="auto"/>
        </w:rPr>
        <w:t xml:space="preserve"> </w:t>
      </w:r>
      <w:r>
        <w:rPr>
          <w:rFonts w:ascii="Arial" w:cs="Arial" w:eastAsia="Arial" w:hAnsi="Arial"/>
          <w:sz w:val="14"/>
          <w:szCs w:val="14"/>
          <w:color w:val="auto"/>
        </w:rPr>
        <w:t>Clinical Sciences Institute (2010 - 2015)</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101" w:lineRule="exact"/>
        <w:rPr>
          <w:sz w:val="20"/>
          <w:szCs w:val="20"/>
          <w:color w:val="auto"/>
        </w:rPr>
      </w:pPr>
    </w:p>
    <w:p>
      <w:pPr>
        <w:ind w:left="560" w:hanging="276"/>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Vice Chair, the University of Michigan Health Board</w:t>
      </w:r>
    </w:p>
    <w:p>
      <w:pPr>
        <w:spacing w:after="0" w:line="49" w:lineRule="exact"/>
        <w:rPr>
          <w:rFonts w:ascii="Arial" w:cs="Arial" w:eastAsia="Arial" w:hAnsi="Arial"/>
          <w:sz w:val="14"/>
          <w:szCs w:val="14"/>
          <w:color w:val="auto"/>
        </w:rPr>
      </w:pPr>
    </w:p>
    <w:p>
      <w:pPr>
        <w:ind w:left="560" w:right="2759" w:hanging="276"/>
        <w:spacing w:after="0" w:line="287" w:lineRule="auto"/>
        <w:tabs>
          <w:tab w:leader="none" w:pos="551"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Chair, the Michigan Health Corp. Board (the governing board for business partnerships)</w:t>
      </w:r>
    </w:p>
    <w:p>
      <w:pPr>
        <w:ind w:left="560" w:right="2799" w:hanging="276"/>
        <w:spacing w:after="0" w:line="287" w:lineRule="auto"/>
        <w:tabs>
          <w:tab w:leader="none" w:pos="551"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Member, American Association of Medical Colleges, American College of Cardiology, and American Medical Association</w:t>
      </w:r>
    </w:p>
    <w:p>
      <w:pPr>
        <w:ind w:left="560" w:right="2599" w:hanging="276"/>
        <w:spacing w:after="0" w:line="279" w:lineRule="auto"/>
        <w:tabs>
          <w:tab w:leader="none" w:pos="551"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Cardiology Fellow and Faculty Member at Harvard’s Massachusetts General Hospital</w:t>
      </w:r>
    </w:p>
    <w:p>
      <w:pPr>
        <w:spacing w:after="0" w:line="11" w:lineRule="exact"/>
        <w:rPr>
          <w:rFonts w:ascii="Arial" w:cs="Arial" w:eastAsia="Arial" w:hAnsi="Arial"/>
          <w:sz w:val="14"/>
          <w:szCs w:val="14"/>
          <w:color w:val="auto"/>
        </w:rPr>
      </w:pPr>
    </w:p>
    <w:p>
      <w:pPr>
        <w:ind w:left="560" w:hanging="276"/>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Associate Professor of Medicine at Emory University</w:t>
      </w:r>
    </w:p>
    <w:p>
      <w:pPr>
        <w:spacing w:after="0" w:line="49" w:lineRule="exact"/>
        <w:rPr>
          <w:rFonts w:ascii="Arial" w:cs="Arial" w:eastAsia="Arial" w:hAnsi="Arial"/>
          <w:sz w:val="14"/>
          <w:szCs w:val="14"/>
          <w:color w:val="auto"/>
        </w:rPr>
      </w:pPr>
    </w:p>
    <w:p>
      <w:pPr>
        <w:ind w:left="560" w:hanging="276"/>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John Sealy Distinguished Centennial Chair in Internal Medicine and Director of</w:t>
      </w:r>
    </w:p>
    <w:p>
      <w:pPr>
        <w:spacing w:after="0" w:line="24" w:lineRule="exact"/>
        <w:rPr>
          <w:sz w:val="20"/>
          <w:szCs w:val="20"/>
          <w:color w:val="auto"/>
        </w:rPr>
      </w:pPr>
    </w:p>
    <w:p>
      <w:pPr>
        <w:sectPr>
          <w:pgSz w:w="11900" w:h="16838" w:orient="portrait"/>
          <w:cols w:equalWidth="0" w:num="2">
            <w:col w:w="1880" w:space="380"/>
            <w:col w:w="7879"/>
          </w:cols>
          <w:pgMar w:left="320" w:top="732" w:right="1440" w:bottom="1440" w:gutter="0" w:footer="0" w:header="0"/>
        </w:sectPr>
      </w:pPr>
    </w:p>
    <w:p>
      <w:pPr>
        <w:ind w:left="2820"/>
        <w:spacing w:after="0"/>
        <w:rPr>
          <w:sz w:val="20"/>
          <w:szCs w:val="20"/>
          <w:color w:val="auto"/>
        </w:rPr>
      </w:pPr>
      <w:r>
        <w:rPr>
          <w:rFonts w:ascii="Arial" w:cs="Arial" w:eastAsia="Arial" w:hAnsi="Arial"/>
          <w:sz w:val="14"/>
          <w:szCs w:val="14"/>
          <w:color w:val="auto"/>
        </w:rPr>
        <w:t>the Division of Cardiology and the Sealy Center for Molecular Cardiology at the</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University of Texas Medical Branch at Galveston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1046480</wp:posOffset>
            </wp:positionV>
            <wp:extent cx="185420" cy="185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1046480</wp:posOffset>
            </wp:positionV>
            <wp:extent cx="185420" cy="185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1046480</wp:posOffset>
            </wp:positionV>
            <wp:extent cx="185420" cy="185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1046480</wp:posOffset>
            </wp:positionV>
            <wp:extent cx="185420" cy="185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1046480</wp:posOffset>
            </wp:positionV>
            <wp:extent cx="185420" cy="185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548640</wp:posOffset>
            </wp:positionV>
            <wp:extent cx="1134745" cy="1134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Karen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2388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2018</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Audit</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Talent and Compensation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Sprout Social, Inc.</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None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068070" cy="267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68070" cy="26733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3829685</wp:posOffset>
            </wp:positionV>
            <wp:extent cx="185420" cy="185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20104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86810" cy="2010410"/>
                    </a:xfrm>
                    <a:prstGeom prst="rect">
                      <a:avLst/>
                    </a:prstGeom>
                    <a:noFill/>
                  </pic:spPr>
                </pic:pic>
              </a:graphicData>
            </a:graphic>
          </wp:anchor>
        </w:drawing>
      </w:r>
    </w:p>
    <w:p>
      <w:pPr>
        <w:spacing w:after="0" w:line="22" w:lineRule="exact"/>
        <w:rPr>
          <w:sz w:val="20"/>
          <w:szCs w:val="20"/>
          <w:color w:val="auto"/>
        </w:rPr>
      </w:pPr>
    </w:p>
    <w:p>
      <w:pPr>
        <w:ind w:right="2279"/>
        <w:spacing w:after="0" w:line="260" w:lineRule="auto"/>
        <w:rPr>
          <w:sz w:val="20"/>
          <w:szCs w:val="20"/>
          <w:color w:val="auto"/>
        </w:rPr>
      </w:pPr>
      <w:r>
        <w:rPr>
          <w:rFonts w:ascii="Arial" w:cs="Arial" w:eastAsia="Arial" w:hAnsi="Arial"/>
          <w:sz w:val="14"/>
          <w:szCs w:val="14"/>
          <w:i w:val="1"/>
          <w:iCs w:val="1"/>
          <w:color w:val="auto"/>
        </w:rPr>
        <w:t>Ms. Walker brings to the board extensive experience in building and strengthening brands, cultivating opportunities in new and existing markets, scaling organizations, and demonstrating accountability for results. She has an acute understanding of technology’s importance in organizational success.</w:t>
      </w:r>
    </w:p>
    <w:p>
      <w:pPr>
        <w:spacing w:after="0" w:line="25" w:lineRule="exact"/>
        <w:rPr>
          <w:sz w:val="20"/>
          <w:szCs w:val="20"/>
          <w:color w:val="auto"/>
        </w:rPr>
      </w:pPr>
    </w:p>
    <w:p>
      <w:pPr>
        <w:ind w:left="560" w:right="2559" w:hanging="278"/>
        <w:spacing w:after="0" w:line="261" w:lineRule="auto"/>
        <w:tabs>
          <w:tab w:leader="none" w:pos="5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Walker has spent more than three decades in the information technology industry, building strong technology acumen and strategic insight through business and consumer leadership positions.</w:t>
      </w:r>
    </w:p>
    <w:p>
      <w:pPr>
        <w:spacing w:after="0" w:line="23" w:lineRule="exact"/>
        <w:rPr>
          <w:rFonts w:ascii="Arial" w:cs="Arial" w:eastAsia="Arial" w:hAnsi="Arial"/>
          <w:sz w:val="14"/>
          <w:szCs w:val="14"/>
          <w:color w:val="auto"/>
        </w:rPr>
      </w:pPr>
    </w:p>
    <w:p>
      <w:pPr>
        <w:ind w:left="560" w:right="2499" w:hanging="278"/>
        <w:spacing w:after="0" w:line="257" w:lineRule="auto"/>
        <w:tabs>
          <w:tab w:leader="none" w:pos="5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Walker has been a key leader in international organizations applying new strategies to achieve transformative change, including transforming the Intel brand, and an award-winning integrated marketing and communications approach using digital and social media to engage customers and partners on their purchase journey.</w:t>
      </w:r>
    </w:p>
    <w:p>
      <w:pPr>
        <w:spacing w:after="0" w:line="25" w:lineRule="exact"/>
        <w:rPr>
          <w:rFonts w:ascii="Arial" w:cs="Arial" w:eastAsia="Arial" w:hAnsi="Arial"/>
          <w:sz w:val="14"/>
          <w:szCs w:val="14"/>
          <w:color w:val="auto"/>
        </w:rPr>
      </w:pPr>
    </w:p>
    <w:p>
      <w:pPr>
        <w:ind w:left="560" w:right="2539" w:hanging="278"/>
        <w:spacing w:after="0" w:line="261" w:lineRule="auto"/>
        <w:tabs>
          <w:tab w:leader="none" w:pos="5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her career at Cisco, Ms. Walker led a complete transformation of the company’s marketing function to become a leader in real-time marketing and communications while also spearheading transformation to a hybrid business model selling hardware, services, software as a service (SaaS) and software.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96" w:lineRule="exact"/>
        <w:rPr>
          <w:sz w:val="20"/>
          <w:szCs w:val="20"/>
          <w:color w:val="auto"/>
        </w:rPr>
      </w:pPr>
    </w:p>
    <w:p>
      <w:pPr>
        <w:ind w:left="560" w:right="2439" w:hanging="276"/>
        <w:spacing w:after="0" w:line="250" w:lineRule="auto"/>
        <w:tabs>
          <w:tab w:leader="none" w:pos="55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Goldman Sachs Group, Inc., </w:t>
      </w:r>
      <w:r>
        <w:rPr>
          <w:rFonts w:ascii="Arial" w:cs="Arial" w:eastAsia="Arial" w:hAnsi="Arial"/>
          <w:sz w:val="14"/>
          <w:szCs w:val="14"/>
          <w:color w:val="auto"/>
        </w:rPr>
        <w:t>a leading global financial institution that</w:t>
      </w:r>
      <w:r>
        <w:rPr>
          <w:rFonts w:ascii="Arial" w:cs="Arial" w:eastAsia="Arial" w:hAnsi="Arial"/>
          <w:sz w:val="16"/>
          <w:szCs w:val="16"/>
          <w:b w:val="1"/>
          <w:bCs w:val="1"/>
          <w:color w:val="auto"/>
        </w:rPr>
        <w:t xml:space="preserve"> </w:t>
      </w:r>
      <w:r>
        <w:rPr>
          <w:rFonts w:ascii="Arial" w:cs="Arial" w:eastAsia="Arial" w:hAnsi="Arial"/>
          <w:sz w:val="14"/>
          <w:szCs w:val="14"/>
          <w:color w:val="auto"/>
        </w:rPr>
        <w:t>delivers a broad range of financial services</w:t>
      </w:r>
    </w:p>
    <w:p>
      <w:pPr>
        <w:spacing w:after="0" w:line="18"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Operating Partner (2023 – present)</w:t>
      </w:r>
    </w:p>
    <w:p>
      <w:pPr>
        <w:spacing w:after="0" w:line="56" w:lineRule="exact"/>
        <w:rPr>
          <w:rFonts w:ascii="Arial" w:cs="Arial" w:eastAsia="Arial" w:hAnsi="Arial"/>
          <w:sz w:val="16"/>
          <w:szCs w:val="16"/>
          <w:b w:val="1"/>
          <w:bCs w:val="1"/>
          <w:color w:val="auto"/>
        </w:rPr>
      </w:pPr>
    </w:p>
    <w:p>
      <w:pPr>
        <w:ind w:left="560" w:hanging="276"/>
        <w:spacing w:after="0"/>
        <w:tabs>
          <w:tab w:leader="none" w:pos="56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Intel Corporation, </w:t>
      </w:r>
      <w:r>
        <w:rPr>
          <w:rFonts w:ascii="Arial" w:cs="Arial" w:eastAsia="Arial" w:hAnsi="Arial"/>
          <w:sz w:val="14"/>
          <w:szCs w:val="14"/>
          <w:color w:val="auto"/>
        </w:rPr>
        <w:t>a leader in the semiconductor industry</w:t>
      </w:r>
    </w:p>
    <w:p>
      <w:pPr>
        <w:spacing w:after="0" w:line="21"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4"/>
          <w:szCs w:val="14"/>
          <w:color w:val="auto"/>
        </w:rPr>
        <w:t>–   Senior Vice President and Chief Marketing Officer (2019 - 2022)</w:t>
      </w:r>
    </w:p>
    <w:p>
      <w:pPr>
        <w:spacing w:after="0" w:line="30" w:lineRule="exact"/>
        <w:rPr>
          <w:rFonts w:ascii="Arial" w:cs="Arial" w:eastAsia="Arial" w:hAnsi="Arial"/>
          <w:sz w:val="16"/>
          <w:szCs w:val="16"/>
          <w:b w:val="1"/>
          <w:bCs w:val="1"/>
          <w:color w:val="auto"/>
        </w:rPr>
      </w:pPr>
    </w:p>
    <w:p>
      <w:pPr>
        <w:ind w:left="560" w:right="2299" w:hanging="276"/>
        <w:spacing w:after="0" w:line="250" w:lineRule="auto"/>
        <w:tabs>
          <w:tab w:leader="none" w:pos="551" w:val="left"/>
        </w:tabs>
        <w:numPr>
          <w:ilvl w:val="0"/>
          <w:numId w:val="31"/>
        </w:numPr>
        <w:rPr>
          <w:rFonts w:ascii="Arial" w:cs="Arial" w:eastAsia="Arial" w:hAnsi="Arial"/>
          <w:sz w:val="14"/>
          <w:szCs w:val="14"/>
          <w:color w:val="auto"/>
        </w:rPr>
      </w:pPr>
      <w:r>
        <w:rPr>
          <w:rFonts w:ascii="Arial" w:cs="Arial" w:eastAsia="Arial" w:hAnsi="Arial"/>
          <w:sz w:val="16"/>
          <w:szCs w:val="16"/>
          <w:b w:val="1"/>
          <w:bCs w:val="1"/>
          <w:color w:val="auto"/>
        </w:rPr>
        <w:t xml:space="preserve">Cisco Systems, Inc., </w:t>
      </w:r>
      <w:r>
        <w:rPr>
          <w:rFonts w:ascii="Arial" w:cs="Arial" w:eastAsia="Arial" w:hAnsi="Arial"/>
          <w:sz w:val="14"/>
          <w:szCs w:val="14"/>
          <w:color w:val="auto"/>
        </w:rPr>
        <w:t>a provider of communications technologies and services</w:t>
      </w:r>
      <w:r>
        <w:rPr>
          <w:rFonts w:ascii="Arial" w:cs="Arial" w:eastAsia="Arial" w:hAnsi="Arial"/>
          <w:sz w:val="16"/>
          <w:szCs w:val="16"/>
          <w:b w:val="1"/>
          <w:bCs w:val="1"/>
          <w:color w:val="auto"/>
        </w:rPr>
        <w:t xml:space="preserve"> </w:t>
      </w:r>
      <w:r>
        <w:rPr>
          <w:rFonts w:ascii="Arial" w:cs="Arial" w:eastAsia="Arial" w:hAnsi="Arial"/>
          <w:sz w:val="14"/>
          <w:szCs w:val="14"/>
          <w:color w:val="auto"/>
        </w:rPr>
        <w:t>to commercial and governmental customers</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Senior Vice President and Chief Marketing Officer (2015 - 2019)</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Senior Vice President, Marketing (2013 - 2015)</w:t>
      </w:r>
    </w:p>
    <w:p>
      <w:pPr>
        <w:spacing w:after="0" w:line="49" w:lineRule="exact"/>
        <w:rPr>
          <w:rFonts w:ascii="Arial" w:cs="Arial" w:eastAsia="Arial" w:hAnsi="Arial"/>
          <w:sz w:val="14"/>
          <w:szCs w:val="14"/>
          <w:color w:val="auto"/>
        </w:rPr>
      </w:pPr>
    </w:p>
    <w:p>
      <w:pPr>
        <w:ind w:left="840" w:right="2419" w:hanging="280"/>
        <w:spacing w:after="0" w:line="284" w:lineRule="auto"/>
        <w:rPr>
          <w:rFonts w:ascii="Arial" w:cs="Arial" w:eastAsia="Arial" w:hAnsi="Arial"/>
          <w:sz w:val="14"/>
          <w:szCs w:val="14"/>
          <w:color w:val="auto"/>
        </w:rPr>
      </w:pPr>
      <w:r>
        <w:rPr>
          <w:rFonts w:ascii="Arial" w:cs="Arial" w:eastAsia="Arial" w:hAnsi="Arial"/>
          <w:sz w:val="14"/>
          <w:szCs w:val="14"/>
          <w:color w:val="auto"/>
        </w:rPr>
        <w:t>– Senior Vice President of Segment, Services and Marketing Partner (2012 - 2013)</w:t>
      </w:r>
    </w:p>
    <w:p>
      <w:pPr>
        <w:ind w:left="560" w:right="2719" w:hanging="276"/>
        <w:spacing w:after="0" w:line="250" w:lineRule="auto"/>
        <w:tabs>
          <w:tab w:leader="none" w:pos="551" w:val="left"/>
        </w:tabs>
        <w:numPr>
          <w:ilvl w:val="0"/>
          <w:numId w:val="31"/>
        </w:numPr>
        <w:rPr>
          <w:rFonts w:ascii="Arial" w:cs="Arial" w:eastAsia="Arial" w:hAnsi="Arial"/>
          <w:sz w:val="14"/>
          <w:szCs w:val="14"/>
          <w:color w:val="auto"/>
        </w:rPr>
      </w:pPr>
      <w:r>
        <w:rPr>
          <w:rFonts w:ascii="Arial" w:cs="Arial" w:eastAsia="Arial" w:hAnsi="Arial"/>
          <w:sz w:val="16"/>
          <w:szCs w:val="16"/>
          <w:b w:val="1"/>
          <w:bCs w:val="1"/>
          <w:color w:val="auto"/>
        </w:rPr>
        <w:t>Hewlett-Packard Company</w:t>
      </w:r>
      <w:r>
        <w:rPr>
          <w:rFonts w:ascii="Arial" w:cs="Arial" w:eastAsia="Arial" w:hAnsi="Arial"/>
          <w:sz w:val="14"/>
          <w:szCs w:val="14"/>
          <w:b w:val="1"/>
          <w:bCs w:val="1"/>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auto"/>
        </w:rPr>
        <w:t>a manufacturer of software and computer</w:t>
      </w:r>
      <w:r>
        <w:rPr>
          <w:rFonts w:ascii="Arial" w:cs="Arial" w:eastAsia="Arial" w:hAnsi="Arial"/>
          <w:sz w:val="16"/>
          <w:szCs w:val="16"/>
          <w:b w:val="1"/>
          <w:bCs w:val="1"/>
          <w:color w:val="auto"/>
        </w:rPr>
        <w:t xml:space="preserve"> </w:t>
      </w:r>
      <w:r>
        <w:rPr>
          <w:rFonts w:ascii="Arial" w:cs="Arial" w:eastAsia="Arial" w:hAnsi="Arial"/>
          <w:sz w:val="14"/>
          <w:szCs w:val="14"/>
          <w:color w:val="auto"/>
        </w:rPr>
        <w:t>services</w:t>
      </w:r>
    </w:p>
    <w:p>
      <w:pPr>
        <w:spacing w:after="0" w:line="29" w:lineRule="exact"/>
        <w:rPr>
          <w:rFonts w:ascii="Arial" w:cs="Arial" w:eastAsia="Arial" w:hAnsi="Arial"/>
          <w:sz w:val="14"/>
          <w:szCs w:val="14"/>
          <w:color w:val="auto"/>
        </w:rPr>
      </w:pPr>
    </w:p>
    <w:p>
      <w:pPr>
        <w:ind w:left="840" w:right="2419" w:hanging="280"/>
        <w:spacing w:after="0" w:line="279" w:lineRule="auto"/>
        <w:rPr>
          <w:rFonts w:ascii="Arial" w:cs="Arial" w:eastAsia="Arial" w:hAnsi="Arial"/>
          <w:sz w:val="14"/>
          <w:szCs w:val="14"/>
          <w:color w:val="auto"/>
        </w:rPr>
      </w:pPr>
      <w:r>
        <w:rPr>
          <w:rFonts w:ascii="Arial" w:cs="Arial" w:eastAsia="Arial" w:hAnsi="Arial"/>
          <w:sz w:val="14"/>
          <w:szCs w:val="14"/>
          <w:color w:val="auto"/>
        </w:rPr>
        <w:t>– Various marketing, strategy and operations roles in Europe, North America and Asia-Pacific (1984 - 2009)</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112" w:lineRule="exact"/>
        <w:rPr>
          <w:sz w:val="20"/>
          <w:szCs w:val="20"/>
          <w:color w:val="auto"/>
        </w:rPr>
      </w:pPr>
    </w:p>
    <w:p>
      <w:pPr>
        <w:ind w:left="560" w:hanging="276"/>
        <w:spacing w:after="0"/>
        <w:tabs>
          <w:tab w:leader="none" w:pos="560" w:val="left"/>
        </w:tabs>
        <w:numPr>
          <w:ilvl w:val="0"/>
          <w:numId w:val="32"/>
        </w:numPr>
        <w:rPr>
          <w:rFonts w:ascii="Cambria" w:cs="Cambria" w:eastAsia="Cambria" w:hAnsi="Cambria"/>
          <w:sz w:val="14"/>
          <w:szCs w:val="14"/>
          <w:b w:val="1"/>
          <w:bCs w:val="1"/>
          <w:color w:val="auto"/>
        </w:rPr>
      </w:pPr>
      <w:r>
        <w:rPr>
          <w:rFonts w:ascii="Arial" w:cs="Arial" w:eastAsia="Arial" w:hAnsi="Arial"/>
          <w:sz w:val="14"/>
          <w:szCs w:val="14"/>
          <w:color w:val="auto"/>
        </w:rPr>
        <w:t>Advisory Board, Salvation Army of Silicon Valley</w:t>
      </w:r>
    </w:p>
    <w:p>
      <w:pPr>
        <w:spacing w:after="0" w:line="34"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32"/>
        </w:numPr>
        <w:rPr>
          <w:rFonts w:ascii="Cambria" w:cs="Cambria" w:eastAsia="Cambria" w:hAnsi="Cambria"/>
          <w:sz w:val="14"/>
          <w:szCs w:val="14"/>
          <w:b w:val="1"/>
          <w:bCs w:val="1"/>
          <w:color w:val="auto"/>
        </w:rPr>
      </w:pPr>
      <w:r>
        <w:rPr>
          <w:rFonts w:ascii="Arial" w:cs="Arial" w:eastAsia="Arial" w:hAnsi="Arial"/>
          <w:sz w:val="14"/>
          <w:szCs w:val="14"/>
          <w:color w:val="auto"/>
        </w:rPr>
        <w:t>Forbes Top 10 Most Influential CMOs in the World (2017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2040255</wp:posOffset>
            </wp:positionV>
            <wp:extent cx="185420" cy="185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2040255</wp:posOffset>
            </wp:positionV>
            <wp:extent cx="185420" cy="185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2040255</wp:posOffset>
            </wp:positionV>
            <wp:extent cx="185420" cy="185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2040255</wp:posOffset>
            </wp:positionV>
            <wp:extent cx="185420" cy="185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8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5"/>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17"/>
        </w:trPr>
        <w:tc>
          <w:tcPr>
            <w:tcW w:w="116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-221615</wp:posOffset>
            </wp:positionV>
            <wp:extent cx="185420" cy="185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-221615</wp:posOffset>
            </wp:positionV>
            <wp:extent cx="185420" cy="1854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-221615</wp:posOffset>
            </wp:positionV>
            <wp:extent cx="185420" cy="185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-221615</wp:posOffset>
            </wp:positionV>
            <wp:extent cx="185420" cy="1854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color w:val="D52B1E"/>
        </w:rPr>
        <w:t>Class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1134745" cy="1134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line="247" w:lineRule="auto"/>
        <w:rPr>
          <w:sz w:val="20"/>
          <w:szCs w:val="20"/>
          <w:color w:val="auto"/>
        </w:rPr>
      </w:pPr>
      <w:r>
        <w:rPr>
          <w:rFonts w:ascii="Arial" w:cs="Arial" w:eastAsia="Arial" w:hAnsi="Arial"/>
          <w:sz w:val="19"/>
          <w:szCs w:val="19"/>
          <w:b w:val="1"/>
          <w:bCs w:val="1"/>
          <w:color w:val="EF3729"/>
        </w:rPr>
        <w:t>Katherine Baicker,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123888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61" w:lineRule="exact"/>
        <w:rPr>
          <w:sz w:val="20"/>
          <w:szCs w:val="20"/>
          <w:color w:val="auto"/>
        </w:rPr>
      </w:pPr>
    </w:p>
    <w:p>
      <w:pPr>
        <w:ind w:left="280" w:right="160" w:hanging="140"/>
        <w:spacing w:after="0" w:line="279" w:lineRule="auto"/>
        <w:rPr>
          <w:sz w:val="20"/>
          <w:szCs w:val="20"/>
          <w:color w:val="auto"/>
        </w:rPr>
      </w:pPr>
      <w:r>
        <w:rPr>
          <w:rFonts w:ascii="Arial" w:cs="Arial" w:eastAsia="Arial" w:hAnsi="Arial"/>
          <w:sz w:val="14"/>
          <w:szCs w:val="14"/>
          <w:color w:val="auto"/>
        </w:rPr>
        <w:t>– Ethics and Compliance (Chair)</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Science and Technology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HMS Holdings Corp.</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801370" cy="267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01370" cy="267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22771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86810" cy="2277110"/>
                    </a:xfrm>
                    <a:prstGeom prst="rect">
                      <a:avLst/>
                    </a:prstGeom>
                    <a:noFill/>
                  </pic:spPr>
                </pic:pic>
              </a:graphicData>
            </a:graphic>
          </wp:anchor>
        </w:drawing>
      </w:r>
    </w:p>
    <w:p>
      <w:pPr>
        <w:spacing w:after="0" w:line="22" w:lineRule="exact"/>
        <w:rPr>
          <w:sz w:val="20"/>
          <w:szCs w:val="20"/>
          <w:color w:val="auto"/>
        </w:rPr>
      </w:pPr>
    </w:p>
    <w:p>
      <w:pPr>
        <w:ind w:right="2279"/>
        <w:spacing w:after="0" w:line="257" w:lineRule="auto"/>
        <w:rPr>
          <w:sz w:val="20"/>
          <w:szCs w:val="20"/>
          <w:color w:val="auto"/>
        </w:rPr>
      </w:pPr>
      <w:r>
        <w:rPr>
          <w:rFonts w:ascii="Arial" w:cs="Arial" w:eastAsia="Arial" w:hAnsi="Arial"/>
          <w:sz w:val="14"/>
          <w:szCs w:val="14"/>
          <w:i w:val="1"/>
          <w:iCs w:val="1"/>
          <w:color w:val="auto"/>
        </w:rPr>
        <w:t>Dr. Baicker’s experience in health economics research and policy at the highest levels, including as a former economic advisor to the White House and a current health advisor to the Congressional Budget Office, provides an invaluable perspective to the board. In addition to Dr. Baicker’s own high-impact research, her leadership of a preeminent research and educational institution gives her both insight into and influence over the future of health policy.</w:t>
      </w:r>
    </w:p>
    <w:p>
      <w:pPr>
        <w:spacing w:after="0" w:line="15" w:lineRule="exact"/>
        <w:rPr>
          <w:sz w:val="20"/>
          <w:szCs w:val="20"/>
          <w:color w:val="auto"/>
        </w:rPr>
      </w:pPr>
    </w:p>
    <w:p>
      <w:pPr>
        <w:ind w:left="560" w:right="2299" w:hanging="276"/>
        <w:spacing w:after="0" w:line="261" w:lineRule="auto"/>
        <w:tabs>
          <w:tab w:leader="none" w:pos="551"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spacing w:after="0" w:line="12" w:lineRule="exact"/>
        <w:rPr>
          <w:rFonts w:ascii="Arial" w:cs="Arial" w:eastAsia="Arial" w:hAnsi="Arial"/>
          <w:sz w:val="14"/>
          <w:szCs w:val="14"/>
          <w:color w:val="auto"/>
        </w:rPr>
      </w:pPr>
    </w:p>
    <w:p>
      <w:pPr>
        <w:ind w:left="560" w:right="2359" w:hanging="276"/>
        <w:spacing w:after="0" w:line="261" w:lineRule="auto"/>
        <w:tabs>
          <w:tab w:leader="none" w:pos="551" w:val="left"/>
        </w:tabs>
        <w:numPr>
          <w:ilvl w:val="0"/>
          <w:numId w:val="35"/>
        </w:numPr>
        <w:rPr>
          <w:rFonts w:ascii="Arial" w:cs="Arial" w:eastAsia="Arial" w:hAnsi="Arial"/>
          <w:sz w:val="14"/>
          <w:szCs w:val="14"/>
          <w:color w:val="auto"/>
        </w:rPr>
      </w:pPr>
      <w:r>
        <w:rPr>
          <w:rFonts w:ascii="Arial" w:cs="Arial" w:eastAsia="Arial" w:hAnsi="Arial"/>
          <w:sz w:val="14"/>
          <w:szCs w:val="14"/>
          <w:color w:val="auto"/>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spacing w:after="0" w:line="12" w:lineRule="exact"/>
        <w:rPr>
          <w:rFonts w:ascii="Arial" w:cs="Arial" w:eastAsia="Arial" w:hAnsi="Arial"/>
          <w:sz w:val="14"/>
          <w:szCs w:val="14"/>
          <w:color w:val="auto"/>
        </w:rPr>
      </w:pPr>
    </w:p>
    <w:p>
      <w:pPr>
        <w:ind w:left="560" w:right="2339" w:hanging="276"/>
        <w:spacing w:after="0" w:line="270" w:lineRule="auto"/>
        <w:tabs>
          <w:tab w:leader="none" w:pos="551" w:val="left"/>
        </w:tabs>
        <w:numPr>
          <w:ilvl w:val="0"/>
          <w:numId w:val="35"/>
        </w:numPr>
        <w:rPr>
          <w:rFonts w:ascii="Arial" w:cs="Arial" w:eastAsia="Arial" w:hAnsi="Arial"/>
          <w:sz w:val="14"/>
          <w:szCs w:val="14"/>
          <w:color w:val="auto"/>
        </w:rPr>
      </w:pPr>
      <w:r>
        <w:rPr>
          <w:rFonts w:ascii="Arial" w:cs="Arial" w:eastAsia="Arial" w:hAnsi="Arial"/>
          <w:sz w:val="14"/>
          <w:szCs w:val="14"/>
          <w:color w:val="auto"/>
        </w:rPr>
        <w:t>Dr. Baicker, with extensive involvement with medical and health system research organizations, adds valuable input on the research and development landscape within the pharmaceutical industry.</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31" w:lineRule="exact"/>
        <w:rPr>
          <w:sz w:val="20"/>
          <w:szCs w:val="20"/>
          <w:color w:val="auto"/>
        </w:rPr>
      </w:pPr>
    </w:p>
    <w:p>
      <w:pPr>
        <w:ind w:left="560" w:hanging="276"/>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6"/>
          <w:szCs w:val="16"/>
          <w:b w:val="1"/>
          <w:bCs w:val="1"/>
          <w:color w:val="auto"/>
        </w:rPr>
        <w:t>University of Chicago</w:t>
      </w:r>
    </w:p>
    <w:p>
      <w:pPr>
        <w:spacing w:after="0" w:line="1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Provost (Effective March 2023)</w:t>
      </w:r>
    </w:p>
    <w:p>
      <w:pPr>
        <w:spacing w:after="0" w:line="23" w:lineRule="exact"/>
        <w:rPr>
          <w:rFonts w:ascii="Arial" w:cs="Arial" w:eastAsia="Arial" w:hAnsi="Arial"/>
          <w:sz w:val="14"/>
          <w:szCs w:val="14"/>
          <w:color w:val="auto"/>
        </w:rPr>
      </w:pPr>
    </w:p>
    <w:p>
      <w:pPr>
        <w:ind w:left="840" w:right="2579" w:hanging="280"/>
        <w:spacing w:after="0" w:line="236" w:lineRule="auto"/>
        <w:rPr>
          <w:rFonts w:ascii="Arial" w:cs="Arial" w:eastAsia="Arial" w:hAnsi="Arial"/>
          <w:sz w:val="14"/>
          <w:szCs w:val="14"/>
          <w:color w:val="auto"/>
        </w:rPr>
      </w:pPr>
      <w:r>
        <w:rPr>
          <w:rFonts w:ascii="Arial" w:cs="Arial" w:eastAsia="Arial" w:hAnsi="Arial"/>
          <w:sz w:val="16"/>
          <w:szCs w:val="16"/>
          <w:color w:val="auto"/>
        </w:rPr>
        <w:t xml:space="preserve">– </w:t>
      </w:r>
      <w:r>
        <w:rPr>
          <w:rFonts w:ascii="Arial" w:cs="Arial" w:eastAsia="Arial" w:hAnsi="Arial"/>
          <w:sz w:val="14"/>
          <w:szCs w:val="14"/>
          <w:color w:val="auto"/>
        </w:rPr>
        <w:t>Dean and the Emmett Dedmon Professor, Harris School of Public Policy</w:t>
      </w:r>
      <w:r>
        <w:rPr>
          <w:rFonts w:ascii="Arial" w:cs="Arial" w:eastAsia="Arial" w:hAnsi="Arial"/>
          <w:sz w:val="16"/>
          <w:szCs w:val="16"/>
          <w:color w:val="auto"/>
        </w:rPr>
        <w:t xml:space="preserve"> </w:t>
      </w:r>
      <w:r>
        <w:rPr>
          <w:rFonts w:ascii="Arial" w:cs="Arial" w:eastAsia="Arial" w:hAnsi="Arial"/>
          <w:sz w:val="14"/>
          <w:szCs w:val="14"/>
          <w:color w:val="auto"/>
        </w:rPr>
        <w:t>(2017 - present)</w:t>
      </w:r>
    </w:p>
    <w:p>
      <w:pPr>
        <w:spacing w:after="0" w:line="56" w:lineRule="exact"/>
        <w:rPr>
          <w:rFonts w:ascii="Arial" w:cs="Arial" w:eastAsia="Arial" w:hAnsi="Arial"/>
          <w:sz w:val="14"/>
          <w:szCs w:val="14"/>
          <w:color w:val="auto"/>
        </w:rPr>
      </w:pPr>
    </w:p>
    <w:p>
      <w:pPr>
        <w:ind w:left="560" w:hanging="276"/>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6"/>
          <w:szCs w:val="16"/>
          <w:b w:val="1"/>
          <w:bCs w:val="1"/>
          <w:color w:val="auto"/>
        </w:rPr>
        <w:t>Harvard University</w:t>
      </w:r>
    </w:p>
    <w:p>
      <w:pPr>
        <w:spacing w:after="0" w:line="42"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 Boyden Gray Professor of Health Economics (2014 - 2017)</w:t>
      </w:r>
    </w:p>
    <w:p>
      <w:pPr>
        <w:spacing w:after="0" w:line="37"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Department of Health Policy and Management, Chair (2014 - 2016)</w:t>
      </w:r>
    </w:p>
    <w:p>
      <w:pPr>
        <w:spacing w:after="0" w:line="37"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Adjunct Professor (2017 - present)</w:t>
      </w:r>
    </w:p>
    <w:p>
      <w:pPr>
        <w:spacing w:after="0" w:line="25"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Harvard T.H. Chan School of Public Health (primary)</w:t>
      </w:r>
    </w:p>
    <w:p>
      <w:pPr>
        <w:spacing w:after="0" w:line="37"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Harvard Kennedy School of Government (secondary</w:t>
      </w:r>
      <w:r>
        <w:rPr>
          <w:rFonts w:ascii="Arial" w:cs="Arial" w:eastAsia="Arial" w:hAnsi="Arial"/>
          <w:sz w:val="12"/>
          <w:szCs w:val="12"/>
          <w:color w:val="auto"/>
        </w:rPr>
        <w:t>)</w:t>
      </w:r>
    </w:p>
    <w:p>
      <w:pPr>
        <w:spacing w:after="0" w:line="56" w:lineRule="exact"/>
        <w:rPr>
          <w:rFonts w:ascii="Arial" w:cs="Arial" w:eastAsia="Arial" w:hAnsi="Arial"/>
          <w:sz w:val="14"/>
          <w:szCs w:val="14"/>
          <w:color w:val="auto"/>
        </w:rPr>
      </w:pPr>
    </w:p>
    <w:p>
      <w:pPr>
        <w:ind w:left="560" w:hanging="276"/>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6"/>
          <w:szCs w:val="16"/>
          <w:b w:val="1"/>
          <w:bCs w:val="1"/>
          <w:color w:val="auto"/>
        </w:rPr>
        <w:t>National Bureau of Economic Research</w:t>
      </w:r>
    </w:p>
    <w:p>
      <w:pPr>
        <w:spacing w:after="0" w:line="30" w:lineRule="exact"/>
        <w:rPr>
          <w:rFonts w:ascii="Arial" w:cs="Arial" w:eastAsia="Arial" w:hAnsi="Arial"/>
          <w:sz w:val="14"/>
          <w:szCs w:val="14"/>
          <w:color w:val="auto"/>
        </w:rPr>
      </w:pPr>
    </w:p>
    <w:p>
      <w:pPr>
        <w:ind w:left="860" w:right="2399" w:hanging="280"/>
        <w:spacing w:after="0" w:line="233"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Research Associate, Health Care and Public Economics Programs (2007 -</w:t>
      </w:r>
      <w:r>
        <w:rPr>
          <w:rFonts w:ascii="Arial" w:cs="Arial" w:eastAsia="Arial" w:hAnsi="Arial"/>
          <w:sz w:val="12"/>
          <w:szCs w:val="12"/>
          <w:color w:val="auto"/>
        </w:rPr>
        <w:t xml:space="preserve"> </w:t>
      </w:r>
      <w:r>
        <w:rPr>
          <w:rFonts w:ascii="Arial" w:cs="Arial" w:eastAsia="Arial" w:hAnsi="Arial"/>
          <w:sz w:val="14"/>
          <w:szCs w:val="14"/>
          <w:color w:val="auto"/>
        </w:rPr>
        <w:t>present)</w:t>
      </w:r>
    </w:p>
    <w:p>
      <w:pPr>
        <w:spacing w:after="0" w:line="2"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Faculty Research Fellow, Public Economics Program (2001 - 2005)</w:t>
      </w:r>
    </w:p>
    <w:p>
      <w:pPr>
        <w:spacing w:after="0" w:line="23" w:lineRule="exact"/>
        <w:rPr>
          <w:rFonts w:ascii="Arial" w:cs="Arial" w:eastAsia="Arial" w:hAnsi="Arial"/>
          <w:sz w:val="14"/>
          <w:szCs w:val="14"/>
          <w:color w:val="auto"/>
        </w:rPr>
      </w:pPr>
    </w:p>
    <w:p>
      <w:pPr>
        <w:ind w:left="560" w:hanging="276"/>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6"/>
          <w:szCs w:val="16"/>
          <w:b w:val="1"/>
          <w:bCs w:val="1"/>
          <w:color w:val="auto"/>
        </w:rPr>
        <w:t>Council of Economic Advisers, Executive Office of the President</w:t>
      </w:r>
    </w:p>
    <w:p>
      <w:pPr>
        <w:spacing w:after="0" w:line="40"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Member, confirmed by U.S. Senate (2005 - 2007)</w:t>
      </w:r>
    </w:p>
    <w:p>
      <w:pPr>
        <w:spacing w:after="0" w:line="37"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Economist (2001 - 2002)</w:t>
      </w:r>
    </w:p>
    <w:p>
      <w:pPr>
        <w:spacing w:after="0" w:line="150" w:lineRule="exact"/>
        <w:rPr>
          <w:sz w:val="20"/>
          <w:szCs w:val="20"/>
          <w:color w:val="auto"/>
        </w:rPr>
      </w:pPr>
    </w:p>
    <w:p>
      <w:pPr>
        <w:sectPr>
          <w:pgSz w:w="11900" w:h="16838" w:orient="portrait"/>
          <w:cols w:equalWidth="0" w:num="2">
            <w:col w:w="1880" w:space="380"/>
            <w:col w:w="7879"/>
          </w:cols>
          <w:pgMar w:left="320" w:top="868" w:right="1440" w:bottom="1440" w:gutter="0" w:footer="0" w:header="0"/>
        </w:sectPr>
      </w:pPr>
    </w:p>
    <w:p>
      <w:pPr>
        <w:ind w:left="2260"/>
        <w:spacing w:after="0"/>
        <w:rPr>
          <w:sz w:val="20"/>
          <w:szCs w:val="20"/>
          <w:color w:val="auto"/>
        </w:rPr>
      </w:pPr>
      <w:r>
        <w:rPr>
          <w:rFonts w:ascii="Arial" w:cs="Arial" w:eastAsia="Arial" w:hAnsi="Arial"/>
          <w:sz w:val="16"/>
          <w:szCs w:val="16"/>
          <w:b w:val="1"/>
          <w:bCs w:val="1"/>
          <w:color w:val="00A1DE"/>
        </w:rPr>
        <w:t>OTHER HIGHLIGHTS</w:t>
      </w:r>
    </w:p>
    <w:p>
      <w:pPr>
        <w:spacing w:after="0" w:line="42" w:lineRule="exact"/>
        <w:rPr>
          <w:sz w:val="20"/>
          <w:szCs w:val="20"/>
          <w:color w:val="auto"/>
        </w:rPr>
      </w:pPr>
    </w:p>
    <w:p>
      <w:pPr>
        <w:ind w:left="2820" w:hanging="276"/>
        <w:spacing w:after="0"/>
        <w:tabs>
          <w:tab w:leader="none" w:pos="2820" w:val="left"/>
        </w:tabs>
        <w:numPr>
          <w:ilvl w:val="0"/>
          <w:numId w:val="37"/>
        </w:numPr>
        <w:rPr>
          <w:rFonts w:ascii="Cambria" w:cs="Cambria" w:eastAsia="Cambria" w:hAnsi="Cambria"/>
          <w:sz w:val="14"/>
          <w:szCs w:val="14"/>
          <w:b w:val="1"/>
          <w:bCs w:val="1"/>
          <w:color w:val="auto"/>
        </w:rPr>
      </w:pPr>
      <w:r>
        <w:rPr>
          <w:rFonts w:ascii="Arial" w:cs="Arial" w:eastAsia="Arial" w:hAnsi="Arial"/>
          <w:sz w:val="14"/>
          <w:szCs w:val="14"/>
          <w:color w:val="auto"/>
        </w:rPr>
        <w:t>Panel of Health Advisers to the Congressional Budget Office</w:t>
      </w:r>
    </w:p>
    <w:p>
      <w:pPr>
        <w:spacing w:after="0" w:line="34" w:lineRule="exact"/>
        <w:rPr>
          <w:rFonts w:ascii="Cambria" w:cs="Cambria" w:eastAsia="Cambria" w:hAnsi="Cambria"/>
          <w:sz w:val="14"/>
          <w:szCs w:val="14"/>
          <w:b w:val="1"/>
          <w:bCs w:val="1"/>
          <w:color w:val="auto"/>
        </w:rPr>
      </w:pPr>
    </w:p>
    <w:p>
      <w:pPr>
        <w:ind w:left="2820" w:hanging="276"/>
        <w:spacing w:after="0"/>
        <w:tabs>
          <w:tab w:leader="none" w:pos="2820" w:val="left"/>
        </w:tabs>
        <w:numPr>
          <w:ilvl w:val="0"/>
          <w:numId w:val="37"/>
        </w:numPr>
        <w:rPr>
          <w:rFonts w:ascii="Cambria" w:cs="Cambria" w:eastAsia="Cambria" w:hAnsi="Cambria"/>
          <w:sz w:val="14"/>
          <w:szCs w:val="14"/>
          <w:b w:val="1"/>
          <w:bCs w:val="1"/>
          <w:color w:val="auto"/>
        </w:rPr>
      </w:pPr>
      <w:r>
        <w:rPr>
          <w:rFonts w:ascii="Arial" w:cs="Arial" w:eastAsia="Arial" w:hAnsi="Arial"/>
          <w:sz w:val="14"/>
          <w:szCs w:val="14"/>
          <w:color w:val="auto"/>
        </w:rPr>
        <w:t>Advisory Board of the National Institute for Health Care Management</w:t>
      </w:r>
    </w:p>
    <w:p>
      <w:pPr>
        <w:spacing w:after="0" w:line="22" w:lineRule="exact"/>
        <w:rPr>
          <w:rFonts w:ascii="Cambria" w:cs="Cambria" w:eastAsia="Cambria" w:hAnsi="Cambria"/>
          <w:sz w:val="14"/>
          <w:szCs w:val="14"/>
          <w:b w:val="1"/>
          <w:bCs w:val="1"/>
          <w:color w:val="auto"/>
        </w:rPr>
      </w:pPr>
    </w:p>
    <w:p>
      <w:pPr>
        <w:ind w:left="2820" w:hanging="276"/>
        <w:spacing w:after="0"/>
        <w:tabs>
          <w:tab w:leader="none" w:pos="2820" w:val="left"/>
        </w:tabs>
        <w:numPr>
          <w:ilvl w:val="0"/>
          <w:numId w:val="37"/>
        </w:numPr>
        <w:rPr>
          <w:rFonts w:ascii="Cambria" w:cs="Cambria" w:eastAsia="Cambria" w:hAnsi="Cambria"/>
          <w:sz w:val="14"/>
          <w:szCs w:val="14"/>
          <w:b w:val="1"/>
          <w:bCs w:val="1"/>
          <w:color w:val="auto"/>
        </w:rPr>
      </w:pPr>
      <w:r>
        <w:rPr>
          <w:rFonts w:ascii="Arial" w:cs="Arial" w:eastAsia="Arial" w:hAnsi="Arial"/>
          <w:sz w:val="14"/>
          <w:szCs w:val="14"/>
          <w:color w:val="auto"/>
        </w:rPr>
        <w:t>Editorial Board of Health Affairs, JAMA Health Forum</w:t>
      </w:r>
    </w:p>
    <w:p>
      <w:pPr>
        <w:spacing w:after="0" w:line="34" w:lineRule="exact"/>
        <w:rPr>
          <w:rFonts w:ascii="Cambria" w:cs="Cambria" w:eastAsia="Cambria" w:hAnsi="Cambria"/>
          <w:sz w:val="14"/>
          <w:szCs w:val="14"/>
          <w:b w:val="1"/>
          <w:bCs w:val="1"/>
          <w:color w:val="auto"/>
        </w:rPr>
      </w:pPr>
    </w:p>
    <w:p>
      <w:pPr>
        <w:ind w:left="2820" w:hanging="276"/>
        <w:spacing w:after="0"/>
        <w:tabs>
          <w:tab w:leader="none" w:pos="2820" w:val="left"/>
        </w:tabs>
        <w:numPr>
          <w:ilvl w:val="0"/>
          <w:numId w:val="37"/>
        </w:numPr>
        <w:rPr>
          <w:rFonts w:ascii="Cambria" w:cs="Cambria" w:eastAsia="Cambria" w:hAnsi="Cambria"/>
          <w:sz w:val="14"/>
          <w:szCs w:val="14"/>
          <w:b w:val="1"/>
          <w:bCs w:val="1"/>
          <w:color w:val="auto"/>
        </w:rPr>
      </w:pPr>
      <w:r>
        <w:rPr>
          <w:rFonts w:ascii="Arial" w:cs="Arial" w:eastAsia="Arial" w:hAnsi="Arial"/>
          <w:sz w:val="14"/>
          <w:szCs w:val="14"/>
          <w:color w:val="auto"/>
        </w:rPr>
        <w:t>Trustee of the Mayo Clinic</w:t>
      </w:r>
    </w:p>
    <w:p>
      <w:pPr>
        <w:spacing w:after="0" w:line="34" w:lineRule="exact"/>
        <w:rPr>
          <w:rFonts w:ascii="Cambria" w:cs="Cambria" w:eastAsia="Cambria" w:hAnsi="Cambria"/>
          <w:sz w:val="14"/>
          <w:szCs w:val="14"/>
          <w:b w:val="1"/>
          <w:bCs w:val="1"/>
          <w:color w:val="auto"/>
        </w:rPr>
      </w:pPr>
    </w:p>
    <w:p>
      <w:pPr>
        <w:ind w:left="2820" w:right="2299" w:hanging="276"/>
        <w:spacing w:after="0" w:line="302" w:lineRule="auto"/>
        <w:tabs>
          <w:tab w:leader="none" w:pos="2812" w:val="left"/>
        </w:tabs>
        <w:numPr>
          <w:ilvl w:val="0"/>
          <w:numId w:val="37"/>
        </w:numPr>
        <w:rPr>
          <w:rFonts w:ascii="Cambria" w:cs="Cambria" w:eastAsia="Cambria" w:hAnsi="Cambria"/>
          <w:sz w:val="14"/>
          <w:szCs w:val="14"/>
          <w:b w:val="1"/>
          <w:bCs w:val="1"/>
          <w:color w:val="auto"/>
        </w:rPr>
      </w:pPr>
      <w:r>
        <w:rPr>
          <w:rFonts w:ascii="Arial" w:cs="Arial" w:eastAsia="Arial" w:hAnsi="Arial"/>
          <w:sz w:val="14"/>
          <w:szCs w:val="14"/>
          <w:color w:val="auto"/>
        </w:rPr>
        <w:t>Member of the National Academy of Medicine, the National Academy of Social Insurance, and the Council on Foreign Relations,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568960</wp:posOffset>
            </wp:positionV>
            <wp:extent cx="185420" cy="1854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568960</wp:posOffset>
            </wp:positionV>
            <wp:extent cx="185420" cy="1854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568960</wp:posOffset>
            </wp:positionV>
            <wp:extent cx="185420" cy="1854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568960</wp:posOffset>
            </wp:positionV>
            <wp:extent cx="185420" cy="1854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568960</wp:posOffset>
            </wp:positionV>
            <wp:extent cx="185420" cy="1854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5"/>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17"/>
        </w:trPr>
        <w:tc>
          <w:tcPr>
            <w:tcW w:w="116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-221615</wp:posOffset>
            </wp:positionV>
            <wp:extent cx="185420" cy="1854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-221615</wp:posOffset>
            </wp:positionV>
            <wp:extent cx="185420" cy="185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-221615</wp:posOffset>
            </wp:positionV>
            <wp:extent cx="185420" cy="185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-221615</wp:posOffset>
            </wp:positionV>
            <wp:extent cx="185420" cy="185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578485</wp:posOffset>
            </wp:positionV>
            <wp:extent cx="1134745" cy="1134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J. Erik Fyrwald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12388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2005</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r>
        <w:rPr>
          <w:rFonts w:ascii="Arial" w:cs="Arial" w:eastAsia="Arial" w:hAnsi="Arial"/>
          <w:sz w:val="14"/>
          <w:szCs w:val="14"/>
          <w:color w:val="auto"/>
        </w:rPr>
        <w:t>:</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Talent and Compensation</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Science and Technology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Bunge Limited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068070" cy="5861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68070" cy="58610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3703320</wp:posOffset>
            </wp:positionV>
            <wp:extent cx="185420" cy="1854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-144145</wp:posOffset>
            </wp:positionV>
            <wp:extent cx="3686810" cy="1684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6810" cy="1684020"/>
                    </a:xfrm>
                    <a:prstGeom prst="rect">
                      <a:avLst/>
                    </a:prstGeom>
                    <a:noFill/>
                  </pic:spPr>
                </pic:pic>
              </a:graphicData>
            </a:graphic>
          </wp:anchor>
        </w:drawing>
      </w:r>
    </w:p>
    <w:p>
      <w:pPr>
        <w:spacing w:after="0" w:line="163" w:lineRule="exact"/>
        <w:rPr>
          <w:sz w:val="20"/>
          <w:szCs w:val="20"/>
          <w:color w:val="auto"/>
        </w:rPr>
      </w:pPr>
    </w:p>
    <w:p>
      <w:pPr>
        <w:ind w:right="2819"/>
        <w:spacing w:after="0" w:line="276" w:lineRule="auto"/>
        <w:rPr>
          <w:sz w:val="20"/>
          <w:szCs w:val="20"/>
          <w:color w:val="auto"/>
        </w:rPr>
      </w:pPr>
      <w:r>
        <w:rPr>
          <w:rFonts w:ascii="Arial" w:cs="Arial" w:eastAsia="Arial" w:hAnsi="Arial"/>
          <w:sz w:val="14"/>
          <w:szCs w:val="14"/>
          <w:i w:val="1"/>
          <w:iCs w:val="1"/>
          <w:color w:val="auto"/>
        </w:rPr>
        <w:t>Mr. Fyrwald brings to the board a deep understanding of operational and strategic leadership and international business.</w:t>
      </w:r>
    </w:p>
    <w:p>
      <w:pPr>
        <w:spacing w:after="0" w:line="13" w:lineRule="exact"/>
        <w:rPr>
          <w:sz w:val="20"/>
          <w:szCs w:val="20"/>
          <w:color w:val="auto"/>
        </w:rPr>
      </w:pPr>
    </w:p>
    <w:p>
      <w:pPr>
        <w:ind w:left="560" w:right="2339" w:hanging="276"/>
        <w:spacing w:after="0" w:line="270" w:lineRule="auto"/>
        <w:tabs>
          <w:tab w:leader="none" w:pos="551"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Fyrwald’s substantial experience in leading international companies provides valuable perspectives relating to international operations, manufacturing, logistics, and sustainability.</w:t>
      </w:r>
    </w:p>
    <w:p>
      <w:pPr>
        <w:spacing w:after="0" w:line="5" w:lineRule="exact"/>
        <w:rPr>
          <w:rFonts w:ascii="Arial" w:cs="Arial" w:eastAsia="Arial" w:hAnsi="Arial"/>
          <w:sz w:val="14"/>
          <w:szCs w:val="14"/>
          <w:color w:val="auto"/>
        </w:rPr>
      </w:pPr>
    </w:p>
    <w:p>
      <w:pPr>
        <w:ind w:left="560" w:right="2319" w:hanging="276"/>
        <w:spacing w:after="0" w:line="261" w:lineRule="auto"/>
        <w:tabs>
          <w:tab w:leader="none" w:pos="551"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Fyrwald has a demonstrated focus on technology and a deep understanding of the challenges of developing and commercializing the results of innovation, as he has worked to align Syngenta to digital innovation and new agricultural technologies in the fight against climate change.</w:t>
      </w:r>
    </w:p>
    <w:p>
      <w:pPr>
        <w:spacing w:after="0" w:line="23" w:lineRule="exact"/>
        <w:rPr>
          <w:rFonts w:ascii="Arial" w:cs="Arial" w:eastAsia="Arial" w:hAnsi="Arial"/>
          <w:sz w:val="14"/>
          <w:szCs w:val="14"/>
          <w:color w:val="auto"/>
        </w:rPr>
      </w:pPr>
    </w:p>
    <w:p>
      <w:pPr>
        <w:ind w:left="560" w:right="2479" w:hanging="276"/>
        <w:spacing w:after="0" w:line="261" w:lineRule="auto"/>
        <w:tabs>
          <w:tab w:leader="none" w:pos="551"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Fyrwald has also developed significant corporate governance experience through his current and prior service on the boards of directors of international companies and not-for-profit entities.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right="2419" w:hanging="276"/>
        <w:spacing w:after="0" w:line="250" w:lineRule="auto"/>
        <w:tabs>
          <w:tab w:leader="none" w:pos="551" w:val="left"/>
        </w:tabs>
        <w:numPr>
          <w:ilvl w:val="0"/>
          <w:numId w:val="41"/>
        </w:numPr>
        <w:rPr>
          <w:rFonts w:ascii="Arial" w:cs="Arial" w:eastAsia="Arial" w:hAnsi="Arial"/>
          <w:sz w:val="14"/>
          <w:szCs w:val="14"/>
          <w:color w:val="auto"/>
        </w:rPr>
      </w:pPr>
      <w:r>
        <w:rPr>
          <w:rFonts w:ascii="Arial" w:cs="Arial" w:eastAsia="Arial" w:hAnsi="Arial"/>
          <w:sz w:val="16"/>
          <w:szCs w:val="16"/>
          <w:b w:val="1"/>
          <w:bCs w:val="1"/>
          <w:color w:val="auto"/>
        </w:rPr>
        <w:t>Syngenta Group</w:t>
      </w:r>
      <w:r>
        <w:rPr>
          <w:rFonts w:ascii="Arial" w:cs="Arial" w:eastAsia="Arial" w:hAnsi="Arial"/>
          <w:sz w:val="14"/>
          <w:szCs w:val="14"/>
          <w:b w:val="1"/>
          <w:bCs w:val="1"/>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auto"/>
        </w:rPr>
        <w:t>a global Swiss-based agriculture technology company that</w:t>
      </w:r>
      <w:r>
        <w:rPr>
          <w:rFonts w:ascii="Arial" w:cs="Arial" w:eastAsia="Arial" w:hAnsi="Arial"/>
          <w:sz w:val="16"/>
          <w:szCs w:val="16"/>
          <w:b w:val="1"/>
          <w:bCs w:val="1"/>
          <w:color w:val="auto"/>
        </w:rPr>
        <w:t xml:space="preserve"> </w:t>
      </w:r>
      <w:r>
        <w:rPr>
          <w:rFonts w:ascii="Arial" w:cs="Arial" w:eastAsia="Arial" w:hAnsi="Arial"/>
          <w:sz w:val="14"/>
          <w:szCs w:val="14"/>
          <w:color w:val="auto"/>
        </w:rPr>
        <w:t>produces agrochemicals and seeds</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Executive Officer (2016 - present)</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Member of the Board of Directors</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Member of the Sustainability Committee</w:t>
      </w:r>
    </w:p>
    <w:p>
      <w:pPr>
        <w:spacing w:after="0" w:line="56" w:lineRule="exact"/>
        <w:rPr>
          <w:rFonts w:ascii="Arial" w:cs="Arial" w:eastAsia="Arial" w:hAnsi="Arial"/>
          <w:sz w:val="14"/>
          <w:szCs w:val="14"/>
          <w:color w:val="auto"/>
        </w:rPr>
      </w:pPr>
    </w:p>
    <w:p>
      <w:pPr>
        <w:ind w:left="560" w:hanging="276"/>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6"/>
          <w:szCs w:val="16"/>
          <w:b w:val="1"/>
          <w:bCs w:val="1"/>
          <w:color w:val="auto"/>
        </w:rPr>
        <w:t xml:space="preserve">Univar, Inc., </w:t>
      </w:r>
      <w:r>
        <w:rPr>
          <w:rFonts w:ascii="Arial" w:cs="Arial" w:eastAsia="Arial" w:hAnsi="Arial"/>
          <w:sz w:val="14"/>
          <w:szCs w:val="14"/>
          <w:color w:val="auto"/>
        </w:rPr>
        <w:t>a leading distributor of chemicals and provider of related services</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Executive Officer (2012 - 2016)</w:t>
      </w:r>
    </w:p>
    <w:p>
      <w:pPr>
        <w:spacing w:after="0" w:line="44" w:lineRule="exact"/>
        <w:rPr>
          <w:rFonts w:ascii="Arial" w:cs="Arial" w:eastAsia="Arial" w:hAnsi="Arial"/>
          <w:sz w:val="14"/>
          <w:szCs w:val="14"/>
          <w:color w:val="auto"/>
        </w:rPr>
      </w:pPr>
    </w:p>
    <w:p>
      <w:pPr>
        <w:ind w:left="560" w:right="2359" w:hanging="276"/>
        <w:spacing w:after="0" w:line="250" w:lineRule="auto"/>
        <w:tabs>
          <w:tab w:leader="none" w:pos="551" w:val="left"/>
        </w:tabs>
        <w:numPr>
          <w:ilvl w:val="0"/>
          <w:numId w:val="41"/>
        </w:numPr>
        <w:rPr>
          <w:rFonts w:ascii="Arial" w:cs="Arial" w:eastAsia="Arial" w:hAnsi="Arial"/>
          <w:sz w:val="14"/>
          <w:szCs w:val="14"/>
          <w:color w:val="auto"/>
        </w:rPr>
      </w:pPr>
      <w:r>
        <w:rPr>
          <w:rFonts w:ascii="Arial" w:cs="Arial" w:eastAsia="Arial" w:hAnsi="Arial"/>
          <w:sz w:val="16"/>
          <w:szCs w:val="16"/>
          <w:b w:val="1"/>
          <w:bCs w:val="1"/>
          <w:color w:val="auto"/>
        </w:rPr>
        <w:t xml:space="preserve">Ecolab, Inc., </w:t>
      </w:r>
      <w:r>
        <w:rPr>
          <w:rFonts w:ascii="Arial" w:cs="Arial" w:eastAsia="Arial" w:hAnsi="Arial"/>
          <w:sz w:val="14"/>
          <w:szCs w:val="14"/>
          <w:color w:val="auto"/>
        </w:rPr>
        <w:t>a leading provider of cleaning, sanitation and water products and</w:t>
      </w:r>
      <w:r>
        <w:rPr>
          <w:rFonts w:ascii="Arial" w:cs="Arial" w:eastAsia="Arial" w:hAnsi="Arial"/>
          <w:sz w:val="16"/>
          <w:szCs w:val="16"/>
          <w:b w:val="1"/>
          <w:bCs w:val="1"/>
          <w:color w:val="auto"/>
        </w:rPr>
        <w:t xml:space="preserve"> </w:t>
      </w:r>
      <w:r>
        <w:rPr>
          <w:rFonts w:ascii="Arial" w:cs="Arial" w:eastAsia="Arial" w:hAnsi="Arial"/>
          <w:sz w:val="14"/>
          <w:szCs w:val="14"/>
          <w:color w:val="auto"/>
        </w:rPr>
        <w:t>services</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(2011-2012)</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6"/>
          <w:szCs w:val="16"/>
          <w:b w:val="1"/>
          <w:bCs w:val="1"/>
          <w:color w:val="auto"/>
        </w:rPr>
        <w:t xml:space="preserve">Nalco Company, </w:t>
      </w:r>
      <w:r>
        <w:rPr>
          <w:rFonts w:ascii="Arial" w:cs="Arial" w:eastAsia="Arial" w:hAnsi="Arial"/>
          <w:sz w:val="14"/>
          <w:szCs w:val="14"/>
          <w:color w:val="auto"/>
        </w:rPr>
        <w:t>a leading provider of water treatment products and services</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Chairman and Chief Executive Officer (2008 – 2011)</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6"/>
          <w:szCs w:val="16"/>
          <w:b w:val="1"/>
          <w:bCs w:val="1"/>
          <w:color w:val="auto"/>
        </w:rPr>
        <w:t xml:space="preserve">E.I. du Pont de Nemours and Company, </w:t>
      </w:r>
      <w:r>
        <w:rPr>
          <w:rFonts w:ascii="Arial" w:cs="Arial" w:eastAsia="Arial" w:hAnsi="Arial"/>
          <w:sz w:val="14"/>
          <w:szCs w:val="14"/>
          <w:color w:val="auto"/>
        </w:rPr>
        <w:t>a global chemical company</w:t>
      </w:r>
    </w:p>
    <w:p>
      <w:pPr>
        <w:spacing w:after="0" w:line="54" w:lineRule="exact"/>
        <w:rPr>
          <w:rFonts w:ascii="Arial" w:cs="Arial" w:eastAsia="Arial" w:hAnsi="Arial"/>
          <w:sz w:val="14"/>
          <w:szCs w:val="14"/>
          <w:color w:val="auto"/>
        </w:rPr>
      </w:pPr>
    </w:p>
    <w:p>
      <w:pPr>
        <w:ind w:left="840" w:right="2399" w:hanging="280"/>
        <w:spacing w:after="0" w:line="270"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Various management positions from 1980 to 2008 in production, sales, and</w:t>
      </w:r>
      <w:r>
        <w:rPr>
          <w:rFonts w:ascii="Arial" w:cs="Arial" w:eastAsia="Arial" w:hAnsi="Arial"/>
          <w:sz w:val="12"/>
          <w:szCs w:val="12"/>
          <w:color w:val="auto"/>
        </w:rPr>
        <w:t xml:space="preserve"> </w:t>
      </w:r>
      <w:r>
        <w:rPr>
          <w:rFonts w:ascii="Arial" w:cs="Arial" w:eastAsia="Arial" w:hAnsi="Arial"/>
          <w:sz w:val="14"/>
          <w:szCs w:val="14"/>
          <w:color w:val="auto"/>
        </w:rPr>
        <w:t>marketing, including most recently Group vice president, agriculture and nutrition (2003 – 2008)</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31" w:lineRule="exact"/>
        <w:rPr>
          <w:sz w:val="20"/>
          <w:szCs w:val="20"/>
          <w:color w:val="auto"/>
        </w:rPr>
      </w:pPr>
    </w:p>
    <w:p>
      <w:pPr>
        <w:ind w:left="560" w:hanging="276"/>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Not-for-profit boards of directors:</w:t>
      </w:r>
    </w:p>
    <w:p>
      <w:pPr>
        <w:spacing w:after="0" w:line="13"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UN World Food Program Farm to Market Alliance</w:t>
      </w:r>
    </w:p>
    <w:p>
      <w:pPr>
        <w:spacing w:after="0" w:line="25"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CropLife International (chair)</w:t>
      </w:r>
    </w:p>
    <w:p>
      <w:pPr>
        <w:spacing w:after="0" w:line="25"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Syngenta Foundation for Sustainable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1885950</wp:posOffset>
            </wp:positionV>
            <wp:extent cx="185420" cy="1854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1885950</wp:posOffset>
            </wp:positionV>
            <wp:extent cx="185420" cy="1854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1885950</wp:posOffset>
            </wp:positionV>
            <wp:extent cx="185420" cy="1854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1885950</wp:posOffset>
            </wp:positionV>
            <wp:extent cx="185420" cy="1854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8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400" w:type="dxa"/>
        <w:tblCellMar>
          <w:top w:w="0" w:type="dxa"/>
          <w:left w:w="0" w:type="dxa"/>
          <w:bottom w:w="0" w:type="dxa"/>
          <w:right w:w="0" w:type="dxa"/>
        </w:tblCellMar>
      </w:tblPr>
      <w:tr>
        <w:trPr>
          <w:trHeight w:val="140"/>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2"/>
                <w:szCs w:val="12"/>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61" w:right="1440"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236220</wp:posOffset>
            </wp:positionH>
            <wp:positionV relativeFrom="page">
              <wp:posOffset>608330</wp:posOffset>
            </wp:positionV>
            <wp:extent cx="1127760" cy="1127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127760" cy="112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12014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54</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2016</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Audit (Chair)</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Ethics and Compliance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61" w:lineRule="exact"/>
        <w:rPr>
          <w:sz w:val="20"/>
          <w:szCs w:val="20"/>
          <w:color w:val="auto"/>
        </w:rPr>
      </w:pPr>
    </w:p>
    <w:p>
      <w:pPr>
        <w:ind w:right="420"/>
        <w:spacing w:after="0" w:line="287" w:lineRule="auto"/>
        <w:rPr>
          <w:sz w:val="20"/>
          <w:szCs w:val="20"/>
          <w:color w:val="auto"/>
        </w:rPr>
      </w:pPr>
      <w:r>
        <w:rPr>
          <w:rFonts w:ascii="Arial" w:cs="Arial" w:eastAsia="Arial" w:hAnsi="Arial"/>
          <w:sz w:val="14"/>
          <w:szCs w:val="14"/>
          <w:b w:val="1"/>
          <w:bCs w:val="1"/>
          <w:color w:val="auto"/>
        </w:rPr>
        <w:t>Recent Prior Public Boards:</w:t>
      </w:r>
    </w:p>
    <w:p>
      <w:pPr>
        <w:ind w:left="140"/>
        <w:spacing w:after="0"/>
        <w:rPr>
          <w:sz w:val="20"/>
          <w:szCs w:val="20"/>
          <w:color w:val="auto"/>
        </w:rPr>
      </w:pPr>
      <w:r>
        <w:rPr>
          <w:rFonts w:ascii="Arial" w:cs="Arial" w:eastAsia="Arial" w:hAnsi="Arial"/>
          <w:sz w:val="14"/>
          <w:szCs w:val="14"/>
          <w:color w:val="auto"/>
        </w:rPr>
        <w:t>– Hibbett, Inc.</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801370" cy="267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01370" cy="26733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3577590</wp:posOffset>
            </wp:positionV>
            <wp:extent cx="185420" cy="1854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-121920</wp:posOffset>
            </wp:positionV>
            <wp:extent cx="3686810" cy="16173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86810" cy="1617345"/>
                    </a:xfrm>
                    <a:prstGeom prst="rect">
                      <a:avLst/>
                    </a:prstGeom>
                    <a:noFill/>
                  </pic:spPr>
                </pic:pic>
              </a:graphicData>
            </a:graphic>
          </wp:anchor>
        </w:drawing>
      </w:r>
    </w:p>
    <w:p>
      <w:pPr>
        <w:spacing w:after="0" w:line="34" w:lineRule="exact"/>
        <w:rPr>
          <w:sz w:val="20"/>
          <w:szCs w:val="20"/>
          <w:color w:val="auto"/>
        </w:rPr>
      </w:pPr>
    </w:p>
    <w:p>
      <w:pPr>
        <w:ind w:right="2799"/>
        <w:spacing w:after="0" w:line="276" w:lineRule="auto"/>
        <w:rPr>
          <w:sz w:val="20"/>
          <w:szCs w:val="20"/>
          <w:color w:val="auto"/>
        </w:rPr>
      </w:pPr>
      <w:r>
        <w:rPr>
          <w:rFonts w:ascii="Arial" w:cs="Arial" w:eastAsia="Arial" w:hAnsi="Arial"/>
          <w:sz w:val="14"/>
          <w:szCs w:val="14"/>
          <w:i w:val="1"/>
          <w:iCs w:val="1"/>
          <w:color w:val="auto"/>
        </w:rPr>
        <w:t>Mr. Jackson brings to the board significant global financial experience and a strong background in strategic planning.</w:t>
      </w:r>
    </w:p>
    <w:p>
      <w:pPr>
        <w:spacing w:after="0" w:line="13" w:lineRule="exact"/>
        <w:rPr>
          <w:sz w:val="20"/>
          <w:szCs w:val="20"/>
          <w:color w:val="auto"/>
        </w:rPr>
      </w:pPr>
    </w:p>
    <w:p>
      <w:pPr>
        <w:ind w:left="560" w:right="2479" w:hanging="275"/>
        <w:spacing w:after="0" w:line="270" w:lineRule="auto"/>
        <w:tabs>
          <w:tab w:leader="none" w:pos="551"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Jackson’s global finance experience, including as chief financial officer at multiple Fortune 500 companies, provides extensive knowledge of international business operations and their associated financial complexities.</w:t>
      </w:r>
    </w:p>
    <w:p>
      <w:pPr>
        <w:spacing w:after="0" w:line="5" w:lineRule="exact"/>
        <w:rPr>
          <w:rFonts w:ascii="Arial" w:cs="Arial" w:eastAsia="Arial" w:hAnsi="Arial"/>
          <w:sz w:val="14"/>
          <w:szCs w:val="14"/>
          <w:color w:val="auto"/>
        </w:rPr>
      </w:pPr>
    </w:p>
    <w:p>
      <w:pPr>
        <w:ind w:left="560" w:right="2419" w:hanging="275"/>
        <w:spacing w:after="0" w:line="270" w:lineRule="auto"/>
        <w:tabs>
          <w:tab w:leader="none" w:pos="551"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Jackson brings a valuable perspective on the management of complex financial risks and wide-ranging knowledge of finance and accounting matters to his role as Audit Committee Chair.</w:t>
      </w:r>
    </w:p>
    <w:p>
      <w:pPr>
        <w:spacing w:after="0" w:line="5" w:lineRule="exact"/>
        <w:rPr>
          <w:rFonts w:ascii="Arial" w:cs="Arial" w:eastAsia="Arial" w:hAnsi="Arial"/>
          <w:sz w:val="14"/>
          <w:szCs w:val="14"/>
          <w:color w:val="auto"/>
        </w:rPr>
      </w:pPr>
    </w:p>
    <w:p>
      <w:pPr>
        <w:ind w:left="560" w:right="2339" w:hanging="275"/>
        <w:spacing w:after="0" w:line="270" w:lineRule="auto"/>
        <w:tabs>
          <w:tab w:leader="none" w:pos="551"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Jackson has also held roles in strategic planning and mergers and acquisitions, including responsibility for driving financial rigor, developing strategy and implementing change.</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31" w:lineRule="exact"/>
        <w:rPr>
          <w:sz w:val="20"/>
          <w:szCs w:val="20"/>
          <w:color w:val="auto"/>
        </w:rPr>
      </w:pPr>
    </w:p>
    <w:p>
      <w:pPr>
        <w:ind w:left="560" w:right="2559" w:hanging="275"/>
        <w:spacing w:after="0" w:line="219" w:lineRule="auto"/>
        <w:tabs>
          <w:tab w:leader="none" w:pos="551" w:val="left"/>
        </w:tabs>
        <w:numPr>
          <w:ilvl w:val="0"/>
          <w:numId w:val="46"/>
        </w:numPr>
        <w:rPr>
          <w:rFonts w:ascii="Arial" w:cs="Arial" w:eastAsia="Arial" w:hAnsi="Arial"/>
          <w:sz w:val="14"/>
          <w:szCs w:val="14"/>
          <w:color w:val="auto"/>
        </w:rPr>
      </w:pPr>
      <w:r>
        <w:rPr>
          <w:rFonts w:ascii="Arial" w:cs="Arial" w:eastAsia="Arial" w:hAnsi="Arial"/>
          <w:sz w:val="16"/>
          <w:szCs w:val="16"/>
          <w:b w:val="1"/>
          <w:bCs w:val="1"/>
          <w:color w:val="auto"/>
        </w:rPr>
        <w:t xml:space="preserve">AutoZone, Inc., </w:t>
      </w:r>
      <w:r>
        <w:rPr>
          <w:rFonts w:ascii="Arial" w:cs="Arial" w:eastAsia="Arial" w:hAnsi="Arial"/>
          <w:sz w:val="14"/>
          <w:szCs w:val="14"/>
          <w:color w:val="auto"/>
        </w:rPr>
        <w:t>a leading retailer and distributor of automotive replacement</w:t>
      </w:r>
      <w:r>
        <w:rPr>
          <w:rFonts w:ascii="Arial" w:cs="Arial" w:eastAsia="Arial" w:hAnsi="Arial"/>
          <w:sz w:val="16"/>
          <w:szCs w:val="16"/>
          <w:b w:val="1"/>
          <w:bCs w:val="1"/>
          <w:color w:val="auto"/>
        </w:rPr>
        <w:t xml:space="preserve"> </w:t>
      </w:r>
      <w:r>
        <w:rPr>
          <w:rFonts w:ascii="Arial" w:cs="Arial" w:eastAsia="Arial" w:hAnsi="Arial"/>
          <w:sz w:val="14"/>
          <w:szCs w:val="14"/>
          <w:color w:val="auto"/>
        </w:rPr>
        <w:t>parts and accessories in the United States, Mexico and Brazil</w:t>
      </w:r>
    </w:p>
    <w:p>
      <w:pPr>
        <w:spacing w:after="0" w:line="26" w:lineRule="exact"/>
        <w:rPr>
          <w:rFonts w:ascii="Arial" w:cs="Arial" w:eastAsia="Arial" w:hAnsi="Arial"/>
          <w:sz w:val="14"/>
          <w:szCs w:val="14"/>
          <w:color w:val="auto"/>
        </w:rPr>
      </w:pPr>
    </w:p>
    <w:p>
      <w:pPr>
        <w:ind w:left="840" w:right="2639" w:hanging="280"/>
        <w:spacing w:after="0" w:line="301"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Chief Financial Officer and Executive Vice President, Finance and Store</w:t>
      </w:r>
      <w:r>
        <w:rPr>
          <w:rFonts w:ascii="Arial" w:cs="Arial" w:eastAsia="Arial" w:hAnsi="Arial"/>
          <w:sz w:val="12"/>
          <w:szCs w:val="12"/>
          <w:color w:val="auto"/>
        </w:rPr>
        <w:t xml:space="preserve"> </w:t>
      </w:r>
      <w:r>
        <w:rPr>
          <w:rFonts w:ascii="Arial" w:cs="Arial" w:eastAsia="Arial" w:hAnsi="Arial"/>
          <w:sz w:val="14"/>
          <w:szCs w:val="14"/>
          <w:color w:val="auto"/>
        </w:rPr>
        <w:t>Development (2020 - present)</w:t>
      </w:r>
    </w:p>
    <w:p>
      <w:pPr>
        <w:ind w:left="560" w:right="2859" w:hanging="275"/>
        <w:spacing w:after="0" w:line="222" w:lineRule="auto"/>
        <w:tabs>
          <w:tab w:leader="none" w:pos="551" w:val="left"/>
        </w:tabs>
        <w:numPr>
          <w:ilvl w:val="0"/>
          <w:numId w:val="46"/>
        </w:numPr>
        <w:rPr>
          <w:rFonts w:ascii="Arial" w:cs="Arial" w:eastAsia="Arial" w:hAnsi="Arial"/>
          <w:sz w:val="14"/>
          <w:szCs w:val="14"/>
          <w:color w:val="auto"/>
        </w:rPr>
      </w:pPr>
      <w:r>
        <w:rPr>
          <w:rFonts w:ascii="Arial" w:cs="Arial" w:eastAsia="Arial" w:hAnsi="Arial"/>
          <w:sz w:val="16"/>
          <w:szCs w:val="16"/>
          <w:b w:val="1"/>
          <w:bCs w:val="1"/>
          <w:color w:val="auto"/>
        </w:rPr>
        <w:t xml:space="preserve">Hertz Global Holdings, Inc., </w:t>
      </w:r>
      <w:r>
        <w:rPr>
          <w:rFonts w:ascii="Arial" w:cs="Arial" w:eastAsia="Arial" w:hAnsi="Arial"/>
          <w:sz w:val="14"/>
          <w:szCs w:val="14"/>
          <w:color w:val="auto"/>
        </w:rPr>
        <w:t>a global vehicle rental, leasing and fleet</w:t>
      </w:r>
      <w:r>
        <w:rPr>
          <w:rFonts w:ascii="Arial" w:cs="Arial" w:eastAsia="Arial" w:hAnsi="Arial"/>
          <w:sz w:val="16"/>
          <w:szCs w:val="16"/>
          <w:b w:val="1"/>
          <w:bCs w:val="1"/>
          <w:color w:val="auto"/>
        </w:rPr>
        <w:t xml:space="preserve"> </w:t>
      </w:r>
      <w:r>
        <w:rPr>
          <w:rFonts w:ascii="Arial" w:cs="Arial" w:eastAsia="Arial" w:hAnsi="Arial"/>
          <w:sz w:val="14"/>
          <w:szCs w:val="14"/>
          <w:color w:val="auto"/>
        </w:rPr>
        <w:t>management business</w:t>
      </w:r>
    </w:p>
    <w:p>
      <w:pPr>
        <w:spacing w:after="0" w:line="26"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Chief Financial Officer (2018 - 2020)</w:t>
      </w:r>
    </w:p>
    <w:p>
      <w:pPr>
        <w:spacing w:after="0" w:line="56" w:lineRule="exact"/>
        <w:rPr>
          <w:rFonts w:ascii="Arial" w:cs="Arial" w:eastAsia="Arial" w:hAnsi="Arial"/>
          <w:sz w:val="14"/>
          <w:szCs w:val="14"/>
          <w:color w:val="auto"/>
        </w:rPr>
      </w:pPr>
    </w:p>
    <w:p>
      <w:pPr>
        <w:ind w:left="560" w:hanging="275"/>
        <w:spacing w:after="0"/>
        <w:tabs>
          <w:tab w:leader="none" w:pos="560" w:val="left"/>
        </w:tabs>
        <w:numPr>
          <w:ilvl w:val="0"/>
          <w:numId w:val="46"/>
        </w:numPr>
        <w:rPr>
          <w:rFonts w:ascii="Arial" w:cs="Arial" w:eastAsia="Arial" w:hAnsi="Arial"/>
          <w:sz w:val="14"/>
          <w:szCs w:val="14"/>
          <w:color w:val="auto"/>
        </w:rPr>
      </w:pPr>
      <w:r>
        <w:rPr>
          <w:rFonts w:ascii="Arial" w:cs="Arial" w:eastAsia="Arial" w:hAnsi="Arial"/>
          <w:sz w:val="16"/>
          <w:szCs w:val="16"/>
          <w:b w:val="1"/>
          <w:bCs w:val="1"/>
          <w:color w:val="auto"/>
        </w:rPr>
        <w:t xml:space="preserve">Nielsen Holdings plc, </w:t>
      </w:r>
      <w:r>
        <w:rPr>
          <w:rFonts w:ascii="Arial" w:cs="Arial" w:eastAsia="Arial" w:hAnsi="Arial"/>
          <w:sz w:val="14"/>
          <w:szCs w:val="14"/>
          <w:color w:val="auto"/>
        </w:rPr>
        <w:t>a global measurement and data analytics company</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Chief Financial Officer (2014 - 2018)</w:t>
      </w:r>
    </w:p>
    <w:p>
      <w:pPr>
        <w:spacing w:after="0" w:line="56" w:lineRule="exact"/>
        <w:rPr>
          <w:rFonts w:ascii="Arial" w:cs="Arial" w:eastAsia="Arial" w:hAnsi="Arial"/>
          <w:sz w:val="14"/>
          <w:szCs w:val="14"/>
          <w:color w:val="auto"/>
        </w:rPr>
      </w:pPr>
    </w:p>
    <w:p>
      <w:pPr>
        <w:ind w:left="560" w:right="2679" w:hanging="275"/>
        <w:spacing w:after="0" w:line="274" w:lineRule="auto"/>
        <w:tabs>
          <w:tab w:leader="none" w:pos="551" w:val="left"/>
        </w:tabs>
        <w:numPr>
          <w:ilvl w:val="0"/>
          <w:numId w:val="46"/>
        </w:numPr>
        <w:rPr>
          <w:rFonts w:ascii="Arial" w:cs="Arial" w:eastAsia="Arial" w:hAnsi="Arial"/>
          <w:sz w:val="13"/>
          <w:szCs w:val="13"/>
          <w:color w:val="auto"/>
        </w:rPr>
      </w:pPr>
      <w:r>
        <w:rPr>
          <w:rFonts w:ascii="Arial" w:cs="Arial" w:eastAsia="Arial" w:hAnsi="Arial"/>
          <w:sz w:val="14"/>
          <w:szCs w:val="14"/>
          <w:b w:val="1"/>
          <w:bCs w:val="1"/>
          <w:color w:val="auto"/>
        </w:rPr>
        <w:t xml:space="preserve">General Electric Corporation, </w:t>
      </w:r>
      <w:r>
        <w:rPr>
          <w:rFonts w:ascii="Arial" w:cs="Arial" w:eastAsia="Arial" w:hAnsi="Arial"/>
          <w:sz w:val="13"/>
          <w:szCs w:val="13"/>
          <w:color w:val="auto"/>
        </w:rPr>
        <w:t>an American multinational company and</w:t>
      </w:r>
      <w:r>
        <w:rPr>
          <w:rFonts w:ascii="Arial" w:cs="Arial" w:eastAsia="Arial" w:hAnsi="Arial"/>
          <w:sz w:val="14"/>
          <w:szCs w:val="14"/>
          <w:b w:val="1"/>
          <w:bCs w:val="1"/>
          <w:color w:val="auto"/>
        </w:rPr>
        <w:t xml:space="preserve"> </w:t>
      </w:r>
      <w:r>
        <w:rPr>
          <w:rFonts w:ascii="Arial" w:cs="Arial" w:eastAsia="Arial" w:hAnsi="Arial"/>
          <w:sz w:val="13"/>
          <w:szCs w:val="13"/>
          <w:color w:val="auto"/>
        </w:rPr>
        <w:t>leader in the power renewable energy, aviation and healthcare industries</w:t>
      </w:r>
    </w:p>
    <w:p>
      <w:pPr>
        <w:ind w:left="840" w:right="2619" w:hanging="280"/>
        <w:spacing w:after="0" w:line="268" w:lineRule="auto"/>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Vice President and Chief Financial Officer, General Electric Oil and Gas,</w:t>
      </w:r>
      <w:r>
        <w:rPr>
          <w:rFonts w:ascii="Arial" w:cs="Arial" w:eastAsia="Arial" w:hAnsi="Arial"/>
          <w:sz w:val="12"/>
          <w:szCs w:val="12"/>
          <w:color w:val="auto"/>
        </w:rPr>
        <w:t xml:space="preserve"> </w:t>
      </w:r>
      <w:r>
        <w:rPr>
          <w:rFonts w:ascii="Arial" w:cs="Arial" w:eastAsia="Arial" w:hAnsi="Arial"/>
          <w:sz w:val="14"/>
          <w:szCs w:val="14"/>
          <w:color w:val="auto"/>
        </w:rPr>
        <w:t>drilling and surface division (2013 - 2014)</w:t>
      </w:r>
    </w:p>
    <w:p>
      <w:pPr>
        <w:ind w:left="56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Executive, Finance, General Electric Aviation (2007 - 2013)</w:t>
      </w:r>
    </w:p>
    <w:p>
      <w:pPr>
        <w:spacing w:after="0" w:line="27"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Finance Executive, General Electric Corporate (2004 - 2007)</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560" w:hanging="275"/>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Certified Public Accountant</w:t>
      </w:r>
    </w:p>
    <w:p>
      <w:pPr>
        <w:spacing w:after="0" w:line="49" w:lineRule="exact"/>
        <w:rPr>
          <w:rFonts w:ascii="Arial" w:cs="Arial" w:eastAsia="Arial" w:hAnsi="Arial"/>
          <w:sz w:val="14"/>
          <w:szCs w:val="14"/>
          <w:color w:val="auto"/>
        </w:rPr>
      </w:pPr>
    </w:p>
    <w:p>
      <w:pPr>
        <w:ind w:left="560" w:hanging="275"/>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Not-for-profit boards of directors:</w:t>
      </w:r>
    </w:p>
    <w:p>
      <w:pPr>
        <w:spacing w:after="0" w:line="6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Youth Villages</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   Future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2234565</wp:posOffset>
            </wp:positionV>
            <wp:extent cx="185420" cy="1854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2234565</wp:posOffset>
            </wp:positionV>
            <wp:extent cx="185420" cy="1854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2234565</wp:posOffset>
            </wp:positionV>
            <wp:extent cx="185420" cy="1854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2234565</wp:posOffset>
            </wp:positionV>
            <wp:extent cx="185420" cy="1854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480"/>
            <w:col w:w="7939"/>
          </w:cols>
          <w:pgMar w:left="320" w:top="8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719455</wp:posOffset>
            </wp:positionV>
            <wp:extent cx="1134745" cy="11347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Gabrielle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123888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Audit</w:t>
      </w:r>
    </w:p>
    <w:p>
      <w:pPr>
        <w:spacing w:after="0" w:line="49" w:lineRule="exact"/>
        <w:rPr>
          <w:sz w:val="20"/>
          <w:szCs w:val="20"/>
          <w:color w:val="auto"/>
        </w:rPr>
      </w:pPr>
    </w:p>
    <w:p>
      <w:pPr>
        <w:ind w:left="280" w:right="100" w:hanging="140"/>
        <w:spacing w:after="0" w:line="287" w:lineRule="auto"/>
        <w:rPr>
          <w:sz w:val="20"/>
          <w:szCs w:val="20"/>
          <w:color w:val="auto"/>
        </w:rPr>
      </w:pPr>
      <w:r>
        <w:rPr>
          <w:rFonts w:ascii="Arial" w:cs="Arial" w:eastAsia="Arial" w:hAnsi="Arial"/>
          <w:sz w:val="14"/>
          <w:szCs w:val="14"/>
          <w:color w:val="auto"/>
        </w:rPr>
        <w:t>– Directors and Corporate Governance</w:t>
      </w: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Mastercard Incorporated</w:t>
      </w:r>
    </w:p>
    <w:p>
      <w:pPr>
        <w:spacing w:after="0" w:line="60" w:lineRule="exact"/>
        <w:rPr>
          <w:sz w:val="20"/>
          <w:szCs w:val="20"/>
          <w:color w:val="auto"/>
        </w:rPr>
      </w:pPr>
    </w:p>
    <w:p>
      <w:pPr>
        <w:ind w:left="280" w:right="260" w:hanging="140"/>
        <w:spacing w:after="0" w:line="279" w:lineRule="auto"/>
        <w:rPr>
          <w:sz w:val="20"/>
          <w:szCs w:val="20"/>
          <w:color w:val="auto"/>
        </w:rPr>
      </w:pPr>
      <w:r>
        <w:rPr>
          <w:rFonts w:ascii="Arial" w:cs="Arial" w:eastAsia="Arial" w:hAnsi="Arial"/>
          <w:sz w:val="14"/>
          <w:szCs w:val="14"/>
          <w:color w:val="auto"/>
        </w:rPr>
        <w:t>– Cerevel Therapeutics Holdings, Inc.</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Warby Parker Inc.</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280" w:right="300" w:hanging="140"/>
        <w:spacing w:after="0" w:line="287" w:lineRule="auto"/>
        <w:rPr>
          <w:sz w:val="20"/>
          <w:szCs w:val="20"/>
          <w:color w:val="auto"/>
        </w:rPr>
      </w:pPr>
      <w:r>
        <w:rPr>
          <w:rFonts w:ascii="Arial" w:cs="Arial" w:eastAsia="Arial" w:hAnsi="Arial"/>
          <w:sz w:val="14"/>
          <w:szCs w:val="14"/>
          <w:color w:val="auto"/>
        </w:rPr>
        <w:t>– Teva Pharmaceutical Industries Limited</w:t>
      </w:r>
    </w:p>
    <w:p>
      <w:pPr>
        <w:ind w:left="280" w:right="120" w:hanging="140"/>
        <w:spacing w:after="0" w:line="287" w:lineRule="auto"/>
        <w:rPr>
          <w:sz w:val="20"/>
          <w:szCs w:val="20"/>
          <w:color w:val="auto"/>
        </w:rPr>
      </w:pPr>
      <w:r>
        <w:rPr>
          <w:rFonts w:ascii="Arial" w:cs="Arial" w:eastAsia="Arial" w:hAnsi="Arial"/>
          <w:sz w:val="14"/>
          <w:szCs w:val="14"/>
          <w:color w:val="auto"/>
        </w:rPr>
        <w:t>– Brixmor Property Group Inc.</w:t>
      </w: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801370" cy="267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1370" cy="26733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2872740</wp:posOffset>
            </wp:positionV>
            <wp:extent cx="185420" cy="1854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19881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86810" cy="1988185"/>
                    </a:xfrm>
                    <a:prstGeom prst="rect">
                      <a:avLst/>
                    </a:prstGeom>
                    <a:noFill/>
                  </pic:spPr>
                </pic:pic>
              </a:graphicData>
            </a:graphic>
          </wp:anchor>
        </w:drawing>
      </w:r>
    </w:p>
    <w:p>
      <w:pPr>
        <w:spacing w:after="0" w:line="116" w:lineRule="exact"/>
        <w:rPr>
          <w:sz w:val="20"/>
          <w:szCs w:val="20"/>
          <w:color w:val="auto"/>
        </w:rPr>
      </w:pPr>
    </w:p>
    <w:p>
      <w:pPr>
        <w:ind w:right="2639"/>
        <w:spacing w:after="0" w:line="276" w:lineRule="auto"/>
        <w:rPr>
          <w:sz w:val="20"/>
          <w:szCs w:val="20"/>
          <w:color w:val="auto"/>
        </w:rPr>
      </w:pPr>
      <w:r>
        <w:rPr>
          <w:rFonts w:ascii="Arial" w:cs="Arial" w:eastAsia="Arial" w:hAnsi="Arial"/>
          <w:sz w:val="14"/>
          <w:szCs w:val="14"/>
          <w:i w:val="1"/>
          <w:iCs w:val="1"/>
          <w:color w:val="auto"/>
        </w:rPr>
        <w:t>Ms. Sulzberger brings over 30 years of experience advising public and privately held companies in consumer products, retail, financial services, and life sciences.</w:t>
      </w:r>
    </w:p>
    <w:p>
      <w:pPr>
        <w:spacing w:after="0" w:line="2" w:lineRule="exact"/>
        <w:rPr>
          <w:sz w:val="20"/>
          <w:szCs w:val="20"/>
          <w:color w:val="auto"/>
        </w:rPr>
      </w:pPr>
    </w:p>
    <w:p>
      <w:pPr>
        <w:ind w:left="560" w:right="2499" w:hanging="276"/>
        <w:spacing w:after="0" w:line="278" w:lineRule="auto"/>
        <w:tabs>
          <w:tab w:leader="none" w:pos="557" w:val="left"/>
        </w:tabs>
        <w:numPr>
          <w:ilvl w:val="0"/>
          <w:numId w:val="50"/>
        </w:numPr>
        <w:rPr>
          <w:rFonts w:ascii="Times New Roman" w:cs="Times New Roman" w:eastAsia="Times New Roman" w:hAnsi="Times New Roman"/>
          <w:sz w:val="12"/>
          <w:szCs w:val="12"/>
          <w:color w:val="auto"/>
        </w:rPr>
      </w:pPr>
      <w:r>
        <w:rPr>
          <w:rFonts w:ascii="Arial" w:cs="Arial" w:eastAsia="Arial" w:hAnsi="Arial"/>
          <w:sz w:val="14"/>
          <w:szCs w:val="14"/>
          <w:color w:val="auto"/>
        </w:rPr>
        <w:t>Ms. Sulzberger’s career in private equity has given her valuable experience in helping companies navigate disruption and transformation, engage with shareholders, and position businesses for growth and success.</w:t>
      </w:r>
    </w:p>
    <w:p>
      <w:pPr>
        <w:spacing w:after="0" w:line="1" w:lineRule="exact"/>
        <w:rPr>
          <w:rFonts w:ascii="Times New Roman" w:cs="Times New Roman" w:eastAsia="Times New Roman" w:hAnsi="Times New Roman"/>
          <w:sz w:val="12"/>
          <w:szCs w:val="12"/>
          <w:color w:val="auto"/>
        </w:rPr>
      </w:pPr>
    </w:p>
    <w:p>
      <w:pPr>
        <w:ind w:left="560" w:right="2339" w:hanging="276"/>
        <w:spacing w:after="0" w:line="270" w:lineRule="auto"/>
        <w:tabs>
          <w:tab w:leader="none" w:pos="557" w:val="left"/>
        </w:tabs>
        <w:numPr>
          <w:ilvl w:val="0"/>
          <w:numId w:val="50"/>
        </w:numPr>
        <w:rPr>
          <w:rFonts w:ascii="Times New Roman" w:cs="Times New Roman" w:eastAsia="Times New Roman" w:hAnsi="Times New Roman"/>
          <w:sz w:val="12"/>
          <w:szCs w:val="12"/>
          <w:color w:val="auto"/>
        </w:rPr>
      </w:pPr>
      <w:r>
        <w:rPr>
          <w:rFonts w:ascii="Arial" w:cs="Arial" w:eastAsia="Arial" w:hAnsi="Arial"/>
          <w:sz w:val="14"/>
          <w:szCs w:val="14"/>
          <w:color w:val="auto"/>
        </w:rPr>
        <w:t>Ms. Sulzberger provides global perspective as the Chair of Global ESG Advisory at Teneo, supporting Lilly and the Board’s commitment to continuous progress and improving our positive impact on people, the planet and society.</w:t>
      </w:r>
    </w:p>
    <w:p>
      <w:pPr>
        <w:spacing w:after="0" w:line="17" w:lineRule="exact"/>
        <w:rPr>
          <w:rFonts w:ascii="Times New Roman" w:cs="Times New Roman" w:eastAsia="Times New Roman" w:hAnsi="Times New Roman"/>
          <w:sz w:val="12"/>
          <w:szCs w:val="12"/>
          <w:color w:val="auto"/>
        </w:rPr>
      </w:pPr>
    </w:p>
    <w:p>
      <w:pPr>
        <w:ind w:left="560" w:right="2459" w:hanging="276"/>
        <w:spacing w:after="0" w:line="270" w:lineRule="auto"/>
        <w:tabs>
          <w:tab w:leader="none" w:pos="557" w:val="left"/>
        </w:tabs>
        <w:numPr>
          <w:ilvl w:val="0"/>
          <w:numId w:val="50"/>
        </w:numPr>
        <w:rPr>
          <w:rFonts w:ascii="Times New Roman" w:cs="Times New Roman" w:eastAsia="Times New Roman" w:hAnsi="Times New Roman"/>
          <w:sz w:val="12"/>
          <w:szCs w:val="12"/>
          <w:color w:val="auto"/>
        </w:rPr>
      </w:pPr>
      <w:r>
        <w:rPr>
          <w:rFonts w:ascii="Arial" w:cs="Arial" w:eastAsia="Arial" w:hAnsi="Arial"/>
          <w:sz w:val="14"/>
          <w:szCs w:val="14"/>
          <w:color w:val="auto"/>
        </w:rPr>
        <w:t>Ms. Sulzberger developed deep corporate governance experience through her work with corporate boards, both as a board member and as a governance committee chair.</w:t>
      </w:r>
    </w:p>
    <w:p>
      <w:pPr>
        <w:spacing w:after="0" w:line="5" w:lineRule="exact"/>
        <w:rPr>
          <w:rFonts w:ascii="Times New Roman" w:cs="Times New Roman" w:eastAsia="Times New Roman" w:hAnsi="Times New Roman"/>
          <w:sz w:val="12"/>
          <w:szCs w:val="12"/>
          <w:color w:val="auto"/>
        </w:rPr>
      </w:pPr>
    </w:p>
    <w:p>
      <w:pPr>
        <w:ind w:left="560" w:right="2459" w:hanging="276"/>
        <w:spacing w:after="0" w:line="267" w:lineRule="auto"/>
        <w:tabs>
          <w:tab w:leader="none" w:pos="557" w:val="left"/>
        </w:tabs>
        <w:numPr>
          <w:ilvl w:val="0"/>
          <w:numId w:val="50"/>
        </w:numPr>
        <w:rPr>
          <w:rFonts w:ascii="Times New Roman" w:cs="Times New Roman" w:eastAsia="Times New Roman" w:hAnsi="Times New Roman"/>
          <w:sz w:val="12"/>
          <w:szCs w:val="12"/>
          <w:color w:val="auto"/>
        </w:rPr>
      </w:pPr>
      <w:r>
        <w:rPr>
          <w:rFonts w:ascii="Arial" w:cs="Arial" w:eastAsia="Arial" w:hAnsi="Arial"/>
          <w:sz w:val="14"/>
          <w:szCs w:val="14"/>
          <w:color w:val="auto"/>
        </w:rPr>
        <w:t>Ms. Sulzberger also draws on experiences from her prior service as chief financial officer of several public and private companies and audit committee chair of several public companies, providing leadership as an Audit Committee Financial Expert.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hanging="276"/>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6"/>
          <w:szCs w:val="16"/>
          <w:b w:val="1"/>
          <w:bCs w:val="1"/>
          <w:color w:val="auto"/>
        </w:rPr>
        <w:t xml:space="preserve">Teneo, </w:t>
      </w:r>
      <w:r>
        <w:rPr>
          <w:rFonts w:ascii="Arial" w:cs="Arial" w:eastAsia="Arial" w:hAnsi="Arial"/>
          <w:sz w:val="14"/>
          <w:szCs w:val="14"/>
          <w:color w:val="auto"/>
        </w:rPr>
        <w:t>a global CEO advisory firm</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 of Global ESG Advisory (2021 - present)</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6"/>
          <w:szCs w:val="16"/>
          <w:b w:val="1"/>
          <w:bCs w:val="1"/>
          <w:color w:val="auto"/>
        </w:rPr>
        <w:t>Two Sigma Impact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auto"/>
        </w:rPr>
        <w:t>a private equity firm based in New York, New York</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Advisor (2021 - present)</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6"/>
          <w:szCs w:val="16"/>
          <w:b w:val="1"/>
          <w:bCs w:val="1"/>
          <w:color w:val="auto"/>
        </w:rPr>
        <w:t xml:space="preserve">Centerbridge Partners, </w:t>
      </w:r>
      <w:r>
        <w:rPr>
          <w:rFonts w:ascii="Arial" w:cs="Arial" w:eastAsia="Arial" w:hAnsi="Arial"/>
          <w:sz w:val="14"/>
          <w:szCs w:val="14"/>
          <w:color w:val="auto"/>
        </w:rPr>
        <w:t>a multidisciplinary investment firm</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Advisor (2021 - present)</w:t>
      </w:r>
    </w:p>
    <w:p>
      <w:pPr>
        <w:spacing w:after="0" w:line="56" w:lineRule="exact"/>
        <w:rPr>
          <w:rFonts w:ascii="Arial" w:cs="Arial" w:eastAsia="Arial" w:hAnsi="Arial"/>
          <w:sz w:val="14"/>
          <w:szCs w:val="14"/>
          <w:color w:val="auto"/>
        </w:rPr>
      </w:pPr>
    </w:p>
    <w:p>
      <w:pPr>
        <w:ind w:left="560" w:right="2859" w:hanging="276"/>
        <w:spacing w:after="0" w:line="250" w:lineRule="auto"/>
        <w:tabs>
          <w:tab w:leader="none" w:pos="551" w:val="left"/>
        </w:tabs>
        <w:numPr>
          <w:ilvl w:val="0"/>
          <w:numId w:val="51"/>
        </w:numPr>
        <w:rPr>
          <w:rFonts w:ascii="Arial" w:cs="Arial" w:eastAsia="Arial" w:hAnsi="Arial"/>
          <w:sz w:val="14"/>
          <w:szCs w:val="14"/>
          <w:color w:val="auto"/>
        </w:rPr>
      </w:pPr>
      <w:r>
        <w:rPr>
          <w:rFonts w:ascii="Arial" w:cs="Arial" w:eastAsia="Arial" w:hAnsi="Arial"/>
          <w:sz w:val="16"/>
          <w:szCs w:val="16"/>
          <w:b w:val="1"/>
          <w:bCs w:val="1"/>
          <w:color w:val="auto"/>
        </w:rPr>
        <w:t xml:space="preserve">Rustic Canyon/Fontis Partners L.P., </w:t>
      </w:r>
      <w:r>
        <w:rPr>
          <w:rFonts w:ascii="Arial" w:cs="Arial" w:eastAsia="Arial" w:hAnsi="Arial"/>
          <w:sz w:val="14"/>
          <w:szCs w:val="14"/>
          <w:color w:val="auto"/>
        </w:rPr>
        <w:t>a private equity firm based in</w:t>
      </w:r>
      <w:r>
        <w:rPr>
          <w:rFonts w:ascii="Arial" w:cs="Arial" w:eastAsia="Arial" w:hAnsi="Arial"/>
          <w:sz w:val="16"/>
          <w:szCs w:val="16"/>
          <w:b w:val="1"/>
          <w:bCs w:val="1"/>
          <w:color w:val="auto"/>
        </w:rPr>
        <w:t xml:space="preserve"> </w:t>
      </w:r>
      <w:r>
        <w:rPr>
          <w:rFonts w:ascii="Arial" w:cs="Arial" w:eastAsia="Arial" w:hAnsi="Arial"/>
          <w:sz w:val="14"/>
          <w:szCs w:val="14"/>
          <w:color w:val="auto"/>
        </w:rPr>
        <w:t>California</w:t>
      </w:r>
    </w:p>
    <w:p>
      <w:pPr>
        <w:spacing w:after="0" w:line="1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General Partner (2005 - 2018)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77" w:lineRule="exact"/>
        <w:rPr>
          <w:sz w:val="20"/>
          <w:szCs w:val="20"/>
          <w:color w:val="auto"/>
        </w:rPr>
      </w:pPr>
    </w:p>
    <w:p>
      <w:pPr>
        <w:ind w:left="560" w:hanging="276"/>
        <w:spacing w:after="0"/>
        <w:tabs>
          <w:tab w:leader="none" w:pos="560" w:val="left"/>
        </w:tabs>
        <w:numPr>
          <w:ilvl w:val="0"/>
          <w:numId w:val="52"/>
        </w:numPr>
        <w:rPr>
          <w:rFonts w:ascii="Cambria" w:cs="Cambria" w:eastAsia="Cambria" w:hAnsi="Cambria"/>
          <w:sz w:val="14"/>
          <w:szCs w:val="14"/>
          <w:b w:val="1"/>
          <w:bCs w:val="1"/>
          <w:color w:val="auto"/>
        </w:rPr>
      </w:pPr>
      <w:r>
        <w:rPr>
          <w:rFonts w:ascii="Arial" w:cs="Arial" w:eastAsia="Arial" w:hAnsi="Arial"/>
          <w:sz w:val="14"/>
          <w:szCs w:val="14"/>
          <w:color w:val="auto"/>
        </w:rPr>
        <w:t>Director or Trustee of the following not-for-profit organizations:</w:t>
      </w:r>
    </w:p>
    <w:p>
      <w:pPr>
        <w:spacing w:after="0" w:line="46" w:lineRule="exact"/>
        <w:rPr>
          <w:rFonts w:ascii="Cambria" w:cs="Cambria" w:eastAsia="Cambria" w:hAnsi="Cambria"/>
          <w:sz w:val="14"/>
          <w:szCs w:val="14"/>
          <w:b w:val="1"/>
          <w:bCs w:val="1"/>
          <w:color w:val="auto"/>
        </w:rPr>
      </w:pPr>
    </w:p>
    <w:p>
      <w:pPr>
        <w:ind w:left="560"/>
        <w:spacing w:after="0"/>
        <w:rPr>
          <w:rFonts w:ascii="Cambria" w:cs="Cambria" w:eastAsia="Cambria" w:hAnsi="Cambria"/>
          <w:sz w:val="14"/>
          <w:szCs w:val="14"/>
          <w:b w:val="1"/>
          <w:bCs w:val="1"/>
          <w:color w:val="auto"/>
        </w:rPr>
      </w:pPr>
      <w:r>
        <w:rPr>
          <w:rFonts w:ascii="Arial" w:cs="Arial" w:eastAsia="Arial" w:hAnsi="Arial"/>
          <w:sz w:val="12"/>
          <w:szCs w:val="12"/>
          <w:color w:val="auto"/>
        </w:rPr>
        <w:t xml:space="preserve">–   </w:t>
      </w:r>
      <w:r>
        <w:rPr>
          <w:rFonts w:ascii="Arial" w:cs="Arial" w:eastAsia="Arial" w:hAnsi="Arial"/>
          <w:sz w:val="14"/>
          <w:szCs w:val="14"/>
          <w:color w:val="auto"/>
        </w:rPr>
        <w:t>Metropolitan Museum of Art</w:t>
      </w:r>
    </w:p>
    <w:p>
      <w:pPr>
        <w:spacing w:after="0" w:line="60" w:lineRule="exact"/>
        <w:rPr>
          <w:rFonts w:ascii="Cambria" w:cs="Cambria" w:eastAsia="Cambria" w:hAnsi="Cambria"/>
          <w:sz w:val="14"/>
          <w:szCs w:val="14"/>
          <w:b w:val="1"/>
          <w:bCs w:val="1"/>
          <w:color w:val="auto"/>
        </w:rPr>
      </w:pPr>
    </w:p>
    <w:p>
      <w:pPr>
        <w:ind w:left="560"/>
        <w:spacing w:after="0"/>
        <w:rPr>
          <w:rFonts w:ascii="Cambria" w:cs="Cambria" w:eastAsia="Cambria" w:hAnsi="Cambria"/>
          <w:sz w:val="14"/>
          <w:szCs w:val="14"/>
          <w:b w:val="1"/>
          <w:bCs w:val="1"/>
          <w:color w:val="auto"/>
        </w:rPr>
      </w:pPr>
      <w:r>
        <w:rPr>
          <w:rFonts w:ascii="Arial" w:cs="Arial" w:eastAsia="Arial" w:hAnsi="Arial"/>
          <w:sz w:val="12"/>
          <w:szCs w:val="12"/>
          <w:color w:val="auto"/>
        </w:rPr>
        <w:t xml:space="preserve">–   </w:t>
      </w:r>
      <w:r>
        <w:rPr>
          <w:rFonts w:ascii="Arial" w:cs="Arial" w:eastAsia="Arial" w:hAnsi="Arial"/>
          <w:sz w:val="14"/>
          <w:szCs w:val="14"/>
          <w:color w:val="auto"/>
        </w:rPr>
        <w:t>Ford Foundation</w:t>
      </w:r>
    </w:p>
    <w:p>
      <w:pPr>
        <w:spacing w:after="0" w:line="49" w:lineRule="exact"/>
        <w:rPr>
          <w:rFonts w:ascii="Cambria" w:cs="Cambria" w:eastAsia="Cambria" w:hAnsi="Cambria"/>
          <w:sz w:val="14"/>
          <w:szCs w:val="14"/>
          <w:b w:val="1"/>
          <w:bCs w:val="1"/>
          <w:color w:val="auto"/>
        </w:rPr>
      </w:pPr>
    </w:p>
    <w:p>
      <w:pPr>
        <w:ind w:left="560"/>
        <w:spacing w:after="0"/>
        <w:rPr>
          <w:rFonts w:ascii="Cambria" w:cs="Cambria" w:eastAsia="Cambria" w:hAnsi="Cambria"/>
          <w:sz w:val="14"/>
          <w:szCs w:val="14"/>
          <w:b w:val="1"/>
          <w:bCs w:val="1"/>
          <w:color w:val="auto"/>
        </w:rPr>
      </w:pPr>
      <w:r>
        <w:rPr>
          <w:rFonts w:ascii="Arial" w:cs="Arial" w:eastAsia="Arial" w:hAnsi="Arial"/>
          <w:sz w:val="12"/>
          <w:szCs w:val="12"/>
          <w:color w:val="auto"/>
        </w:rPr>
        <w:t xml:space="preserve">–   </w:t>
      </w:r>
      <w:r>
        <w:rPr>
          <w:rFonts w:ascii="Arial" w:cs="Arial" w:eastAsia="Arial" w:hAnsi="Arial"/>
          <w:sz w:val="14"/>
          <w:szCs w:val="14"/>
          <w:color w:val="auto"/>
        </w:rPr>
        <w:t>Trinity Church Wall Street</w:t>
      </w:r>
    </w:p>
    <w:p>
      <w:pPr>
        <w:spacing w:after="0" w:line="60" w:lineRule="exact"/>
        <w:rPr>
          <w:rFonts w:ascii="Cambria" w:cs="Cambria" w:eastAsia="Cambria" w:hAnsi="Cambria"/>
          <w:sz w:val="14"/>
          <w:szCs w:val="14"/>
          <w:b w:val="1"/>
          <w:bCs w:val="1"/>
          <w:color w:val="auto"/>
        </w:rPr>
      </w:pPr>
    </w:p>
    <w:p>
      <w:pPr>
        <w:ind w:left="560"/>
        <w:spacing w:after="0"/>
        <w:rPr>
          <w:rFonts w:ascii="Cambria" w:cs="Cambria" w:eastAsia="Cambria" w:hAnsi="Cambria"/>
          <w:sz w:val="14"/>
          <w:szCs w:val="14"/>
          <w:b w:val="1"/>
          <w:bCs w:val="1"/>
          <w:color w:val="auto"/>
        </w:rPr>
      </w:pPr>
      <w:r>
        <w:rPr>
          <w:rFonts w:ascii="Arial" w:cs="Arial" w:eastAsia="Arial" w:hAnsi="Arial"/>
          <w:sz w:val="12"/>
          <w:szCs w:val="12"/>
          <w:color w:val="auto"/>
        </w:rPr>
        <w:t xml:space="preserve">–   </w:t>
      </w:r>
      <w:r>
        <w:rPr>
          <w:rFonts w:ascii="Arial" w:cs="Arial" w:eastAsia="Arial" w:hAnsi="Arial"/>
          <w:sz w:val="14"/>
          <w:szCs w:val="14"/>
          <w:color w:val="auto"/>
        </w:rPr>
        <w:t>Sesame Street Workshop</w:t>
      </w:r>
    </w:p>
    <w:p>
      <w:pPr>
        <w:spacing w:after="0" w:line="49" w:lineRule="exact"/>
        <w:rPr>
          <w:rFonts w:ascii="Cambria" w:cs="Cambria" w:eastAsia="Cambria" w:hAnsi="Cambria"/>
          <w:sz w:val="14"/>
          <w:szCs w:val="14"/>
          <w:b w:val="1"/>
          <w:bCs w:val="1"/>
          <w:color w:val="auto"/>
        </w:rPr>
      </w:pPr>
    </w:p>
    <w:p>
      <w:pPr>
        <w:ind w:left="560" w:right="2339" w:hanging="276"/>
        <w:spacing w:after="0" w:line="274" w:lineRule="auto"/>
        <w:tabs>
          <w:tab w:leader="none" w:pos="552" w:val="left"/>
        </w:tabs>
        <w:numPr>
          <w:ilvl w:val="0"/>
          <w:numId w:val="52"/>
        </w:numPr>
        <w:rPr>
          <w:rFonts w:ascii="Cambria" w:cs="Cambria" w:eastAsia="Cambria" w:hAnsi="Cambria"/>
          <w:sz w:val="14"/>
          <w:szCs w:val="14"/>
          <w:b w:val="1"/>
          <w:bCs w:val="1"/>
          <w:color w:val="auto"/>
        </w:rPr>
      </w:pPr>
      <w:r>
        <w:rPr>
          <w:rFonts w:ascii="Arial" w:cs="Arial" w:eastAsia="Arial" w:hAnsi="Arial"/>
          <w:sz w:val="14"/>
          <w:szCs w:val="14"/>
          <w:color w:val="auto"/>
        </w:rPr>
        <w:t>Former director, board chair and chair of Audit Committee, Whole Foods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1967865</wp:posOffset>
            </wp:positionV>
            <wp:extent cx="185420" cy="1854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1967865</wp:posOffset>
            </wp:positionV>
            <wp:extent cx="185420" cy="1854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1967865</wp:posOffset>
            </wp:positionV>
            <wp:extent cx="185420" cy="1854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1967865</wp:posOffset>
            </wp:positionV>
            <wp:extent cx="185420" cy="1854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10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5"/>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17"/>
        </w:trPr>
        <w:tc>
          <w:tcPr>
            <w:tcW w:w="116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-221615</wp:posOffset>
            </wp:positionV>
            <wp:extent cx="185420" cy="1854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-221615</wp:posOffset>
            </wp:positionV>
            <wp:extent cx="185420" cy="1854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-221615</wp:posOffset>
            </wp:positionV>
            <wp:extent cx="185420" cy="1854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-221615</wp:posOffset>
            </wp:positionV>
            <wp:extent cx="185420" cy="1854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71" w:right="1440"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548640</wp:posOffset>
            </wp:positionV>
            <wp:extent cx="1134745" cy="11347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Jackson P. 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12388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72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2013</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Audit</w:t>
      </w:r>
    </w:p>
    <w:p>
      <w:pPr>
        <w:spacing w:after="0" w:line="60" w:lineRule="exact"/>
        <w:rPr>
          <w:sz w:val="20"/>
          <w:szCs w:val="20"/>
          <w:color w:val="auto"/>
        </w:rPr>
      </w:pPr>
    </w:p>
    <w:p>
      <w:pPr>
        <w:ind w:left="280" w:right="100" w:hanging="146"/>
        <w:spacing w:after="0" w:line="278"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Directors and Corporate</w:t>
      </w:r>
      <w:r>
        <w:rPr>
          <w:rFonts w:ascii="Arial" w:cs="Arial" w:eastAsia="Arial" w:hAnsi="Arial"/>
          <w:sz w:val="12"/>
          <w:szCs w:val="12"/>
          <w:color w:val="auto"/>
        </w:rPr>
        <w:t xml:space="preserve"> </w:t>
      </w:r>
      <w:r>
        <w:rPr>
          <w:rFonts w:ascii="Arial" w:cs="Arial" w:eastAsia="Arial" w:hAnsi="Arial"/>
          <w:sz w:val="14"/>
          <w:szCs w:val="14"/>
          <w:color w:val="auto"/>
        </w:rPr>
        <w:t>Governance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Mastercard Incorporated</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HSBC Holdings plc</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None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068070" cy="267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68070" cy="267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21215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86810" cy="2121535"/>
                    </a:xfrm>
                    <a:prstGeom prst="rect">
                      <a:avLst/>
                    </a:prstGeom>
                    <a:noFill/>
                  </pic:spPr>
                </pic:pic>
              </a:graphicData>
            </a:graphic>
          </wp:anchor>
        </w:drawing>
      </w:r>
    </w:p>
    <w:p>
      <w:pPr>
        <w:spacing w:after="0" w:line="116" w:lineRule="exact"/>
        <w:rPr>
          <w:sz w:val="20"/>
          <w:szCs w:val="20"/>
          <w:color w:val="auto"/>
        </w:rPr>
      </w:pPr>
    </w:p>
    <w:p>
      <w:pPr>
        <w:ind w:right="2499"/>
        <w:spacing w:after="0" w:line="260" w:lineRule="auto"/>
        <w:rPr>
          <w:sz w:val="20"/>
          <w:szCs w:val="20"/>
          <w:color w:val="auto"/>
        </w:rPr>
      </w:pPr>
      <w:r>
        <w:rPr>
          <w:rFonts w:ascii="Arial" w:cs="Arial" w:eastAsia="Arial" w:hAnsi="Arial"/>
          <w:sz w:val="14"/>
          <w:szCs w:val="14"/>
          <w:i w:val="1"/>
          <w:iCs w:val="1"/>
          <w:color w:val="auto"/>
        </w:rPr>
        <w:t>Mr. Tai is an accomplished international business executive who combines strong investment banking credentials, a depth of expertise about operating in Asia and broad experience as a non-executive board director across a wide range of sectors and geographies.</w:t>
      </w:r>
    </w:p>
    <w:p>
      <w:pPr>
        <w:spacing w:after="0" w:line="25" w:lineRule="exact"/>
        <w:rPr>
          <w:sz w:val="20"/>
          <w:szCs w:val="20"/>
          <w:color w:val="auto"/>
        </w:rPr>
      </w:pPr>
    </w:p>
    <w:p>
      <w:pPr>
        <w:ind w:left="560" w:right="2339" w:hanging="276"/>
        <w:spacing w:after="0" w:line="270" w:lineRule="auto"/>
        <w:tabs>
          <w:tab w:leader="none" w:pos="557" w:val="left"/>
        </w:tabs>
        <w:numPr>
          <w:ilvl w:val="0"/>
          <w:numId w:val="55"/>
        </w:numPr>
        <w:rPr>
          <w:rFonts w:ascii="Times New Roman" w:cs="Times New Roman" w:eastAsia="Times New Roman" w:hAnsi="Times New Roman"/>
          <w:sz w:val="12"/>
          <w:szCs w:val="12"/>
          <w:color w:val="auto"/>
        </w:rPr>
      </w:pPr>
      <w:r>
        <w:rPr>
          <w:rFonts w:ascii="Arial" w:cs="Arial" w:eastAsia="Arial" w:hAnsi="Arial"/>
          <w:sz w:val="14"/>
          <w:szCs w:val="14"/>
          <w:color w:val="auto"/>
        </w:rPr>
        <w:t>Mr. Tai’s distinguished career at DBS Group Holdings Ltd, one of the largest financial services groups in Asia, provides deep knowledge of the complex Asia-Pacific region.</w:t>
      </w:r>
    </w:p>
    <w:p>
      <w:pPr>
        <w:spacing w:after="0" w:line="5" w:lineRule="exact"/>
        <w:rPr>
          <w:rFonts w:ascii="Times New Roman" w:cs="Times New Roman" w:eastAsia="Times New Roman" w:hAnsi="Times New Roman"/>
          <w:sz w:val="12"/>
          <w:szCs w:val="12"/>
          <w:color w:val="auto"/>
        </w:rPr>
      </w:pPr>
    </w:p>
    <w:p>
      <w:pPr>
        <w:ind w:left="560" w:right="2359" w:hanging="276"/>
        <w:spacing w:after="0" w:line="270" w:lineRule="auto"/>
        <w:tabs>
          <w:tab w:leader="none" w:pos="557" w:val="left"/>
        </w:tabs>
        <w:numPr>
          <w:ilvl w:val="0"/>
          <w:numId w:val="55"/>
        </w:numPr>
        <w:rPr>
          <w:rFonts w:ascii="Times New Roman" w:cs="Times New Roman" w:eastAsia="Times New Roman" w:hAnsi="Times New Roman"/>
          <w:sz w:val="12"/>
          <w:szCs w:val="12"/>
          <w:color w:val="auto"/>
        </w:rPr>
      </w:pPr>
      <w:r>
        <w:rPr>
          <w:rFonts w:ascii="Arial" w:cs="Arial" w:eastAsia="Arial" w:hAnsi="Arial"/>
          <w:sz w:val="14"/>
          <w:szCs w:val="14"/>
          <w:color w:val="auto"/>
        </w:rPr>
        <w:t>Mr. Tai is an accomplished leader with international business, global capital markets, enterprise risk, and financial services experience, including developing emerging markets.</w:t>
      </w:r>
    </w:p>
    <w:p>
      <w:pPr>
        <w:spacing w:after="0" w:line="14" w:lineRule="exact"/>
        <w:rPr>
          <w:rFonts w:ascii="Times New Roman" w:cs="Times New Roman" w:eastAsia="Times New Roman" w:hAnsi="Times New Roman"/>
          <w:sz w:val="12"/>
          <w:szCs w:val="12"/>
          <w:color w:val="auto"/>
        </w:rPr>
      </w:pPr>
    </w:p>
    <w:p>
      <w:pPr>
        <w:ind w:left="560" w:right="2279" w:hanging="276"/>
        <w:spacing w:after="0" w:line="294" w:lineRule="auto"/>
        <w:tabs>
          <w:tab w:leader="none" w:pos="557" w:val="left"/>
        </w:tabs>
        <w:numPr>
          <w:ilvl w:val="0"/>
          <w:numId w:val="55"/>
        </w:numPr>
        <w:rPr>
          <w:rFonts w:ascii="Times New Roman" w:cs="Times New Roman" w:eastAsia="Times New Roman" w:hAnsi="Times New Roman"/>
          <w:sz w:val="12"/>
          <w:szCs w:val="12"/>
          <w:color w:val="auto"/>
        </w:rPr>
      </w:pPr>
      <w:r>
        <w:rPr>
          <w:rFonts w:ascii="Arial" w:cs="Arial" w:eastAsia="Arial" w:hAnsi="Arial"/>
          <w:sz w:val="14"/>
          <w:szCs w:val="14"/>
          <w:color w:val="auto"/>
        </w:rPr>
        <w:t>Mr. Tai brings a valuable combination of strategic and executive skills, alo</w:t>
      </w:r>
      <w:r>
        <w:rPr>
          <w:rFonts w:ascii="Arial" w:cs="Arial" w:eastAsia="Arial" w:hAnsi="Arial"/>
          <w:sz w:val="15"/>
          <w:szCs w:val="15"/>
          <w:color w:val="auto"/>
        </w:rPr>
        <w:t>ng with</w:t>
      </w:r>
      <w:r>
        <w:rPr>
          <w:rFonts w:ascii="Arial" w:cs="Arial" w:eastAsia="Arial" w:hAnsi="Arial"/>
          <w:sz w:val="14"/>
          <w:szCs w:val="14"/>
          <w:color w:val="auto"/>
        </w:rPr>
        <w:t xml:space="preserve"> </w:t>
      </w:r>
      <w:r>
        <w:rPr>
          <w:rFonts w:ascii="Arial" w:cs="Arial" w:eastAsia="Arial" w:hAnsi="Arial"/>
          <w:sz w:val="15"/>
          <w:szCs w:val="15"/>
          <w:color w:val="auto"/>
        </w:rPr>
        <w:t xml:space="preserve">a </w:t>
      </w:r>
      <w:r>
        <w:rPr>
          <w:rFonts w:ascii="Arial" w:cs="Arial" w:eastAsia="Arial" w:hAnsi="Arial"/>
          <w:sz w:val="14"/>
          <w:szCs w:val="14"/>
          <w:color w:val="auto"/>
        </w:rPr>
        <w:t>strong network of business and regulatory connections.</w:t>
      </w:r>
    </w:p>
    <w:p>
      <w:pPr>
        <w:ind w:left="560" w:right="2319" w:hanging="276"/>
        <w:spacing w:after="0" w:line="261" w:lineRule="auto"/>
        <w:tabs>
          <w:tab w:leader="none" w:pos="557" w:val="left"/>
        </w:tabs>
        <w:numPr>
          <w:ilvl w:val="0"/>
          <w:numId w:val="55"/>
        </w:numPr>
        <w:rPr>
          <w:rFonts w:ascii="Times New Roman" w:cs="Times New Roman" w:eastAsia="Times New Roman" w:hAnsi="Times New Roman"/>
          <w:sz w:val="12"/>
          <w:szCs w:val="12"/>
          <w:color w:val="auto"/>
        </w:rPr>
      </w:pPr>
      <w:r>
        <w:rPr>
          <w:rFonts w:ascii="Arial" w:cs="Arial" w:eastAsia="Arial" w:hAnsi="Arial"/>
          <w:sz w:val="14"/>
          <w:szCs w:val="14"/>
          <w:color w:val="auto"/>
        </w:rPr>
        <w:t>Mr. Tai also brings a wealth of corporate governance experience from his service on corporate and institutional investor boards in North America, Europe, and Asia, including NYSE Euronext, Bank of China, Singapore Airlines, and the Canada Pension Plan Investment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right="2979" w:hanging="276"/>
        <w:spacing w:after="0" w:line="316" w:lineRule="auto"/>
        <w:tabs>
          <w:tab w:leader="none" w:pos="551" w:val="left"/>
        </w:tabs>
        <w:numPr>
          <w:ilvl w:val="0"/>
          <w:numId w:val="56"/>
        </w:numPr>
        <w:rPr>
          <w:rFonts w:ascii="Arial" w:cs="Arial" w:eastAsia="Arial" w:hAnsi="Arial"/>
          <w:sz w:val="13"/>
          <w:szCs w:val="13"/>
          <w:color w:val="auto"/>
        </w:rPr>
      </w:pPr>
      <w:r>
        <w:rPr>
          <w:rFonts w:ascii="Arial" w:cs="Arial" w:eastAsia="Arial" w:hAnsi="Arial"/>
          <w:sz w:val="14"/>
          <w:szCs w:val="14"/>
          <w:b w:val="1"/>
          <w:bCs w:val="1"/>
          <w:color w:val="auto"/>
        </w:rPr>
        <w:t>DBS Group Holdings Ltd and DBS Bank Ltd (formerly the Development Bank of Singapore)</w:t>
      </w:r>
      <w:r>
        <w:rPr>
          <w:rFonts w:ascii="Arial" w:cs="Arial" w:eastAsia="Arial" w:hAnsi="Arial"/>
          <w:sz w:val="13"/>
          <w:szCs w:val="13"/>
          <w:b w:val="1"/>
          <w:bCs w:val="1"/>
          <w:color w:val="auto"/>
        </w:rPr>
        <w:t>,</w:t>
      </w:r>
      <w:r>
        <w:rPr>
          <w:rFonts w:ascii="Arial" w:cs="Arial" w:eastAsia="Arial" w:hAnsi="Arial"/>
          <w:sz w:val="14"/>
          <w:szCs w:val="14"/>
          <w:b w:val="1"/>
          <w:bCs w:val="1"/>
          <w:color w:val="auto"/>
        </w:rPr>
        <w:t xml:space="preserve"> </w:t>
      </w:r>
      <w:r>
        <w:rPr>
          <w:rFonts w:ascii="Arial" w:cs="Arial" w:eastAsia="Arial" w:hAnsi="Arial"/>
          <w:sz w:val="13"/>
          <w:szCs w:val="13"/>
          <w:color w:val="auto"/>
        </w:rPr>
        <w:t>a financial services institution</w:t>
      </w:r>
    </w:p>
    <w:p>
      <w:pPr>
        <w:ind w:left="56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Vice Chairman and Chief Executive Officer (2002 - 2007)</w:t>
      </w:r>
    </w:p>
    <w:p>
      <w:pPr>
        <w:spacing w:after="0" w:line="60"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Operating Officer (2001 - 2002)</w:t>
      </w:r>
    </w:p>
    <w:p>
      <w:pPr>
        <w:spacing w:after="0" w:line="49"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4"/>
          <w:szCs w:val="14"/>
          <w:color w:val="auto"/>
        </w:rPr>
        <w:t>Chief Financial Officer (1999 - 2001)</w:t>
      </w:r>
    </w:p>
    <w:p>
      <w:pPr>
        <w:spacing w:after="0" w:line="44" w:lineRule="exact"/>
        <w:rPr>
          <w:rFonts w:ascii="Arial" w:cs="Arial" w:eastAsia="Arial" w:hAnsi="Arial"/>
          <w:sz w:val="13"/>
          <w:szCs w:val="13"/>
          <w:color w:val="auto"/>
        </w:rPr>
      </w:pPr>
    </w:p>
    <w:p>
      <w:pPr>
        <w:ind w:left="560" w:hanging="276"/>
        <w:spacing w:after="0"/>
        <w:tabs>
          <w:tab w:leader="none" w:pos="560" w:val="left"/>
        </w:tabs>
        <w:numPr>
          <w:ilvl w:val="0"/>
          <w:numId w:val="56"/>
        </w:numPr>
        <w:rPr>
          <w:rFonts w:ascii="Arial" w:cs="Arial" w:eastAsia="Arial" w:hAnsi="Arial"/>
          <w:sz w:val="14"/>
          <w:szCs w:val="14"/>
          <w:color w:val="auto"/>
        </w:rPr>
      </w:pPr>
      <w:r>
        <w:rPr>
          <w:rFonts w:ascii="Arial" w:cs="Arial" w:eastAsia="Arial" w:hAnsi="Arial"/>
          <w:sz w:val="16"/>
          <w:szCs w:val="16"/>
          <w:b w:val="1"/>
          <w:bCs w:val="1"/>
          <w:color w:val="auto"/>
        </w:rPr>
        <w:t>J.P. Morgan &amp; Co. Incorporated</w:t>
      </w:r>
      <w:r>
        <w:rPr>
          <w:rFonts w:ascii="Arial" w:cs="Arial" w:eastAsia="Arial" w:hAnsi="Arial"/>
          <w:sz w:val="14"/>
          <w:szCs w:val="14"/>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auto"/>
        </w:rPr>
        <w:t>a leading global financial institution</w:t>
      </w:r>
    </w:p>
    <w:p>
      <w:pPr>
        <w:spacing w:after="0" w:line="65" w:lineRule="exact"/>
        <w:rPr>
          <w:rFonts w:ascii="Arial" w:cs="Arial" w:eastAsia="Arial" w:hAnsi="Arial"/>
          <w:sz w:val="14"/>
          <w:szCs w:val="14"/>
          <w:color w:val="auto"/>
        </w:rPr>
      </w:pPr>
    </w:p>
    <w:p>
      <w:pPr>
        <w:ind w:left="840" w:right="2799" w:hanging="280"/>
        <w:spacing w:after="0" w:line="261"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Managing Director in the Investment Banking Division (1974 - 1999),</w:t>
      </w:r>
      <w:r>
        <w:rPr>
          <w:rFonts w:ascii="Arial" w:cs="Arial" w:eastAsia="Arial" w:hAnsi="Arial"/>
          <w:sz w:val="12"/>
          <w:szCs w:val="12"/>
          <w:color w:val="auto"/>
        </w:rPr>
        <w:t xml:space="preserve"> </w:t>
      </w:r>
      <w:r>
        <w:rPr>
          <w:rFonts w:ascii="Arial" w:cs="Arial" w:eastAsia="Arial" w:hAnsi="Arial"/>
          <w:sz w:val="14"/>
          <w:szCs w:val="14"/>
          <w:color w:val="auto"/>
        </w:rPr>
        <w:t>including service as the senior officer for Japan Capital Markets and chairman of the Asia Pacific Management Committee</w:t>
      </w:r>
    </w:p>
    <w:p>
      <w:pPr>
        <w:spacing w:after="0" w:line="113" w:lineRule="exact"/>
        <w:rPr>
          <w:sz w:val="20"/>
          <w:szCs w:val="20"/>
          <w:color w:val="auto"/>
        </w:rPr>
      </w:pPr>
    </w:p>
    <w:p>
      <w:pPr>
        <w:sectPr>
          <w:pgSz w:w="11900" w:h="16838" w:orient="portrait"/>
          <w:cols w:equalWidth="0" w:num="2">
            <w:col w:w="1880" w:space="380"/>
            <w:col w:w="7879"/>
          </w:cols>
          <w:pgMar w:left="320" w:top="826" w:right="1440" w:bottom="1440" w:gutter="0" w:footer="0" w:header="0"/>
        </w:sectPr>
      </w:pPr>
    </w:p>
    <w:p>
      <w:pPr>
        <w:ind w:left="2260"/>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2820" w:hanging="276"/>
        <w:spacing w:after="0"/>
        <w:tabs>
          <w:tab w:leader="none" w:pos="2820" w:val="left"/>
        </w:tabs>
        <w:numPr>
          <w:ilvl w:val="0"/>
          <w:numId w:val="57"/>
        </w:numPr>
        <w:rPr>
          <w:rFonts w:ascii="Cambria" w:cs="Cambria" w:eastAsia="Cambria" w:hAnsi="Cambria"/>
          <w:sz w:val="14"/>
          <w:szCs w:val="14"/>
          <w:b w:val="1"/>
          <w:bCs w:val="1"/>
          <w:color w:val="auto"/>
        </w:rPr>
      </w:pPr>
      <w:r>
        <w:rPr>
          <w:rFonts w:ascii="Arial" w:cs="Arial" w:eastAsia="Arial" w:hAnsi="Arial"/>
          <w:sz w:val="14"/>
          <w:szCs w:val="14"/>
          <w:color w:val="auto"/>
        </w:rPr>
        <w:t>Director, Metropolitan Opera</w:t>
      </w:r>
    </w:p>
    <w:p>
      <w:pPr>
        <w:spacing w:after="0" w:line="46" w:lineRule="exact"/>
        <w:rPr>
          <w:rFonts w:ascii="Cambria" w:cs="Cambria" w:eastAsia="Cambria" w:hAnsi="Cambria"/>
          <w:sz w:val="14"/>
          <w:szCs w:val="14"/>
          <w:b w:val="1"/>
          <w:bCs w:val="1"/>
          <w:color w:val="auto"/>
        </w:rPr>
      </w:pPr>
    </w:p>
    <w:p>
      <w:pPr>
        <w:ind w:left="2820" w:hanging="276"/>
        <w:spacing w:after="0"/>
        <w:tabs>
          <w:tab w:leader="none" w:pos="28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Trustee, Rensselaer Polytechnic Institute</w:t>
      </w:r>
    </w:p>
    <w:p>
      <w:pPr>
        <w:spacing w:after="0" w:line="60" w:lineRule="exact"/>
        <w:rPr>
          <w:rFonts w:ascii="Arial" w:cs="Arial" w:eastAsia="Arial" w:hAnsi="Arial"/>
          <w:sz w:val="14"/>
          <w:szCs w:val="14"/>
          <w:color w:val="auto"/>
        </w:rPr>
      </w:pPr>
    </w:p>
    <w:p>
      <w:pPr>
        <w:ind w:left="2820" w:hanging="276"/>
        <w:spacing w:after="0"/>
        <w:tabs>
          <w:tab w:leader="none" w:pos="2820" w:val="left"/>
        </w:tabs>
        <w:numPr>
          <w:ilvl w:val="0"/>
          <w:numId w:val="57"/>
        </w:numPr>
        <w:rPr>
          <w:rFonts w:ascii="Cambria" w:cs="Cambria" w:eastAsia="Cambria" w:hAnsi="Cambria"/>
          <w:sz w:val="14"/>
          <w:szCs w:val="14"/>
          <w:b w:val="1"/>
          <w:bCs w:val="1"/>
          <w:color w:val="auto"/>
        </w:rPr>
      </w:pPr>
      <w:r>
        <w:rPr>
          <w:rFonts w:ascii="Arial" w:cs="Arial" w:eastAsia="Arial" w:hAnsi="Arial"/>
          <w:sz w:val="14"/>
          <w:szCs w:val="14"/>
          <w:color w:val="auto"/>
        </w:rPr>
        <w:t>Member, Harvard Business School Asia Pacific Advisory Board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*Mr. Tai will retire from the board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2310765</wp:posOffset>
            </wp:positionV>
            <wp:extent cx="185420" cy="1854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2310765</wp:posOffset>
            </wp:positionV>
            <wp:extent cx="185420" cy="1854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2310765</wp:posOffset>
            </wp:positionV>
            <wp:extent cx="185420" cy="1854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2310765</wp:posOffset>
            </wp:positionV>
            <wp:extent cx="185420" cy="1854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2310765</wp:posOffset>
            </wp:positionV>
            <wp:extent cx="185420" cy="1854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140"/>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2"/>
                <w:szCs w:val="12"/>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color w:val="D52B1E"/>
        </w:rPr>
        <w:t>Class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1134745" cy="1134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12388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67</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2009</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Audit</w:t>
      </w:r>
    </w:p>
    <w:p>
      <w:pPr>
        <w:spacing w:after="0" w:line="49" w:lineRule="exact"/>
        <w:rPr>
          <w:sz w:val="20"/>
          <w:szCs w:val="20"/>
          <w:color w:val="auto"/>
        </w:rPr>
      </w:pPr>
    </w:p>
    <w:p>
      <w:pPr>
        <w:ind w:left="280" w:hanging="140"/>
        <w:spacing w:after="0" w:line="287"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Talent and Compensation</w:t>
      </w:r>
      <w:r>
        <w:rPr>
          <w:rFonts w:ascii="Arial" w:cs="Arial" w:eastAsia="Arial" w:hAnsi="Arial"/>
          <w:sz w:val="12"/>
          <w:szCs w:val="12"/>
          <w:color w:val="auto"/>
        </w:rPr>
        <w:t xml:space="preserve"> </w:t>
      </w:r>
      <w:r>
        <w:rPr>
          <w:rFonts w:ascii="Arial" w:cs="Arial" w:eastAsia="Arial" w:hAnsi="Arial"/>
          <w:sz w:val="14"/>
          <w:szCs w:val="14"/>
          <w:color w:val="auto"/>
        </w:rPr>
        <w:t>(Chair)</w:t>
      </w: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Lowe’s Companies, Inc.</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Traeger, Inc.</w:t>
      </w:r>
    </w:p>
    <w:p>
      <w:pPr>
        <w:spacing w:after="0" w:line="49" w:lineRule="exact"/>
        <w:rPr>
          <w:sz w:val="20"/>
          <w:szCs w:val="20"/>
          <w:color w:val="auto"/>
        </w:rPr>
      </w:pPr>
    </w:p>
    <w:p>
      <w:pPr>
        <w:ind w:left="280" w:right="160" w:hanging="140"/>
        <w:spacing w:after="0" w:line="287"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First Watch Restaurant</w:t>
      </w:r>
      <w:r>
        <w:rPr>
          <w:rFonts w:ascii="Arial" w:cs="Arial" w:eastAsia="Arial" w:hAnsi="Arial"/>
          <w:sz w:val="12"/>
          <w:szCs w:val="12"/>
          <w:color w:val="auto"/>
        </w:rPr>
        <w:t xml:space="preserve"> </w:t>
      </w:r>
      <w:r>
        <w:rPr>
          <w:rFonts w:ascii="Arial" w:cs="Arial" w:eastAsia="Arial" w:hAnsi="Arial"/>
          <w:sz w:val="14"/>
          <w:szCs w:val="14"/>
          <w:color w:val="auto"/>
        </w:rPr>
        <w:t>Group, Inc. (chair)</w:t>
      </w: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280" w:right="180" w:hanging="140"/>
        <w:spacing w:after="0" w:line="287"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Dunkin’ Brands Group,</w:t>
      </w:r>
      <w:r>
        <w:rPr>
          <w:rFonts w:ascii="Arial" w:cs="Arial" w:eastAsia="Arial" w:hAnsi="Arial"/>
          <w:sz w:val="12"/>
          <w:szCs w:val="12"/>
          <w:color w:val="auto"/>
        </w:rPr>
        <w:t xml:space="preserve"> </w:t>
      </w:r>
      <w:r>
        <w:rPr>
          <w:rFonts w:ascii="Arial" w:cs="Arial" w:eastAsia="Arial" w:hAnsi="Arial"/>
          <w:sz w:val="14"/>
          <w:szCs w:val="14"/>
          <w:color w:val="auto"/>
        </w:rPr>
        <w:t>Inc.</w:t>
      </w: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McDonald’s Corporation</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KeyCorp</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Skylark Co., Ltd.</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Realogy Holdings Corp.</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068070" cy="267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68070" cy="26733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2331085</wp:posOffset>
            </wp:positionV>
            <wp:extent cx="185420" cy="1854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19881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86810" cy="1988185"/>
                    </a:xfrm>
                    <a:prstGeom prst="rect">
                      <a:avLst/>
                    </a:prstGeom>
                    <a:noFill/>
                  </pic:spPr>
                </pic:pic>
              </a:graphicData>
            </a:graphic>
          </wp:anchor>
        </w:drawing>
      </w:r>
    </w:p>
    <w:p>
      <w:pPr>
        <w:spacing w:after="0" w:line="116" w:lineRule="exact"/>
        <w:rPr>
          <w:sz w:val="20"/>
          <w:szCs w:val="20"/>
          <w:color w:val="auto"/>
        </w:rPr>
      </w:pPr>
    </w:p>
    <w:p>
      <w:pPr>
        <w:ind w:right="2319"/>
        <w:spacing w:after="0" w:line="256" w:lineRule="auto"/>
        <w:rPr>
          <w:sz w:val="20"/>
          <w:szCs w:val="20"/>
          <w:color w:val="auto"/>
        </w:rPr>
      </w:pPr>
      <w:r>
        <w:rPr>
          <w:rFonts w:ascii="Arial" w:cs="Arial" w:eastAsia="Arial" w:hAnsi="Arial"/>
          <w:sz w:val="14"/>
          <w:szCs w:val="14"/>
          <w:i w:val="1"/>
          <w:iCs w:val="1"/>
          <w:color w:val="auto"/>
        </w:rPr>
        <w:t>Mr. Alvarez brings to the board more than 40 years of experience in consumer marketing, global operations, international business, and strategic planning, as well as extensive executive leadership experience in managing some of the world’s best-known brands. Mr. Alvarez is a leader of people and brings to the Board a strong perspective on how to motivate and engage diverse talent.</w:t>
      </w:r>
    </w:p>
    <w:p>
      <w:pPr>
        <w:spacing w:after="0" w:line="27" w:lineRule="exact"/>
        <w:rPr>
          <w:sz w:val="20"/>
          <w:szCs w:val="20"/>
          <w:color w:val="auto"/>
        </w:rPr>
      </w:pPr>
    </w:p>
    <w:p>
      <w:pPr>
        <w:ind w:left="560" w:right="2419" w:hanging="276"/>
        <w:spacing w:after="0" w:line="270" w:lineRule="auto"/>
        <w:tabs>
          <w:tab w:leader="none" w:pos="557"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4"/>
          <w:szCs w:val="14"/>
          <w:color w:val="auto"/>
        </w:rPr>
        <w:t>As a senior executive of a leading global foodservice retailer and other global restaurant businesses, Mr. Alvarez developed in-depth knowledge of consumer marketing, brand management and strategic planning.</w:t>
      </w:r>
    </w:p>
    <w:p>
      <w:pPr>
        <w:spacing w:after="0" w:line="5" w:lineRule="exact"/>
        <w:rPr>
          <w:rFonts w:ascii="Times New Roman" w:cs="Times New Roman" w:eastAsia="Times New Roman" w:hAnsi="Times New Roman"/>
          <w:sz w:val="12"/>
          <w:szCs w:val="12"/>
          <w:color w:val="auto"/>
        </w:rPr>
      </w:pPr>
    </w:p>
    <w:p>
      <w:pPr>
        <w:ind w:left="560" w:right="2699" w:hanging="276"/>
        <w:spacing w:after="0" w:line="287" w:lineRule="auto"/>
        <w:tabs>
          <w:tab w:leader="none" w:pos="557"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4"/>
          <w:szCs w:val="14"/>
          <w:color w:val="auto"/>
        </w:rPr>
        <w:t>Mr. Alvarez also contributes an understanding of international markets and operations, including a special focus on Japan and emerging markets.</w:t>
      </w:r>
    </w:p>
    <w:p>
      <w:pPr>
        <w:ind w:left="560" w:right="2279" w:hanging="276"/>
        <w:spacing w:after="0" w:line="296" w:lineRule="auto"/>
        <w:tabs>
          <w:tab w:leader="none" w:pos="557"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4"/>
          <w:szCs w:val="14"/>
          <w:color w:val="auto"/>
        </w:rPr>
        <w:t>Mr. Alvarez has acquired wide-ranging corporate governance experience from his service on other public and private company boards.</w:t>
      </w:r>
    </w:p>
    <w:p>
      <w:pPr>
        <w:ind w:left="560" w:right="2319" w:hanging="276"/>
        <w:spacing w:after="0" w:line="270" w:lineRule="auto"/>
        <w:tabs>
          <w:tab w:leader="none" w:pos="557" w:val="left"/>
        </w:tabs>
        <w:numPr>
          <w:ilvl w:val="0"/>
          <w:numId w:val="61"/>
        </w:numPr>
        <w:rPr>
          <w:rFonts w:ascii="Times New Roman" w:cs="Times New Roman" w:eastAsia="Times New Roman" w:hAnsi="Times New Roman"/>
          <w:sz w:val="12"/>
          <w:szCs w:val="12"/>
          <w:color w:val="auto"/>
        </w:rPr>
      </w:pPr>
      <w:r>
        <w:rPr>
          <w:rFonts w:ascii="Arial" w:cs="Arial" w:eastAsia="Arial" w:hAnsi="Arial"/>
          <w:sz w:val="14"/>
          <w:szCs w:val="14"/>
          <w:color w:val="auto"/>
        </w:rPr>
        <w:t>Mr. Alvarez is an Audit Committee Financial Expert based on his public company experience, including his prior audit committee service on Lowe’s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hanging="276"/>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6"/>
          <w:szCs w:val="16"/>
          <w:b w:val="1"/>
          <w:bCs w:val="1"/>
          <w:color w:val="auto"/>
        </w:rPr>
        <w:t xml:space="preserve">Advent International Corporation, </w:t>
      </w:r>
      <w:r>
        <w:rPr>
          <w:rFonts w:ascii="Arial" w:cs="Arial" w:eastAsia="Arial" w:hAnsi="Arial"/>
          <w:sz w:val="14"/>
          <w:szCs w:val="14"/>
          <w:color w:val="auto"/>
        </w:rPr>
        <w:t>a leading global private equity firm</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Operating Partner (2017 - present)</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6"/>
          <w:szCs w:val="16"/>
          <w:b w:val="1"/>
          <w:bCs w:val="1"/>
          <w:color w:val="auto"/>
        </w:rPr>
        <w:t xml:space="preserve">Skylark Co., Ltd., </w:t>
      </w:r>
      <w:r>
        <w:rPr>
          <w:rFonts w:ascii="Arial" w:cs="Arial" w:eastAsia="Arial" w:hAnsi="Arial"/>
          <w:sz w:val="14"/>
          <w:szCs w:val="14"/>
          <w:color w:val="auto"/>
        </w:rPr>
        <w:t>a leading restaurant operator in Japan</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Chairman of the Board (2013 - 2018)</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6"/>
          <w:szCs w:val="16"/>
          <w:b w:val="1"/>
          <w:bCs w:val="1"/>
          <w:color w:val="auto"/>
        </w:rPr>
        <w:t xml:space="preserve">McDonald’s Corporation, </w:t>
      </w:r>
      <w:r>
        <w:rPr>
          <w:rFonts w:ascii="Arial" w:cs="Arial" w:eastAsia="Arial" w:hAnsi="Arial"/>
          <w:sz w:val="14"/>
          <w:szCs w:val="14"/>
          <w:color w:val="auto"/>
        </w:rPr>
        <w:t>a leading food service retailer</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Operating Officer (2006 - 2009)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560" w:hanging="276"/>
        <w:spacing w:after="0"/>
        <w:tabs>
          <w:tab w:leader="none" w:pos="560" w:val="left"/>
        </w:tabs>
        <w:numPr>
          <w:ilvl w:val="0"/>
          <w:numId w:val="63"/>
        </w:numPr>
        <w:rPr>
          <w:rFonts w:ascii="Cambria" w:cs="Cambria" w:eastAsia="Cambria" w:hAnsi="Cambria"/>
          <w:sz w:val="14"/>
          <w:szCs w:val="14"/>
          <w:b w:val="1"/>
          <w:bCs w:val="1"/>
          <w:color w:val="auto"/>
        </w:rPr>
      </w:pPr>
      <w:r>
        <w:rPr>
          <w:rFonts w:ascii="Arial" w:cs="Arial" w:eastAsia="Arial" w:hAnsi="Arial"/>
          <w:sz w:val="14"/>
          <w:szCs w:val="14"/>
          <w:color w:val="auto"/>
        </w:rPr>
        <w:t>University of Miami President’s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3004185</wp:posOffset>
            </wp:positionV>
            <wp:extent cx="185420" cy="1854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3004185</wp:posOffset>
            </wp:positionV>
            <wp:extent cx="185420" cy="1854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3004185</wp:posOffset>
            </wp:positionV>
            <wp:extent cx="185420" cy="185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3004185</wp:posOffset>
            </wp:positionV>
            <wp:extent cx="185420" cy="1854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1259" w:lineRule="exact"/>
        <w:rPr>
          <w:sz w:val="20"/>
          <w:szCs w:val="20"/>
          <w:color w:val="auto"/>
        </w:rPr>
      </w:pPr>
    </w:p>
    <w:p>
      <w:pPr>
        <w:sectPr>
          <w:pgSz w:w="11900" w:h="16838" w:orient="portrait"/>
          <w:cols w:equalWidth="0" w:num="2">
            <w:col w:w="1880" w:space="380"/>
            <w:col w:w="7879"/>
          </w:cols>
          <w:pgMar w:left="32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5"/>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17"/>
        </w:trPr>
        <w:tc>
          <w:tcPr>
            <w:tcW w:w="116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-221615</wp:posOffset>
            </wp:positionV>
            <wp:extent cx="185420" cy="1854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-221615</wp:posOffset>
            </wp:positionV>
            <wp:extent cx="185420" cy="1854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-221615</wp:posOffset>
            </wp:positionV>
            <wp:extent cx="185420" cy="1854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-221615</wp:posOffset>
            </wp:positionV>
            <wp:extent cx="185420" cy="1854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741680</wp:posOffset>
            </wp:positionV>
            <wp:extent cx="1134745" cy="11347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b w:val="1"/>
          <w:bCs w:val="1"/>
          <w:color w:val="EF3729"/>
        </w:rPr>
        <w:t>Mary Lynne Hedley,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123888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60</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2022</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Ethics and Compliance</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Science and Technology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VEEVA Systems Inc.</w:t>
      </w:r>
    </w:p>
    <w:p>
      <w:pPr>
        <w:spacing w:after="0" w:line="60" w:lineRule="exact"/>
        <w:rPr>
          <w:sz w:val="20"/>
          <w:szCs w:val="20"/>
          <w:color w:val="auto"/>
        </w:rPr>
      </w:pPr>
    </w:p>
    <w:p>
      <w:pPr>
        <w:ind w:left="280" w:right="340" w:hanging="140"/>
        <w:spacing w:after="0" w:line="279"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Centessa</w:t>
      </w:r>
      <w:r>
        <w:rPr>
          <w:rFonts w:ascii="Arial" w:cs="Arial" w:eastAsia="Arial" w:hAnsi="Arial"/>
          <w:sz w:val="12"/>
          <w:szCs w:val="12"/>
          <w:color w:val="auto"/>
        </w:rPr>
        <w:t xml:space="preserve"> </w:t>
      </w:r>
      <w:r>
        <w:rPr>
          <w:rFonts w:ascii="Arial" w:cs="Arial" w:eastAsia="Arial" w:hAnsi="Arial"/>
          <w:sz w:val="14"/>
          <w:szCs w:val="14"/>
          <w:color w:val="auto"/>
        </w:rPr>
        <w:t>Pharmaceuticals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280" w:right="180" w:hanging="140"/>
        <w:spacing w:after="0" w:line="279"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Millendo Therapeutics,</w:t>
      </w:r>
      <w:r>
        <w:rPr>
          <w:rFonts w:ascii="Arial" w:cs="Arial" w:eastAsia="Arial" w:hAnsi="Arial"/>
          <w:sz w:val="12"/>
          <w:szCs w:val="12"/>
          <w:color w:val="auto"/>
        </w:rPr>
        <w:t xml:space="preserve"> </w:t>
      </w:r>
      <w:r>
        <w:rPr>
          <w:rFonts w:ascii="Arial" w:cs="Arial" w:eastAsia="Arial" w:hAnsi="Arial"/>
          <w:sz w:val="14"/>
          <w:szCs w:val="14"/>
          <w:color w:val="auto"/>
        </w:rPr>
        <w:t>Inc.</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bluebird bio, Inc.</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TESARO, Inc.</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068070" cy="586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68070" cy="58610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2917190</wp:posOffset>
            </wp:positionV>
            <wp:extent cx="185420" cy="1854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-128905</wp:posOffset>
            </wp:positionV>
            <wp:extent cx="3686810" cy="2692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86810" cy="2692400"/>
                    </a:xfrm>
                    <a:prstGeom prst="rect">
                      <a:avLst/>
                    </a:prstGeom>
                    <a:noFill/>
                  </pic:spPr>
                </pic:pic>
              </a:graphicData>
            </a:graphic>
          </wp:anchor>
        </w:drawing>
      </w:r>
    </w:p>
    <w:p>
      <w:pPr>
        <w:spacing w:after="0" w:line="34" w:lineRule="exact"/>
        <w:rPr>
          <w:sz w:val="20"/>
          <w:szCs w:val="20"/>
          <w:color w:val="auto"/>
        </w:rPr>
      </w:pPr>
    </w:p>
    <w:p>
      <w:pPr>
        <w:ind w:right="2359"/>
        <w:spacing w:after="0" w:line="268" w:lineRule="auto"/>
        <w:rPr>
          <w:sz w:val="20"/>
          <w:szCs w:val="20"/>
          <w:color w:val="auto"/>
        </w:rPr>
      </w:pPr>
      <w:r>
        <w:rPr>
          <w:rFonts w:ascii="Arial" w:cs="Arial" w:eastAsia="Arial" w:hAnsi="Arial"/>
          <w:sz w:val="14"/>
          <w:szCs w:val="14"/>
          <w:i w:val="1"/>
          <w:iCs w:val="1"/>
          <w:color w:val="auto"/>
        </w:rPr>
        <w:t>Dr. Hedley’s career has uniquely combined discovery, translational and clinical research and commercialization, bringing to the board extensive business leadership and scientific investigation experience in the biotechnology industry.</w:t>
      </w:r>
    </w:p>
    <w:p>
      <w:pPr>
        <w:spacing w:after="0" w:line="8" w:lineRule="exact"/>
        <w:rPr>
          <w:sz w:val="20"/>
          <w:szCs w:val="20"/>
          <w:color w:val="auto"/>
        </w:rPr>
      </w:pPr>
    </w:p>
    <w:p>
      <w:pPr>
        <w:ind w:left="560" w:right="2319" w:hanging="276"/>
        <w:spacing w:after="0" w:line="257" w:lineRule="auto"/>
        <w:tabs>
          <w:tab w:leader="none" w:pos="551" w:val="left"/>
        </w:tabs>
        <w:numPr>
          <w:ilvl w:val="0"/>
          <w:numId w:val="66"/>
        </w:numPr>
        <w:rPr>
          <w:rFonts w:ascii="Arial" w:cs="Arial" w:eastAsia="Arial" w:hAnsi="Arial"/>
          <w:sz w:val="14"/>
          <w:szCs w:val="14"/>
          <w:color w:val="auto"/>
        </w:rPr>
      </w:pPr>
      <w:r>
        <w:rPr>
          <w:rFonts w:ascii="Arial" w:cs="Arial" w:eastAsia="Arial" w:hAnsi="Arial"/>
          <w:sz w:val="14"/>
          <w:szCs w:val="14"/>
          <w:color w:val="auto"/>
        </w:rPr>
        <w:t>Having served as co-founder, CEO, president, chief scientific officer or chief operating officer of several biotechnology companies,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w:t>
      </w:r>
    </w:p>
    <w:p>
      <w:pPr>
        <w:spacing w:after="0" w:line="28" w:lineRule="exact"/>
        <w:rPr>
          <w:rFonts w:ascii="Arial" w:cs="Arial" w:eastAsia="Arial" w:hAnsi="Arial"/>
          <w:sz w:val="14"/>
          <w:szCs w:val="14"/>
          <w:color w:val="auto"/>
        </w:rPr>
      </w:pPr>
    </w:p>
    <w:p>
      <w:pPr>
        <w:ind w:left="560" w:right="2339" w:hanging="276"/>
        <w:spacing w:after="0" w:line="257" w:lineRule="auto"/>
        <w:tabs>
          <w:tab w:leader="none" w:pos="551"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Hedley contributes a wide-ranging perspective on the life science business, acquired through her roles at multiple successful companies and her industry-spanning work advising CEOs, venture and life science companies in addition to academic scientists advancing therapeutic drug development while at the Broad Institute.</w:t>
      </w:r>
    </w:p>
    <w:p>
      <w:pPr>
        <w:spacing w:after="0" w:line="14" w:lineRule="exact"/>
        <w:rPr>
          <w:rFonts w:ascii="Arial" w:cs="Arial" w:eastAsia="Arial" w:hAnsi="Arial"/>
          <w:sz w:val="14"/>
          <w:szCs w:val="14"/>
          <w:color w:val="auto"/>
        </w:rPr>
      </w:pPr>
    </w:p>
    <w:p>
      <w:pPr>
        <w:ind w:left="560" w:right="2659" w:hanging="276"/>
        <w:spacing w:after="0" w:line="309" w:lineRule="auto"/>
        <w:tabs>
          <w:tab w:leader="none" w:pos="551" w:val="left"/>
        </w:tabs>
        <w:numPr>
          <w:ilvl w:val="0"/>
          <w:numId w:val="66"/>
        </w:numPr>
        <w:rPr>
          <w:rFonts w:ascii="Arial" w:cs="Arial" w:eastAsia="Arial" w:hAnsi="Arial"/>
          <w:sz w:val="13"/>
          <w:szCs w:val="13"/>
          <w:color w:val="auto"/>
        </w:rPr>
      </w:pPr>
      <w:r>
        <w:rPr>
          <w:rFonts w:ascii="Arial" w:cs="Arial" w:eastAsia="Arial" w:hAnsi="Arial"/>
          <w:sz w:val="13"/>
          <w:szCs w:val="13"/>
          <w:color w:val="auto"/>
        </w:rPr>
        <w:t>Dr. Hedley has substantial experience with developing and commercializing oncology therapeutics, one of Lilly’s core therapeutics areas.</w:t>
      </w:r>
    </w:p>
    <w:p>
      <w:pPr>
        <w:ind w:left="560" w:right="2379" w:hanging="276"/>
        <w:spacing w:after="0" w:line="261" w:lineRule="auto"/>
        <w:tabs>
          <w:tab w:leader="none" w:pos="551"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Hedley’s service on the boards of directors and board committees of other public companies and not-for-profit entities, and, in particular, as chair or former chair of the nominating and corporate governance committees at each of Veeva Systems and Millendo Therapeutics and the audit committee of Centessa Pharmaceuticals, provides a multifaceted governance perspective.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hanging="276"/>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6"/>
          <w:szCs w:val="16"/>
          <w:b w:val="1"/>
          <w:bCs w:val="1"/>
          <w:color w:val="auto"/>
        </w:rPr>
        <w:t>Broad Institute of Harvard and MIT</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Scientific Fellow (2021 - present)</w:t>
      </w:r>
    </w:p>
    <w:p>
      <w:pPr>
        <w:spacing w:after="0" w:line="44" w:lineRule="exact"/>
        <w:rPr>
          <w:rFonts w:ascii="Arial" w:cs="Arial" w:eastAsia="Arial" w:hAnsi="Arial"/>
          <w:sz w:val="14"/>
          <w:szCs w:val="14"/>
          <w:color w:val="auto"/>
        </w:rPr>
      </w:pPr>
    </w:p>
    <w:p>
      <w:pPr>
        <w:ind w:left="560" w:hanging="276"/>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6"/>
          <w:szCs w:val="16"/>
          <w:b w:val="1"/>
          <w:bCs w:val="1"/>
          <w:color w:val="auto"/>
        </w:rPr>
        <w:t xml:space="preserve">GlaxoSmithKline plc, </w:t>
      </w:r>
      <w:r>
        <w:rPr>
          <w:rFonts w:ascii="Arial" w:cs="Arial" w:eastAsia="Arial" w:hAnsi="Arial"/>
          <w:sz w:val="14"/>
          <w:szCs w:val="14"/>
          <w:color w:val="auto"/>
        </w:rPr>
        <w:t>a leading global pharmaceutical company</w:t>
      </w:r>
    </w:p>
    <w:p>
      <w:pPr>
        <w:spacing w:after="0" w:line="54" w:lineRule="exact"/>
        <w:rPr>
          <w:rFonts w:ascii="Arial" w:cs="Arial" w:eastAsia="Arial" w:hAnsi="Arial"/>
          <w:sz w:val="14"/>
          <w:szCs w:val="14"/>
          <w:color w:val="auto"/>
        </w:rPr>
      </w:pPr>
    </w:p>
    <w:p>
      <w:pPr>
        <w:ind w:left="840" w:right="2439" w:hanging="280"/>
        <w:spacing w:after="0" w:line="284" w:lineRule="auto"/>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Member of executive research &amp; development team; led integration efforts</w:t>
      </w:r>
      <w:r>
        <w:rPr>
          <w:rFonts w:ascii="Arial" w:cs="Arial" w:eastAsia="Arial" w:hAnsi="Arial"/>
          <w:sz w:val="12"/>
          <w:szCs w:val="12"/>
          <w:color w:val="auto"/>
        </w:rPr>
        <w:t xml:space="preserve"> </w:t>
      </w:r>
      <w:r>
        <w:rPr>
          <w:rFonts w:ascii="Arial" w:cs="Arial" w:eastAsia="Arial" w:hAnsi="Arial"/>
          <w:sz w:val="14"/>
          <w:szCs w:val="14"/>
          <w:color w:val="auto"/>
        </w:rPr>
        <w:t>for TESARO acquisition (2019 - 2020)</w:t>
      </w:r>
    </w:p>
    <w:p>
      <w:pPr>
        <w:ind w:left="560" w:right="2379" w:hanging="276"/>
        <w:spacing w:after="0" w:line="255" w:lineRule="auto"/>
        <w:tabs>
          <w:tab w:leader="none" w:pos="551" w:val="left"/>
        </w:tabs>
        <w:numPr>
          <w:ilvl w:val="0"/>
          <w:numId w:val="67"/>
        </w:numPr>
        <w:rPr>
          <w:rFonts w:ascii="Arial" w:cs="Arial" w:eastAsia="Arial" w:hAnsi="Arial"/>
          <w:sz w:val="14"/>
          <w:szCs w:val="14"/>
          <w:color w:val="auto"/>
        </w:rPr>
      </w:pPr>
      <w:r>
        <w:rPr>
          <w:rFonts w:ascii="Arial" w:cs="Arial" w:eastAsia="Arial" w:hAnsi="Arial"/>
          <w:sz w:val="16"/>
          <w:szCs w:val="16"/>
          <w:b w:val="1"/>
          <w:bCs w:val="1"/>
          <w:color w:val="auto"/>
        </w:rPr>
        <w:t xml:space="preserve">TESARO, Inc., </w:t>
      </w:r>
      <w:r>
        <w:rPr>
          <w:rFonts w:ascii="Arial" w:cs="Arial" w:eastAsia="Arial" w:hAnsi="Arial"/>
          <w:sz w:val="14"/>
          <w:szCs w:val="14"/>
          <w:color w:val="auto"/>
        </w:rPr>
        <w:t>a company focused on the development and global</w:t>
      </w:r>
      <w:r>
        <w:rPr>
          <w:rFonts w:ascii="Arial" w:cs="Arial" w:eastAsia="Arial" w:hAnsi="Arial"/>
          <w:sz w:val="16"/>
          <w:szCs w:val="16"/>
          <w:b w:val="1"/>
          <w:bCs w:val="1"/>
          <w:color w:val="auto"/>
        </w:rPr>
        <w:t xml:space="preserve"> </w:t>
      </w:r>
      <w:r>
        <w:rPr>
          <w:rFonts w:ascii="Arial" w:cs="Arial" w:eastAsia="Arial" w:hAnsi="Arial"/>
          <w:sz w:val="14"/>
          <w:szCs w:val="14"/>
          <w:color w:val="auto"/>
        </w:rPr>
        <w:t>commercialization of oncology therapeutics (acquired by GlaxoSmithKline plc in 2019)</w:t>
      </w:r>
    </w:p>
    <w:p>
      <w:pPr>
        <w:spacing w:after="0" w:line="1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Operating Officer (2010 - 2019)</w:t>
      </w:r>
    </w:p>
    <w:p>
      <w:pPr>
        <w:spacing w:after="0" w:line="44" w:lineRule="exact"/>
        <w:rPr>
          <w:rFonts w:ascii="Arial" w:cs="Arial" w:eastAsia="Arial" w:hAnsi="Arial"/>
          <w:sz w:val="14"/>
          <w:szCs w:val="14"/>
          <w:color w:val="auto"/>
        </w:rPr>
      </w:pPr>
    </w:p>
    <w:p>
      <w:pPr>
        <w:ind w:left="560" w:right="2479" w:hanging="276"/>
        <w:spacing w:after="0" w:line="250" w:lineRule="auto"/>
        <w:tabs>
          <w:tab w:leader="none" w:pos="551" w:val="left"/>
        </w:tabs>
        <w:numPr>
          <w:ilvl w:val="0"/>
          <w:numId w:val="67"/>
        </w:numPr>
        <w:rPr>
          <w:rFonts w:ascii="Arial" w:cs="Arial" w:eastAsia="Arial" w:hAnsi="Arial"/>
          <w:sz w:val="14"/>
          <w:szCs w:val="14"/>
          <w:color w:val="auto"/>
        </w:rPr>
      </w:pPr>
      <w:r>
        <w:rPr>
          <w:rFonts w:ascii="Arial" w:cs="Arial" w:eastAsia="Arial" w:hAnsi="Arial"/>
          <w:sz w:val="16"/>
          <w:szCs w:val="16"/>
          <w:b w:val="1"/>
          <w:bCs w:val="1"/>
          <w:color w:val="auto"/>
        </w:rPr>
        <w:t xml:space="preserve">Abraxis BioScience, Inc., </w:t>
      </w:r>
      <w:r>
        <w:rPr>
          <w:rFonts w:ascii="Arial" w:cs="Arial" w:eastAsia="Arial" w:hAnsi="Arial"/>
          <w:sz w:val="14"/>
          <w:szCs w:val="14"/>
          <w:color w:val="auto"/>
        </w:rPr>
        <w:t>a biotechnology company (acquired by Celgene</w:t>
      </w:r>
      <w:r>
        <w:rPr>
          <w:rFonts w:ascii="Arial" w:cs="Arial" w:eastAsia="Arial" w:hAnsi="Arial"/>
          <w:sz w:val="16"/>
          <w:szCs w:val="16"/>
          <w:b w:val="1"/>
          <w:bCs w:val="1"/>
          <w:color w:val="auto"/>
        </w:rPr>
        <w:t xml:space="preserve"> </w:t>
      </w:r>
      <w:r>
        <w:rPr>
          <w:rFonts w:ascii="Arial" w:cs="Arial" w:eastAsia="Arial" w:hAnsi="Arial"/>
          <w:sz w:val="14"/>
          <w:szCs w:val="14"/>
          <w:color w:val="auto"/>
        </w:rPr>
        <w:t>Corporation in 2010</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Vice President and Chief Science Officer (2009 - 2010)</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560" w:hanging="276"/>
        <w:spacing w:after="0"/>
        <w:tabs>
          <w:tab w:leader="none" w:pos="560" w:val="left"/>
        </w:tabs>
        <w:numPr>
          <w:ilvl w:val="0"/>
          <w:numId w:val="68"/>
        </w:numPr>
        <w:rPr>
          <w:rFonts w:ascii="Cambria" w:cs="Cambria" w:eastAsia="Cambria" w:hAnsi="Cambria"/>
          <w:sz w:val="14"/>
          <w:szCs w:val="14"/>
          <w:b w:val="1"/>
          <w:bCs w:val="1"/>
          <w:color w:val="auto"/>
        </w:rPr>
      </w:pPr>
      <w:r>
        <w:rPr>
          <w:rFonts w:ascii="Arial" w:cs="Arial" w:eastAsia="Arial" w:hAnsi="Arial"/>
          <w:sz w:val="14"/>
          <w:szCs w:val="14"/>
          <w:color w:val="auto"/>
        </w:rPr>
        <w:t>Board of directors, Helsinn SA</w:t>
      </w:r>
    </w:p>
    <w:p>
      <w:pPr>
        <w:spacing w:after="0" w:line="92" w:lineRule="exact"/>
        <w:rPr>
          <w:rFonts w:ascii="Cambria" w:cs="Cambria" w:eastAsia="Cambria" w:hAnsi="Cambria"/>
          <w:sz w:val="14"/>
          <w:szCs w:val="14"/>
          <w:b w:val="1"/>
          <w:bCs w:val="1"/>
          <w:color w:val="auto"/>
        </w:rPr>
      </w:pPr>
    </w:p>
    <w:p>
      <w:pPr>
        <w:jc w:val="both"/>
        <w:ind w:left="560" w:right="2639" w:hanging="276"/>
        <w:spacing w:after="0" w:line="276" w:lineRule="auto"/>
        <w:tabs>
          <w:tab w:leader="none" w:pos="552" w:val="left"/>
        </w:tabs>
        <w:numPr>
          <w:ilvl w:val="0"/>
          <w:numId w:val="68"/>
        </w:numPr>
        <w:rPr>
          <w:rFonts w:ascii="Cambria" w:cs="Cambria" w:eastAsia="Cambria" w:hAnsi="Cambria"/>
          <w:sz w:val="14"/>
          <w:szCs w:val="14"/>
          <w:b w:val="1"/>
          <w:bCs w:val="1"/>
          <w:color w:val="auto"/>
        </w:rPr>
      </w:pPr>
      <w:r>
        <w:rPr>
          <w:rFonts w:ascii="Arial" w:cs="Arial" w:eastAsia="Arial" w:hAnsi="Arial"/>
          <w:sz w:val="14"/>
          <w:szCs w:val="14"/>
          <w:color w:val="auto"/>
        </w:rPr>
        <w:t>Member, American Association of Immunologists; American Association for Advancement of Science; American Society of Clinical Oncology; American Association of Cancer Research</w:t>
      </w:r>
    </w:p>
    <w:p>
      <w:pPr>
        <w:spacing w:after="0" w:line="1"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68"/>
        </w:numPr>
        <w:rPr>
          <w:rFonts w:ascii="Cambria" w:cs="Cambria" w:eastAsia="Cambria" w:hAnsi="Cambria"/>
          <w:sz w:val="14"/>
          <w:szCs w:val="14"/>
          <w:b w:val="1"/>
          <w:bCs w:val="1"/>
          <w:color w:val="auto"/>
        </w:rPr>
      </w:pPr>
      <w:r>
        <w:rPr>
          <w:rFonts w:ascii="Arial" w:cs="Arial" w:eastAsia="Arial" w:hAnsi="Arial"/>
          <w:sz w:val="14"/>
          <w:szCs w:val="14"/>
          <w:color w:val="auto"/>
        </w:rPr>
        <w:t>Advisory board, Boston Museum of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1297940</wp:posOffset>
            </wp:positionV>
            <wp:extent cx="185420" cy="1854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1297940</wp:posOffset>
            </wp:positionV>
            <wp:extent cx="185420" cy="1854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1297940</wp:posOffset>
            </wp:positionV>
            <wp:extent cx="185420" cy="1854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1297940</wp:posOffset>
            </wp:positionV>
            <wp:extent cx="185420" cy="1854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10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682625</wp:posOffset>
            </wp:positionV>
            <wp:extent cx="1134745" cy="11347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Kimberly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23888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50</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2021</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Talent and Compensation</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Ethics and Compliance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None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None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068070" cy="5861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68070" cy="58610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3740785</wp:posOffset>
            </wp:positionV>
            <wp:extent cx="185420" cy="1854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18097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86810" cy="1809750"/>
                    </a:xfrm>
                    <a:prstGeom prst="rect">
                      <a:avLst/>
                    </a:prstGeom>
                    <a:noFill/>
                  </pic:spPr>
                </pic:pic>
              </a:graphicData>
            </a:graphic>
          </wp:anchor>
        </w:drawing>
      </w:r>
    </w:p>
    <w:p>
      <w:pPr>
        <w:spacing w:after="0" w:line="22" w:lineRule="exact"/>
        <w:rPr>
          <w:sz w:val="20"/>
          <w:szCs w:val="20"/>
          <w:color w:val="auto"/>
        </w:rPr>
      </w:pPr>
    </w:p>
    <w:p>
      <w:pPr>
        <w:ind w:right="2859"/>
        <w:spacing w:after="0" w:line="276" w:lineRule="auto"/>
        <w:rPr>
          <w:sz w:val="20"/>
          <w:szCs w:val="20"/>
          <w:color w:val="auto"/>
        </w:rPr>
      </w:pPr>
      <w:r>
        <w:rPr>
          <w:rFonts w:ascii="Arial" w:cs="Arial" w:eastAsia="Arial" w:hAnsi="Arial"/>
          <w:sz w:val="14"/>
          <w:szCs w:val="14"/>
          <w:i w:val="1"/>
          <w:iCs w:val="1"/>
          <w:color w:val="auto"/>
        </w:rPr>
        <w:t>Ms. Johnson brings to the board considerable financial experience and a strong background in technology, governance, and strategy for global risk management.</w:t>
      </w:r>
    </w:p>
    <w:p>
      <w:pPr>
        <w:spacing w:after="0" w:line="13" w:lineRule="exact"/>
        <w:rPr>
          <w:sz w:val="20"/>
          <w:szCs w:val="20"/>
          <w:color w:val="auto"/>
        </w:rPr>
      </w:pPr>
    </w:p>
    <w:p>
      <w:pPr>
        <w:ind w:left="560" w:right="2319" w:hanging="276"/>
        <w:spacing w:after="0" w:line="257" w:lineRule="auto"/>
        <w:tabs>
          <w:tab w:leader="none" w:pos="551"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spacing w:after="0" w:line="25" w:lineRule="exact"/>
        <w:rPr>
          <w:rFonts w:ascii="Arial" w:cs="Arial" w:eastAsia="Arial" w:hAnsi="Arial"/>
          <w:sz w:val="14"/>
          <w:szCs w:val="14"/>
          <w:color w:val="auto"/>
        </w:rPr>
      </w:pPr>
    </w:p>
    <w:p>
      <w:pPr>
        <w:ind w:left="560" w:right="2559" w:hanging="276"/>
        <w:spacing w:after="0" w:line="270" w:lineRule="auto"/>
        <w:tabs>
          <w:tab w:leader="none" w:pos="551"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Johnson also brings deep understanding of enterprise risk management, having served as chief risk officer of Fannie Mae and currently overseeing enterprise risk at T. Rowe Price.</w:t>
      </w:r>
    </w:p>
    <w:p>
      <w:pPr>
        <w:spacing w:after="0" w:line="5" w:lineRule="exact"/>
        <w:rPr>
          <w:rFonts w:ascii="Arial" w:cs="Arial" w:eastAsia="Arial" w:hAnsi="Arial"/>
          <w:sz w:val="14"/>
          <w:szCs w:val="14"/>
          <w:color w:val="auto"/>
        </w:rPr>
      </w:pPr>
    </w:p>
    <w:p>
      <w:pPr>
        <w:ind w:left="560" w:right="2259" w:hanging="276"/>
        <w:spacing w:after="0" w:line="261" w:lineRule="auto"/>
        <w:tabs>
          <w:tab w:leader="none" w:pos="551"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50" w:lineRule="exact"/>
        <w:rPr>
          <w:sz w:val="20"/>
          <w:szCs w:val="20"/>
          <w:color w:val="auto"/>
        </w:rPr>
      </w:pPr>
    </w:p>
    <w:p>
      <w:pPr>
        <w:ind w:left="560" w:hanging="276"/>
        <w:spacing w:after="0"/>
        <w:tabs>
          <w:tab w:leader="none" w:pos="560" w:val="left"/>
        </w:tabs>
        <w:numPr>
          <w:ilvl w:val="0"/>
          <w:numId w:val="72"/>
        </w:numPr>
        <w:rPr>
          <w:rFonts w:ascii="Arial" w:cs="Arial" w:eastAsia="Arial" w:hAnsi="Arial"/>
          <w:sz w:val="14"/>
          <w:szCs w:val="14"/>
          <w:color w:val="auto"/>
        </w:rPr>
      </w:pPr>
      <w:r>
        <w:rPr>
          <w:rFonts w:ascii="Arial" w:cs="Arial" w:eastAsia="Arial" w:hAnsi="Arial"/>
          <w:sz w:val="16"/>
          <w:szCs w:val="16"/>
          <w:b w:val="1"/>
          <w:bCs w:val="1"/>
          <w:color w:val="auto"/>
        </w:rPr>
        <w:t xml:space="preserve">T. Rowe Price Group, Inc., </w:t>
      </w:r>
      <w:r>
        <w:rPr>
          <w:rFonts w:ascii="Arial" w:cs="Arial" w:eastAsia="Arial" w:hAnsi="Arial"/>
          <w:sz w:val="14"/>
          <w:szCs w:val="14"/>
          <w:color w:val="auto"/>
        </w:rPr>
        <w:t>a global leader in asset management</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Vice President and Chief Operating Officer (2022 - present)</w:t>
      </w:r>
    </w:p>
    <w:p>
      <w:pPr>
        <w:spacing w:after="0" w:line="44" w:lineRule="exact"/>
        <w:rPr>
          <w:rFonts w:ascii="Arial" w:cs="Arial" w:eastAsia="Arial" w:hAnsi="Arial"/>
          <w:sz w:val="14"/>
          <w:szCs w:val="14"/>
          <w:color w:val="auto"/>
        </w:rPr>
      </w:pPr>
    </w:p>
    <w:p>
      <w:pPr>
        <w:ind w:left="560" w:right="2579" w:hanging="276"/>
        <w:spacing w:after="0" w:line="250" w:lineRule="auto"/>
        <w:tabs>
          <w:tab w:leader="none" w:pos="551" w:val="left"/>
        </w:tabs>
        <w:numPr>
          <w:ilvl w:val="0"/>
          <w:numId w:val="72"/>
        </w:numPr>
        <w:rPr>
          <w:rFonts w:ascii="Arial" w:cs="Arial" w:eastAsia="Arial" w:hAnsi="Arial"/>
          <w:sz w:val="14"/>
          <w:szCs w:val="14"/>
          <w:color w:val="auto"/>
        </w:rPr>
      </w:pPr>
      <w:r>
        <w:rPr>
          <w:rFonts w:ascii="Arial" w:cs="Arial" w:eastAsia="Arial" w:hAnsi="Arial"/>
          <w:sz w:val="16"/>
          <w:szCs w:val="16"/>
          <w:b w:val="1"/>
          <w:bCs w:val="1"/>
          <w:color w:val="auto"/>
        </w:rPr>
        <w:t xml:space="preserve">Federal National Mortgage Association (Fannie Mae),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4"/>
          <w:szCs w:val="14"/>
          <w:color w:val="auto"/>
        </w:rPr>
        <w:t>provider of</w:t>
      </w:r>
      <w:r>
        <w:rPr>
          <w:rFonts w:ascii="Arial" w:cs="Arial" w:eastAsia="Arial" w:hAnsi="Arial"/>
          <w:sz w:val="16"/>
          <w:szCs w:val="16"/>
          <w:b w:val="1"/>
          <w:bCs w:val="1"/>
          <w:color w:val="auto"/>
        </w:rPr>
        <w:t xml:space="preserve"> </w:t>
      </w:r>
      <w:r>
        <w:rPr>
          <w:rFonts w:ascii="Arial" w:cs="Arial" w:eastAsia="Arial" w:hAnsi="Arial"/>
          <w:sz w:val="14"/>
          <w:szCs w:val="14"/>
          <w:color w:val="auto"/>
        </w:rPr>
        <w:t>affordable mortgage financing in the United States</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Vice President and Chief Operating Officer (2018 - 2022)</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Vice President and Chief Risk Officer (2017 - 2018)</w:t>
      </w:r>
    </w:p>
    <w:p>
      <w:pPr>
        <w:spacing w:after="0" w:line="6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Vice President and Chief Risk Officer (2015 - 2017)</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Senior Vice President and Deputy Chief Risk Officer (2013 - 2015)</w:t>
      </w:r>
    </w:p>
    <w:p>
      <w:pPr>
        <w:spacing w:after="0" w:line="44" w:lineRule="exact"/>
        <w:rPr>
          <w:rFonts w:ascii="Arial" w:cs="Arial" w:eastAsia="Arial" w:hAnsi="Arial"/>
          <w:sz w:val="14"/>
          <w:szCs w:val="14"/>
          <w:color w:val="auto"/>
        </w:rPr>
      </w:pPr>
    </w:p>
    <w:p>
      <w:pPr>
        <w:ind w:left="560" w:right="2479" w:hanging="276"/>
        <w:spacing w:after="0" w:line="250" w:lineRule="auto"/>
        <w:tabs>
          <w:tab w:leader="none" w:pos="551" w:val="left"/>
        </w:tabs>
        <w:numPr>
          <w:ilvl w:val="0"/>
          <w:numId w:val="72"/>
        </w:numPr>
        <w:rPr>
          <w:rFonts w:ascii="Arial" w:cs="Arial" w:eastAsia="Arial" w:hAnsi="Arial"/>
          <w:sz w:val="14"/>
          <w:szCs w:val="14"/>
          <w:color w:val="auto"/>
        </w:rPr>
      </w:pPr>
      <w:r>
        <w:rPr>
          <w:rFonts w:ascii="Arial" w:cs="Arial" w:eastAsia="Arial" w:hAnsi="Arial"/>
          <w:sz w:val="16"/>
          <w:szCs w:val="16"/>
          <w:b w:val="1"/>
          <w:bCs w:val="1"/>
          <w:color w:val="auto"/>
        </w:rPr>
        <w:t xml:space="preserve">Credit Suisse AG, </w:t>
      </w:r>
      <w:r>
        <w:rPr>
          <w:rFonts w:ascii="Arial" w:cs="Arial" w:eastAsia="Arial" w:hAnsi="Arial"/>
          <w:sz w:val="14"/>
          <w:szCs w:val="14"/>
          <w:color w:val="auto"/>
        </w:rPr>
        <w:t>a global wealth manager, investment bank, and financial</w:t>
      </w:r>
      <w:r>
        <w:rPr>
          <w:rFonts w:ascii="Arial" w:cs="Arial" w:eastAsia="Arial" w:hAnsi="Arial"/>
          <w:sz w:val="16"/>
          <w:szCs w:val="16"/>
          <w:b w:val="1"/>
          <w:bCs w:val="1"/>
          <w:color w:val="auto"/>
        </w:rPr>
        <w:t xml:space="preserve"> </w:t>
      </w:r>
      <w:r>
        <w:rPr>
          <w:rFonts w:ascii="Arial" w:cs="Arial" w:eastAsia="Arial" w:hAnsi="Arial"/>
          <w:sz w:val="14"/>
          <w:szCs w:val="14"/>
          <w:color w:val="auto"/>
        </w:rPr>
        <w:t>firm founded and based in Switzerland</w:t>
      </w:r>
    </w:p>
    <w:p>
      <w:pPr>
        <w:spacing w:after="0" w:line="2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Director, Interest Rate Derivative Products (2005 - 2006)</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Vice President (2002 - 2004)</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54" w:lineRule="exact"/>
        <w:rPr>
          <w:sz w:val="20"/>
          <w:szCs w:val="20"/>
          <w:color w:val="auto"/>
        </w:rPr>
      </w:pPr>
    </w:p>
    <w:p>
      <w:pPr>
        <w:ind w:left="560" w:hanging="276"/>
        <w:spacing w:after="0"/>
        <w:tabs>
          <w:tab w:leader="none" w:pos="560" w:val="left"/>
        </w:tabs>
        <w:numPr>
          <w:ilvl w:val="0"/>
          <w:numId w:val="73"/>
        </w:numPr>
        <w:rPr>
          <w:rFonts w:ascii="Cambria" w:cs="Cambria" w:eastAsia="Cambria" w:hAnsi="Cambria"/>
          <w:sz w:val="14"/>
          <w:szCs w:val="14"/>
          <w:b w:val="1"/>
          <w:bCs w:val="1"/>
          <w:color w:val="auto"/>
        </w:rPr>
      </w:pPr>
      <w:r>
        <w:rPr>
          <w:rFonts w:ascii="Arial" w:cs="Arial" w:eastAsia="Arial" w:hAnsi="Arial"/>
          <w:sz w:val="14"/>
          <w:szCs w:val="14"/>
          <w:color w:val="auto"/>
        </w:rPr>
        <w:t>Director, Share Our Strength</w:t>
      </w:r>
    </w:p>
    <w:p>
      <w:pPr>
        <w:spacing w:after="0" w:line="46"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3"/>
        </w:numPr>
        <w:rPr>
          <w:rFonts w:ascii="Cambria" w:cs="Cambria" w:eastAsia="Cambria" w:hAnsi="Cambria"/>
          <w:sz w:val="14"/>
          <w:szCs w:val="14"/>
          <w:b w:val="1"/>
          <w:bCs w:val="1"/>
          <w:color w:val="auto"/>
        </w:rPr>
      </w:pPr>
      <w:r>
        <w:rPr>
          <w:rFonts w:ascii="Arial" w:cs="Arial" w:eastAsia="Arial" w:hAnsi="Arial"/>
          <w:sz w:val="14"/>
          <w:szCs w:val="14"/>
          <w:color w:val="auto"/>
        </w:rPr>
        <w:t>Director, Planet Word</w:t>
      </w:r>
    </w:p>
    <w:p>
      <w:pPr>
        <w:spacing w:after="0" w:line="57"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3"/>
        </w:numPr>
        <w:rPr>
          <w:rFonts w:ascii="Cambria" w:cs="Cambria" w:eastAsia="Cambria" w:hAnsi="Cambria"/>
          <w:sz w:val="14"/>
          <w:szCs w:val="14"/>
          <w:b w:val="1"/>
          <w:bCs w:val="1"/>
          <w:color w:val="auto"/>
        </w:rPr>
      </w:pPr>
      <w:r>
        <w:rPr>
          <w:rFonts w:ascii="Arial" w:cs="Arial" w:eastAsia="Arial" w:hAnsi="Arial"/>
          <w:sz w:val="14"/>
          <w:szCs w:val="14"/>
          <w:color w:val="auto"/>
        </w:rPr>
        <w:t>Former trustee,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2373630</wp:posOffset>
            </wp:positionV>
            <wp:extent cx="185420" cy="1854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2373630</wp:posOffset>
            </wp:positionV>
            <wp:extent cx="185420" cy="1854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2373630</wp:posOffset>
            </wp:positionV>
            <wp:extent cx="185420" cy="1854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2373630</wp:posOffset>
            </wp:positionV>
            <wp:extent cx="185420" cy="1854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10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8"/>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25"/>
        </w:trPr>
        <w:tc>
          <w:tcPr>
            <w:tcW w:w="1160" w:type="dxa"/>
            <w:vAlign w:val="bottom"/>
          </w:tcPr>
          <w:p>
            <w:pPr>
              <w:ind w:left="400"/>
              <w:spacing w:after="0" w:line="125"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-228600</wp:posOffset>
            </wp:positionV>
            <wp:extent cx="185420" cy="1854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-228600</wp:posOffset>
            </wp:positionV>
            <wp:extent cx="185420" cy="1854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-228600</wp:posOffset>
            </wp:positionV>
            <wp:extent cx="185420" cy="1854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-228600</wp:posOffset>
            </wp:positionV>
            <wp:extent cx="185420" cy="1854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36" w:right="1440"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682625</wp:posOffset>
            </wp:positionV>
            <wp:extent cx="1134745" cy="11347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13474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EF3729"/>
        </w:rPr>
        <w:t>Juan R. Luciano</w:t>
      </w:r>
    </w:p>
    <w:p>
      <w:pPr>
        <w:ind w:right="220"/>
        <w:spacing w:after="0" w:line="231" w:lineRule="auto"/>
        <w:rPr>
          <w:sz w:val="20"/>
          <w:szCs w:val="20"/>
          <w:color w:val="auto"/>
        </w:rPr>
      </w:pPr>
      <w:r>
        <w:rPr>
          <w:rFonts w:ascii="Arial" w:cs="Arial" w:eastAsia="Arial" w:hAnsi="Arial"/>
          <w:sz w:val="14"/>
          <w:szCs w:val="14"/>
          <w:color w:val="auto"/>
        </w:rPr>
        <w:t>Lead Independent Director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12388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2016</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Talent and Compensation</w:t>
      </w:r>
    </w:p>
    <w:p>
      <w:pPr>
        <w:spacing w:after="0" w:line="60" w:lineRule="exact"/>
        <w:rPr>
          <w:sz w:val="20"/>
          <w:szCs w:val="20"/>
          <w:color w:val="auto"/>
        </w:rPr>
      </w:pPr>
    </w:p>
    <w:p>
      <w:pPr>
        <w:ind w:left="280" w:right="100" w:hanging="140"/>
        <w:spacing w:after="0" w:line="278"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Directors and Corporate</w:t>
      </w:r>
      <w:r>
        <w:rPr>
          <w:rFonts w:ascii="Arial" w:cs="Arial" w:eastAsia="Arial" w:hAnsi="Arial"/>
          <w:sz w:val="12"/>
          <w:szCs w:val="12"/>
          <w:color w:val="auto"/>
        </w:rPr>
        <w:t xml:space="preserve"> </w:t>
      </w:r>
      <w:r>
        <w:rPr>
          <w:rFonts w:ascii="Arial" w:cs="Arial" w:eastAsia="Arial" w:hAnsi="Arial"/>
          <w:sz w:val="14"/>
          <w:szCs w:val="14"/>
          <w:color w:val="auto"/>
        </w:rPr>
        <w:t>Governance (chair)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Boards:</w:t>
      </w:r>
    </w:p>
    <w:p>
      <w:pPr>
        <w:spacing w:after="0" w:line="61" w:lineRule="exact"/>
        <w:rPr>
          <w:sz w:val="20"/>
          <w:szCs w:val="20"/>
          <w:color w:val="auto"/>
        </w:rPr>
      </w:pPr>
    </w:p>
    <w:p>
      <w:pPr>
        <w:ind w:left="280" w:right="140" w:hanging="146"/>
        <w:spacing w:after="0" w:line="279" w:lineRule="auto"/>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Archer-Daniels-Midland</w:t>
      </w:r>
      <w:r>
        <w:rPr>
          <w:rFonts w:ascii="Arial" w:cs="Arial" w:eastAsia="Arial" w:hAnsi="Arial"/>
          <w:sz w:val="12"/>
          <w:szCs w:val="12"/>
          <w:color w:val="auto"/>
        </w:rPr>
        <w:t xml:space="preserve"> </w:t>
      </w:r>
      <w:r>
        <w:rPr>
          <w:rFonts w:ascii="Arial" w:cs="Arial" w:eastAsia="Arial" w:hAnsi="Arial"/>
          <w:sz w:val="14"/>
          <w:szCs w:val="14"/>
          <w:color w:val="auto"/>
        </w:rPr>
        <w:t>Company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Prior Public Boards: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None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068070" cy="578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68070" cy="57848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3169285</wp:posOffset>
            </wp:positionV>
            <wp:extent cx="185420" cy="1854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-121920</wp:posOffset>
            </wp:positionV>
            <wp:extent cx="3686810" cy="23660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86810" cy="2366010"/>
                    </a:xfrm>
                    <a:prstGeom prst="rect">
                      <a:avLst/>
                    </a:prstGeom>
                    <a:noFill/>
                  </pic:spPr>
                </pic:pic>
              </a:graphicData>
            </a:graphic>
          </wp:anchor>
        </w:drawing>
      </w:r>
    </w:p>
    <w:p>
      <w:pPr>
        <w:spacing w:after="0" w:line="116" w:lineRule="exact"/>
        <w:rPr>
          <w:sz w:val="20"/>
          <w:szCs w:val="20"/>
          <w:color w:val="auto"/>
        </w:rPr>
      </w:pPr>
    </w:p>
    <w:p>
      <w:pPr>
        <w:ind w:right="2359"/>
        <w:spacing w:after="0" w:line="260" w:lineRule="auto"/>
        <w:rPr>
          <w:sz w:val="20"/>
          <w:szCs w:val="20"/>
          <w:color w:val="auto"/>
        </w:rPr>
      </w:pPr>
      <w:r>
        <w:rPr>
          <w:rFonts w:ascii="Arial" w:cs="Arial" w:eastAsia="Arial" w:hAnsi="Arial"/>
          <w:sz w:val="14"/>
          <w:szCs w:val="14"/>
          <w:i w:val="1"/>
          <w:iCs w:val="1"/>
          <w:color w:val="auto"/>
        </w:rPr>
        <w:t>Mr. Luciano’s decades of experience, including as Chairman and CEO of Archer-Daniels-Midland Company, in leading large organizations, international business, strategy, and operations bring to the board valuable insights into the complexities of operating in a rapidly changing global market. Mr. Luciano has strong leadership qualities that enable him to act as an independent leader for the Board.</w:t>
      </w:r>
    </w:p>
    <w:p>
      <w:pPr>
        <w:spacing w:after="0" w:line="60" w:lineRule="exact"/>
        <w:rPr>
          <w:sz w:val="20"/>
          <w:szCs w:val="20"/>
          <w:color w:val="auto"/>
        </w:rPr>
      </w:pPr>
    </w:p>
    <w:p>
      <w:pPr>
        <w:ind w:left="560" w:right="2519" w:hanging="276"/>
        <w:spacing w:after="0" w:line="261" w:lineRule="auto"/>
        <w:tabs>
          <w:tab w:leader="none" w:pos="557" w:val="left"/>
        </w:tabs>
        <w:numPr>
          <w:ilvl w:val="0"/>
          <w:numId w:val="77"/>
        </w:numPr>
        <w:rPr>
          <w:rFonts w:ascii="Arial" w:cs="Arial" w:eastAsia="Arial" w:hAnsi="Arial"/>
          <w:sz w:val="12"/>
          <w:szCs w:val="12"/>
          <w:color w:val="auto"/>
        </w:rPr>
      </w:pPr>
      <w:r>
        <w:rPr>
          <w:rFonts w:ascii="Arial" w:cs="Arial" w:eastAsia="Arial" w:hAnsi="Arial"/>
          <w:sz w:val="14"/>
          <w:szCs w:val="14"/>
          <w:color w:val="auto"/>
        </w:rPr>
        <w:t>As chairman and CEO of a major global enterprise, Mr. Luciano contributes extensive knowledge of international business and the development and execution of strategy, such as the increased use of innovative technologies to meet customer needs.</w:t>
      </w:r>
    </w:p>
    <w:p>
      <w:pPr>
        <w:spacing w:after="0" w:line="70" w:lineRule="exact"/>
        <w:rPr>
          <w:rFonts w:ascii="Arial" w:cs="Arial" w:eastAsia="Arial" w:hAnsi="Arial"/>
          <w:sz w:val="12"/>
          <w:szCs w:val="12"/>
          <w:color w:val="auto"/>
        </w:rPr>
      </w:pPr>
    </w:p>
    <w:p>
      <w:pPr>
        <w:ind w:left="560" w:right="2299" w:hanging="276"/>
        <w:spacing w:after="0" w:line="261" w:lineRule="auto"/>
        <w:tabs>
          <w:tab w:leader="none" w:pos="557" w:val="left"/>
        </w:tabs>
        <w:numPr>
          <w:ilvl w:val="0"/>
          <w:numId w:val="77"/>
        </w:numPr>
        <w:rPr>
          <w:rFonts w:ascii="Arial" w:cs="Arial" w:eastAsia="Arial" w:hAnsi="Arial"/>
          <w:sz w:val="12"/>
          <w:szCs w:val="12"/>
          <w:color w:val="auto"/>
        </w:rPr>
      </w:pPr>
      <w:r>
        <w:rPr>
          <w:rFonts w:ascii="Arial" w:cs="Arial" w:eastAsia="Arial" w:hAnsi="Arial"/>
          <w:sz w:val="14"/>
          <w:szCs w:val="14"/>
          <w:color w:val="auto"/>
        </w:rPr>
        <w:t>Mr. Luciano’s experience as a chief operating officer and line executive in several product areas also bring a thorough understanding of operations, especially in highly regulated sectors.</w:t>
      </w:r>
    </w:p>
    <w:p>
      <w:pPr>
        <w:spacing w:after="0" w:line="23" w:lineRule="exact"/>
        <w:rPr>
          <w:rFonts w:ascii="Arial" w:cs="Arial" w:eastAsia="Arial" w:hAnsi="Arial"/>
          <w:sz w:val="12"/>
          <w:szCs w:val="12"/>
          <w:color w:val="auto"/>
        </w:rPr>
      </w:pPr>
    </w:p>
    <w:p>
      <w:pPr>
        <w:ind w:left="560" w:right="2379" w:hanging="276"/>
        <w:spacing w:after="0" w:line="270" w:lineRule="auto"/>
        <w:tabs>
          <w:tab w:leader="none" w:pos="557" w:val="left"/>
        </w:tabs>
        <w:numPr>
          <w:ilvl w:val="0"/>
          <w:numId w:val="77"/>
        </w:numPr>
        <w:rPr>
          <w:rFonts w:ascii="Times New Roman" w:cs="Times New Roman" w:eastAsia="Times New Roman" w:hAnsi="Times New Roman"/>
          <w:sz w:val="12"/>
          <w:szCs w:val="12"/>
          <w:color w:val="auto"/>
        </w:rPr>
      </w:pPr>
      <w:r>
        <w:rPr>
          <w:rFonts w:ascii="Arial" w:cs="Arial" w:eastAsia="Arial" w:hAnsi="Arial"/>
          <w:sz w:val="14"/>
          <w:szCs w:val="14"/>
          <w:color w:val="auto"/>
        </w:rPr>
        <w:t>Mr. Luciano’s results-oriented perspective and his experience in leading a major multinational company are particularly valuable to the board and make him a strong lead independent director.</w:t>
      </w:r>
    </w:p>
    <w:p>
      <w:pPr>
        <w:spacing w:after="0" w:line="5" w:lineRule="exact"/>
        <w:rPr>
          <w:rFonts w:ascii="Times New Roman" w:cs="Times New Roman" w:eastAsia="Times New Roman" w:hAnsi="Times New Roman"/>
          <w:sz w:val="12"/>
          <w:szCs w:val="12"/>
          <w:color w:val="auto"/>
        </w:rPr>
      </w:pPr>
    </w:p>
    <w:p>
      <w:pPr>
        <w:ind w:left="560" w:right="2259" w:hanging="276"/>
        <w:spacing w:after="0" w:line="270" w:lineRule="auto"/>
        <w:tabs>
          <w:tab w:leader="none" w:pos="557" w:val="left"/>
        </w:tabs>
        <w:numPr>
          <w:ilvl w:val="0"/>
          <w:numId w:val="77"/>
        </w:numPr>
        <w:rPr>
          <w:rFonts w:ascii="Times New Roman" w:cs="Times New Roman" w:eastAsia="Times New Roman" w:hAnsi="Times New Roman"/>
          <w:sz w:val="12"/>
          <w:szCs w:val="12"/>
          <w:color w:val="auto"/>
        </w:rPr>
      </w:pPr>
      <w:r>
        <w:rPr>
          <w:rFonts w:ascii="Arial" w:cs="Arial" w:eastAsia="Arial" w:hAnsi="Arial"/>
          <w:sz w:val="14"/>
          <w:szCs w:val="14"/>
          <w:color w:val="auto"/>
        </w:rPr>
        <w:t>Mr. Luciano is a well-respected leader of the Board, with the willingness and ability to provide direct, candid feedback to the CEO while acting as a facilitator of discussion and progress.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CAREER HIGHLIGHTS</w:t>
      </w:r>
    </w:p>
    <w:p>
      <w:pPr>
        <w:spacing w:after="0" w:line="31" w:lineRule="exact"/>
        <w:rPr>
          <w:sz w:val="20"/>
          <w:szCs w:val="20"/>
          <w:color w:val="auto"/>
        </w:rPr>
      </w:pPr>
    </w:p>
    <w:p>
      <w:pPr>
        <w:ind w:left="560" w:right="2939" w:hanging="276"/>
        <w:spacing w:after="0" w:line="260" w:lineRule="auto"/>
        <w:tabs>
          <w:tab w:leader="none" w:pos="551" w:val="left"/>
        </w:tabs>
        <w:numPr>
          <w:ilvl w:val="0"/>
          <w:numId w:val="78"/>
        </w:numPr>
        <w:rPr>
          <w:rFonts w:ascii="Arial" w:cs="Arial" w:eastAsia="Arial" w:hAnsi="Arial"/>
          <w:sz w:val="14"/>
          <w:szCs w:val="14"/>
          <w:color w:val="auto"/>
        </w:rPr>
      </w:pPr>
      <w:r>
        <w:rPr>
          <w:rFonts w:ascii="Arial" w:cs="Arial" w:eastAsia="Arial" w:hAnsi="Arial"/>
          <w:sz w:val="16"/>
          <w:szCs w:val="16"/>
          <w:b w:val="1"/>
          <w:bCs w:val="1"/>
          <w:color w:val="auto"/>
        </w:rPr>
        <w:t>Archer-Daniels-Midland Company</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auto"/>
        </w:rPr>
        <w:t>a global food processing and</w:t>
      </w:r>
      <w:r>
        <w:rPr>
          <w:rFonts w:ascii="Arial" w:cs="Arial" w:eastAsia="Arial" w:hAnsi="Arial"/>
          <w:sz w:val="16"/>
          <w:szCs w:val="16"/>
          <w:b w:val="1"/>
          <w:bCs w:val="1"/>
          <w:color w:val="auto"/>
        </w:rPr>
        <w:t xml:space="preserve"> </w:t>
      </w:r>
      <w:r>
        <w:rPr>
          <w:rFonts w:ascii="Arial" w:cs="Arial" w:eastAsia="Arial" w:hAnsi="Arial"/>
          <w:sz w:val="14"/>
          <w:szCs w:val="14"/>
          <w:color w:val="auto"/>
        </w:rPr>
        <w:t>commodities-trading company</w:t>
      </w:r>
    </w:p>
    <w:p>
      <w:pPr>
        <w:spacing w:after="0" w:line="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Chairman (2016 - present)</w:t>
      </w:r>
    </w:p>
    <w:p>
      <w:pPr>
        <w:spacing w:after="0" w:line="23"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Chief Executive Officer and President (2015 - present)</w:t>
      </w:r>
    </w:p>
    <w:p>
      <w:pPr>
        <w:spacing w:after="0" w:line="6"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President and Chief Operating Officer (2014 - 2015)</w:t>
      </w:r>
    </w:p>
    <w:p>
      <w:pPr>
        <w:spacing w:after="0" w:line="30" w:lineRule="exact"/>
        <w:rPr>
          <w:rFonts w:ascii="Arial" w:cs="Arial" w:eastAsia="Arial" w:hAnsi="Arial"/>
          <w:sz w:val="14"/>
          <w:szCs w:val="14"/>
          <w:color w:val="auto"/>
        </w:rPr>
      </w:pPr>
    </w:p>
    <w:p>
      <w:pPr>
        <w:ind w:left="560" w:hanging="276"/>
        <w:spacing w:after="0"/>
        <w:tabs>
          <w:tab w:leader="none" w:pos="560" w:val="left"/>
        </w:tabs>
        <w:numPr>
          <w:ilvl w:val="0"/>
          <w:numId w:val="78"/>
        </w:numPr>
        <w:rPr>
          <w:rFonts w:ascii="Arial" w:cs="Arial" w:eastAsia="Arial" w:hAnsi="Arial"/>
          <w:sz w:val="14"/>
          <w:szCs w:val="14"/>
          <w:color w:val="auto"/>
        </w:rPr>
      </w:pPr>
      <w:r>
        <w:rPr>
          <w:rFonts w:ascii="Arial" w:cs="Arial" w:eastAsia="Arial" w:hAnsi="Arial"/>
          <w:sz w:val="16"/>
          <w:szCs w:val="16"/>
          <w:b w:val="1"/>
          <w:bCs w:val="1"/>
          <w:color w:val="auto"/>
        </w:rPr>
        <w:t xml:space="preserve">The Dow Chemical Company, </w:t>
      </w:r>
      <w:r>
        <w:rPr>
          <w:rFonts w:ascii="Arial" w:cs="Arial" w:eastAsia="Arial" w:hAnsi="Arial"/>
          <w:sz w:val="14"/>
          <w:szCs w:val="14"/>
          <w:color w:val="auto"/>
        </w:rPr>
        <w:t>a multinational chemical company</w:t>
      </w:r>
    </w:p>
    <w:p>
      <w:pPr>
        <w:spacing w:after="0" w:line="54"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2"/>
          <w:szCs w:val="12"/>
          <w:color w:val="auto"/>
        </w:rPr>
        <w:t xml:space="preserve">–   </w:t>
      </w:r>
      <w:r>
        <w:rPr>
          <w:rFonts w:ascii="Arial" w:cs="Arial" w:eastAsia="Arial" w:hAnsi="Arial"/>
          <w:sz w:val="14"/>
          <w:szCs w:val="14"/>
          <w:color w:val="auto"/>
        </w:rPr>
        <w:t>Executive Vice President and President, Performance Division (2010 - 2011)</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HIGHLIGHTS</w:t>
      </w:r>
    </w:p>
    <w:p>
      <w:pPr>
        <w:spacing w:after="0" w:line="31" w:lineRule="exact"/>
        <w:rPr>
          <w:sz w:val="20"/>
          <w:szCs w:val="20"/>
          <w:color w:val="auto"/>
        </w:rPr>
      </w:pP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Alternate Director, Wilmar International</w:t>
      </w:r>
    </w:p>
    <w:p>
      <w:pPr>
        <w:spacing w:after="0" w:line="20"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Intersect Illinois, Board</w:t>
      </w:r>
    </w:p>
    <w:p>
      <w:pPr>
        <w:spacing w:after="0" w:line="3"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Rush University Medical Center, Board of Trustees</w:t>
      </w:r>
    </w:p>
    <w:p>
      <w:pPr>
        <w:spacing w:after="0" w:line="6"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The Business Roundtable</w:t>
      </w:r>
    </w:p>
    <w:p>
      <w:pPr>
        <w:spacing w:after="0" w:line="3" w:lineRule="exact"/>
        <w:rPr>
          <w:rFonts w:ascii="Cambria" w:cs="Cambria" w:eastAsia="Cambria" w:hAnsi="Cambria"/>
          <w:sz w:val="14"/>
          <w:szCs w:val="14"/>
          <w:b w:val="1"/>
          <w:bCs w:val="1"/>
          <w:color w:val="auto"/>
        </w:rPr>
      </w:pP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Civic Committee at the Commercial Club of Chicago, Member</w:t>
      </w:r>
    </w:p>
    <w:p>
      <w:pPr>
        <w:ind w:left="560" w:hanging="276"/>
        <w:spacing w:after="0"/>
        <w:tabs>
          <w:tab w:leader="none" w:pos="560" w:val="left"/>
        </w:tabs>
        <w:numPr>
          <w:ilvl w:val="0"/>
          <w:numId w:val="79"/>
        </w:numPr>
        <w:rPr>
          <w:rFonts w:ascii="Cambria" w:cs="Cambria" w:eastAsia="Cambria" w:hAnsi="Cambria"/>
          <w:sz w:val="14"/>
          <w:szCs w:val="14"/>
          <w:b w:val="1"/>
          <w:bCs w:val="1"/>
          <w:color w:val="auto"/>
        </w:rPr>
      </w:pPr>
      <w:r>
        <w:rPr>
          <w:rFonts w:ascii="Arial" w:cs="Arial" w:eastAsia="Arial" w:hAnsi="Arial"/>
          <w:sz w:val="14"/>
          <w:szCs w:val="14"/>
          <w:color w:val="auto"/>
        </w:rPr>
        <w:t>Economic Club of Chicago,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2172335</wp:posOffset>
            </wp:positionV>
            <wp:extent cx="185420" cy="1854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2172335</wp:posOffset>
            </wp:positionV>
            <wp:extent cx="185420" cy="1854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2172335</wp:posOffset>
            </wp:positionV>
            <wp:extent cx="185420" cy="1854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2172335</wp:posOffset>
            </wp:positionV>
            <wp:extent cx="185420" cy="1854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80"/>
            <w:col w:w="7879"/>
          </w:cols>
          <w:pgMar w:left="320" w:top="10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CEO</w:t>
            </w:r>
          </w:p>
        </w:tc>
        <w:tc>
          <w:tcPr>
            <w:tcW w:w="60" w:type="dxa"/>
            <w:vAlign w:val="bottom"/>
          </w:tcPr>
          <w:p>
            <w:pPr>
              <w:spacing w:after="0"/>
              <w:rPr>
                <w:sz w:val="13"/>
                <w:szCs w:val="13"/>
                <w:color w:val="auto"/>
              </w:rPr>
            </w:pPr>
          </w:p>
        </w:tc>
        <w:tc>
          <w:tcPr>
            <w:tcW w:w="1140" w:type="dxa"/>
            <w:vAlign w:val="bottom"/>
          </w:tcPr>
          <w:p>
            <w:pPr>
              <w:jc w:val="center"/>
              <w:ind w:right="498"/>
              <w:spacing w:after="0"/>
              <w:rPr>
                <w:sz w:val="20"/>
                <w:szCs w:val="20"/>
                <w:color w:val="auto"/>
              </w:rPr>
            </w:pPr>
            <w:r>
              <w:rPr>
                <w:rFonts w:ascii="Arial" w:cs="Arial" w:eastAsia="Arial" w:hAnsi="Arial"/>
                <w:sz w:val="12"/>
                <w:szCs w:val="12"/>
                <w:b w:val="1"/>
                <w:bCs w:val="1"/>
                <w:color w:val="auto"/>
              </w:rPr>
              <w:t>Finance /</w:t>
            </w:r>
          </w:p>
        </w:tc>
        <w:tc>
          <w:tcPr>
            <w:tcW w:w="1120" w:type="dxa"/>
            <w:vAlign w:val="bottom"/>
          </w:tcPr>
          <w:p>
            <w:pPr>
              <w:jc w:val="center"/>
              <w:ind w:right="278"/>
              <w:spacing w:after="0"/>
              <w:rPr>
                <w:sz w:val="20"/>
                <w:szCs w:val="20"/>
                <w:color w:val="auto"/>
              </w:rPr>
            </w:pPr>
            <w:r>
              <w:rPr>
                <w:rFonts w:ascii="Arial" w:cs="Arial" w:eastAsia="Arial" w:hAnsi="Arial"/>
                <w:sz w:val="12"/>
                <w:szCs w:val="12"/>
                <w:b w:val="1"/>
                <w:bCs w:val="1"/>
                <w:color w:val="auto"/>
              </w:rPr>
              <w:t>International</w:t>
            </w:r>
          </w:p>
        </w:tc>
        <w:tc>
          <w:tcPr>
            <w:tcW w:w="1280" w:type="dxa"/>
            <w:vAlign w:val="bottom"/>
            <w:gridSpan w:val="2"/>
          </w:tcPr>
          <w:p>
            <w:pPr>
              <w:jc w:val="center"/>
              <w:ind w:right="258"/>
              <w:spacing w:after="0"/>
              <w:rPr>
                <w:sz w:val="20"/>
                <w:szCs w:val="20"/>
                <w:color w:val="auto"/>
              </w:rPr>
            </w:pPr>
            <w:r>
              <w:rPr>
                <w:rFonts w:ascii="Arial" w:cs="Arial" w:eastAsia="Arial" w:hAnsi="Arial"/>
                <w:sz w:val="12"/>
                <w:szCs w:val="12"/>
                <w:b w:val="1"/>
                <w:bCs w:val="1"/>
                <w:color w:val="auto"/>
              </w:rPr>
              <w:t>Healthcare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Science /</w:t>
            </w:r>
          </w:p>
        </w:tc>
        <w:tc>
          <w:tcPr>
            <w:tcW w:w="0" w:type="dxa"/>
            <w:vAlign w:val="bottom"/>
          </w:tcPr>
          <w:p>
            <w:pPr>
              <w:spacing w:after="0"/>
              <w:rPr>
                <w:sz w:val="1"/>
                <w:szCs w:val="1"/>
                <w:color w:val="auto"/>
              </w:rPr>
            </w:pPr>
          </w:p>
        </w:tc>
      </w:tr>
      <w:tr>
        <w:trPr>
          <w:trHeight w:val="171"/>
        </w:trPr>
        <w:tc>
          <w:tcPr>
            <w:tcW w:w="1160" w:type="dxa"/>
            <w:vAlign w:val="bottom"/>
          </w:tcPr>
          <w:p>
            <w:pPr>
              <w:jc w:val="center"/>
              <w:ind w:right="438"/>
              <w:spacing w:after="0"/>
              <w:rPr>
                <w:sz w:val="20"/>
                <w:szCs w:val="20"/>
                <w:color w:val="auto"/>
              </w:rPr>
            </w:pPr>
            <w:r>
              <w:rPr>
                <w:rFonts w:ascii="Arial" w:cs="Arial" w:eastAsia="Arial" w:hAnsi="Arial"/>
                <w:sz w:val="12"/>
                <w:szCs w:val="12"/>
                <w:b w:val="1"/>
                <w:bCs w:val="1"/>
                <w:color w:val="auto"/>
              </w:rPr>
              <w:t>Leadership</w:t>
            </w:r>
          </w:p>
        </w:tc>
        <w:tc>
          <w:tcPr>
            <w:tcW w:w="120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Accounting</w:t>
            </w:r>
          </w:p>
        </w:tc>
        <w:tc>
          <w:tcPr>
            <w:tcW w:w="1120" w:type="dxa"/>
            <w:vAlign w:val="bottom"/>
          </w:tcPr>
          <w:p>
            <w:pPr>
              <w:jc w:val="center"/>
              <w:ind w:right="298"/>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060" w:type="dxa"/>
            <w:vAlign w:val="bottom"/>
          </w:tcPr>
          <w:p>
            <w:pPr>
              <w:jc w:val="center"/>
              <w:ind w:right="478"/>
              <w:spacing w:after="0"/>
              <w:rPr>
                <w:sz w:val="20"/>
                <w:szCs w:val="20"/>
                <w:color w:val="auto"/>
              </w:rPr>
            </w:pPr>
            <w:r>
              <w:rPr>
                <w:rFonts w:ascii="Arial" w:cs="Arial" w:eastAsia="Arial" w:hAnsi="Arial"/>
                <w:sz w:val="12"/>
                <w:szCs w:val="12"/>
                <w:b w:val="1"/>
                <w:bCs w:val="1"/>
                <w:color w:val="auto"/>
              </w:rPr>
              <w:t>Industry</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w w:val="98"/>
              </w:rPr>
              <w:t>Academia</w:t>
            </w:r>
          </w:p>
        </w:tc>
        <w:tc>
          <w:tcPr>
            <w:tcW w:w="0" w:type="dxa"/>
            <w:vAlign w:val="bottom"/>
          </w:tcPr>
          <w:p>
            <w:pPr>
              <w:spacing w:after="0"/>
              <w:rPr>
                <w:sz w:val="1"/>
                <w:szCs w:val="1"/>
                <w:color w:val="auto"/>
              </w:rPr>
            </w:pPr>
          </w:p>
        </w:tc>
      </w:tr>
      <w:tr>
        <w:trPr>
          <w:trHeight w:val="375"/>
        </w:trPr>
        <w:tc>
          <w:tcPr>
            <w:tcW w:w="1160" w:type="dxa"/>
            <w:vAlign w:val="bottom"/>
          </w:tcPr>
          <w:p>
            <w:pPr>
              <w:ind w:left="400"/>
              <w:spacing w:after="0"/>
              <w:rPr>
                <w:sz w:val="20"/>
                <w:szCs w:val="20"/>
                <w:color w:val="auto"/>
              </w:rPr>
            </w:pPr>
            <w:r>
              <w:rPr>
                <w:rFonts w:ascii="Arial" w:cs="Arial" w:eastAsia="Arial" w:hAnsi="Arial"/>
                <w:sz w:val="12"/>
                <w:szCs w:val="12"/>
                <w:b w:val="1"/>
                <w:bCs w:val="1"/>
                <w:color w:val="auto"/>
              </w:rPr>
              <w:t>Government</w:t>
            </w:r>
          </w:p>
        </w:tc>
        <w:tc>
          <w:tcPr>
            <w:tcW w:w="60" w:type="dxa"/>
            <w:vAlign w:val="bottom"/>
          </w:tcPr>
          <w:p>
            <w:pPr>
              <w:spacing w:after="0"/>
              <w:rPr>
                <w:sz w:val="24"/>
                <w:szCs w:val="24"/>
                <w:color w:val="auto"/>
              </w:rPr>
            </w:pPr>
          </w:p>
        </w:tc>
        <w:tc>
          <w:tcPr>
            <w:tcW w:w="114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Sales /</w:t>
            </w:r>
          </w:p>
        </w:tc>
        <w:tc>
          <w:tcPr>
            <w:tcW w:w="13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9"/>
              </w:rPr>
              <w:t>Technology /</w:t>
            </w:r>
          </w:p>
        </w:tc>
        <w:tc>
          <w:tcPr>
            <w:tcW w:w="166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Operations /</w:t>
            </w:r>
          </w:p>
        </w:tc>
        <w:tc>
          <w:tcPr>
            <w:tcW w:w="0" w:type="dxa"/>
            <w:vAlign w:val="bottom"/>
          </w:tcPr>
          <w:p>
            <w:pPr>
              <w:spacing w:after="0"/>
              <w:rPr>
                <w:sz w:val="1"/>
                <w:szCs w:val="1"/>
                <w:color w:val="auto"/>
              </w:rPr>
            </w:pPr>
          </w:p>
        </w:tc>
      </w:tr>
      <w:tr>
        <w:trPr>
          <w:trHeight w:val="117"/>
        </w:trPr>
        <w:tc>
          <w:tcPr>
            <w:tcW w:w="116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Relations /</w:t>
            </w: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rPr>
              <w:t>Public Policy</w:t>
            </w:r>
          </w:p>
        </w:tc>
        <w:tc>
          <w:tcPr>
            <w:tcW w:w="1140" w:type="dxa"/>
            <w:vAlign w:val="bottom"/>
          </w:tcPr>
          <w:p>
            <w:pPr>
              <w:ind w:left="520"/>
              <w:spacing w:after="0"/>
              <w:rPr>
                <w:sz w:val="20"/>
                <w:szCs w:val="20"/>
                <w:color w:val="auto"/>
              </w:rPr>
            </w:pPr>
            <w:r>
              <w:rPr>
                <w:rFonts w:ascii="Arial" w:cs="Arial" w:eastAsia="Arial" w:hAnsi="Arial"/>
                <w:sz w:val="12"/>
                <w:szCs w:val="12"/>
                <w:b w:val="1"/>
                <w:bCs w:val="1"/>
                <w:color w:val="auto"/>
              </w:rPr>
              <w:t>Marketing</w:t>
            </w:r>
          </w:p>
        </w:tc>
        <w:tc>
          <w:tcPr>
            <w:tcW w:w="1120" w:type="dxa"/>
            <w:vAlign w:val="bottom"/>
          </w:tcPr>
          <w:p>
            <w:pPr>
              <w:ind w:left="580"/>
              <w:spacing w:after="0"/>
              <w:rPr>
                <w:sz w:val="20"/>
                <w:szCs w:val="20"/>
                <w:color w:val="auto"/>
              </w:rPr>
            </w:pPr>
            <w:r>
              <w:rPr>
                <w:rFonts w:ascii="Arial" w:cs="Arial" w:eastAsia="Arial" w:hAnsi="Arial"/>
                <w:sz w:val="12"/>
                <w:szCs w:val="12"/>
                <w:b w:val="1"/>
                <w:bCs w:val="1"/>
                <w:color w:val="auto"/>
              </w:rPr>
              <w:t>Digital</w:t>
            </w:r>
          </w:p>
        </w:tc>
        <w:tc>
          <w:tcPr>
            <w:tcW w:w="22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Arial" w:cs="Arial" w:eastAsia="Arial" w:hAnsi="Arial"/>
                <w:sz w:val="12"/>
                <w:szCs w:val="12"/>
                <w:b w:val="1"/>
                <w:bCs w:val="1"/>
                <w:color w:val="auto"/>
                <w:w w:val="99"/>
              </w:rPr>
              <w:t>Strategy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-221615</wp:posOffset>
            </wp:positionV>
            <wp:extent cx="185420" cy="1854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-221615</wp:posOffset>
            </wp:positionV>
            <wp:extent cx="185420" cy="1854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-221615</wp:posOffset>
            </wp:positionV>
            <wp:extent cx="185420" cy="1854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5420" cy="1854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-221615</wp:posOffset>
            </wp:positionV>
            <wp:extent cx="185420" cy="1854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036"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2"/>
          <w:szCs w:val="22"/>
          <w:b w:val="1"/>
          <w:bCs w:val="1"/>
          <w:color w:val="00A1DE"/>
        </w:rPr>
        <w:t>Director Nominations</w:t>
      </w:r>
    </w:p>
    <w:p>
      <w:pPr>
        <w:spacing w:after="0" w:line="26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27305</wp:posOffset>
            </wp:positionV>
            <wp:extent cx="52070" cy="148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070" cy="148590"/>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27305</wp:posOffset>
            </wp:positionV>
            <wp:extent cx="74295" cy="140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295" cy="14097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100" w:type="dxa"/>
            <w:vAlign w:val="bottom"/>
            <w:tcBorders>
              <w:bottom w:val="single" w:sz="8" w:color="D52B1E"/>
            </w:tcBorders>
            <w:shd w:val="clear" w:color="auto" w:fill="D52B1E"/>
          </w:tcPr>
          <w:p>
            <w:pPr>
              <w:spacing w:after="0"/>
              <w:rPr>
                <w:sz w:val="20"/>
                <w:szCs w:val="20"/>
                <w:color w:val="auto"/>
              </w:rPr>
            </w:pPr>
            <w:r>
              <w:rPr>
                <w:rFonts w:ascii="Arial" w:cs="Arial" w:eastAsia="Arial" w:hAnsi="Arial"/>
                <w:sz w:val="16"/>
                <w:szCs w:val="16"/>
                <w:color w:val="FFFFFF"/>
              </w:rPr>
              <w:t>Incumbent Directors</w:t>
            </w:r>
          </w:p>
        </w:tc>
        <w:tc>
          <w:tcPr>
            <w:tcW w:w="280" w:type="dxa"/>
            <w:vAlign w:val="bottom"/>
          </w:tcPr>
          <w:p>
            <w:pPr>
              <w:spacing w:after="0"/>
              <w:rPr>
                <w:sz w:val="24"/>
                <w:szCs w:val="24"/>
                <w:color w:val="auto"/>
              </w:rPr>
            </w:pPr>
          </w:p>
        </w:tc>
        <w:tc>
          <w:tcPr>
            <w:tcW w:w="1280" w:type="dxa"/>
            <w:vAlign w:val="bottom"/>
            <w:tcBorders>
              <w:bottom w:val="single" w:sz="8" w:color="D52B1E"/>
            </w:tcBorders>
            <w:shd w:val="clear" w:color="auto" w:fill="D52B1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6D6D6D"/>
            </w:tcBorders>
            <w:shd w:val="clear" w:color="auto" w:fill="6D6D6D"/>
          </w:tcPr>
          <w:p>
            <w:pPr>
              <w:spacing w:after="0"/>
              <w:rPr>
                <w:sz w:val="24"/>
                <w:szCs w:val="24"/>
                <w:color w:val="auto"/>
              </w:rPr>
            </w:pPr>
          </w:p>
        </w:tc>
        <w:tc>
          <w:tcPr>
            <w:tcW w:w="1880" w:type="dxa"/>
            <w:vAlign w:val="bottom"/>
            <w:tcBorders>
              <w:bottom w:val="single" w:sz="8" w:color="6D6D6D"/>
            </w:tcBorders>
            <w:shd w:val="clear" w:color="auto" w:fill="6D6D6D"/>
          </w:tcPr>
          <w:p>
            <w:pPr>
              <w:ind w:left="240"/>
              <w:spacing w:after="0"/>
              <w:rPr>
                <w:sz w:val="20"/>
                <w:szCs w:val="20"/>
                <w:color w:val="auto"/>
              </w:rPr>
            </w:pPr>
            <w:r>
              <w:rPr>
                <w:rFonts w:ascii="Arial" w:cs="Arial" w:eastAsia="Arial" w:hAnsi="Arial"/>
                <w:sz w:val="16"/>
                <w:szCs w:val="16"/>
                <w:color w:val="FFFFFF"/>
              </w:rPr>
              <w:t>In-Depth Review</w:t>
            </w:r>
          </w:p>
        </w:tc>
        <w:tc>
          <w:tcPr>
            <w:tcW w:w="280" w:type="dxa"/>
            <w:vAlign w:val="bottom"/>
          </w:tcPr>
          <w:p>
            <w:pPr>
              <w:spacing w:after="0"/>
              <w:rPr>
                <w:sz w:val="24"/>
                <w:szCs w:val="24"/>
                <w:color w:val="auto"/>
              </w:rPr>
            </w:pPr>
          </w:p>
        </w:tc>
        <w:tc>
          <w:tcPr>
            <w:tcW w:w="1320" w:type="dxa"/>
            <w:vAlign w:val="bottom"/>
            <w:tcBorders>
              <w:bottom w:val="single" w:sz="8" w:color="00A1DE"/>
            </w:tcBorders>
            <w:vMerge w:val="restart"/>
            <w:shd w:val="clear" w:color="auto" w:fill="00A1DE"/>
          </w:tcPr>
          <w:p>
            <w:pPr>
              <w:jc w:val="center"/>
              <w:spacing w:after="0"/>
              <w:rPr>
                <w:sz w:val="20"/>
                <w:szCs w:val="20"/>
                <w:color w:val="auto"/>
              </w:rPr>
            </w:pPr>
            <w:r>
              <w:rPr>
                <w:rFonts w:ascii="Arial" w:cs="Arial" w:eastAsia="Arial" w:hAnsi="Arial"/>
                <w:sz w:val="16"/>
                <w:szCs w:val="16"/>
                <w:color w:val="FFFFFF"/>
                <w:w w:val="96"/>
              </w:rPr>
              <w:t>Recommend</w:t>
            </w:r>
          </w:p>
        </w:tc>
        <w:tc>
          <w:tcPr>
            <w:tcW w:w="0" w:type="dxa"/>
            <w:vAlign w:val="bottom"/>
          </w:tcPr>
          <w:p>
            <w:pPr>
              <w:spacing w:after="0"/>
              <w:rPr>
                <w:sz w:val="1"/>
                <w:szCs w:val="1"/>
                <w:color w:val="auto"/>
              </w:rPr>
            </w:pPr>
          </w:p>
        </w:tc>
      </w:tr>
      <w:tr>
        <w:trPr>
          <w:trHeight w:val="44"/>
        </w:trPr>
        <w:tc>
          <w:tcPr>
            <w:tcW w:w="2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shd w:val="clear" w:color="auto" w:fill="D52B1E"/>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vMerge w:val="continue"/>
            <w:shd w:val="clear" w:color="auto" w:fill="00A1DE"/>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2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vMerge w:val="restart"/>
            <w:shd w:val="clear" w:color="auto" w:fill="D52B1E"/>
          </w:tcPr>
          <w:p>
            <w:pPr>
              <w:ind w:left="280"/>
              <w:spacing w:after="0" w:line="167" w:lineRule="exact"/>
              <w:rPr>
                <w:sz w:val="20"/>
                <w:szCs w:val="20"/>
                <w:color w:val="auto"/>
              </w:rPr>
            </w:pPr>
            <w:r>
              <w:rPr>
                <w:rFonts w:ascii="Arial" w:cs="Arial" w:eastAsia="Arial" w:hAnsi="Arial"/>
                <w:sz w:val="16"/>
                <w:szCs w:val="16"/>
                <w:color w:val="FFFFFF"/>
              </w:rPr>
              <w:t>Candidate</w:t>
            </w: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vMerge w:val="restart"/>
            <w:shd w:val="clear" w:color="auto" w:fill="00A1DE"/>
          </w:tcPr>
          <w:p>
            <w:pPr>
              <w:jc w:val="center"/>
              <w:spacing w:after="0" w:line="167" w:lineRule="exact"/>
              <w:rPr>
                <w:sz w:val="20"/>
                <w:szCs w:val="20"/>
                <w:color w:val="auto"/>
              </w:rPr>
            </w:pPr>
            <w:r>
              <w:rPr>
                <w:rFonts w:ascii="Arial" w:cs="Arial" w:eastAsia="Arial" w:hAnsi="Arial"/>
                <w:sz w:val="16"/>
                <w:szCs w:val="16"/>
                <w:color w:val="FFFFFF"/>
                <w:w w:val="96"/>
              </w:rPr>
              <w:t>Selected</w:t>
            </w:r>
          </w:p>
        </w:tc>
        <w:tc>
          <w:tcPr>
            <w:tcW w:w="0" w:type="dxa"/>
            <w:vAlign w:val="bottom"/>
          </w:tcPr>
          <w:p>
            <w:pPr>
              <w:spacing w:after="0" w:line="20" w:lineRule="exact"/>
              <w:rPr>
                <w:sz w:val="1"/>
                <w:szCs w:val="1"/>
                <w:color w:val="auto"/>
              </w:rPr>
            </w:pPr>
          </w:p>
        </w:tc>
      </w:tr>
      <w:tr>
        <w:trPr>
          <w:trHeight w:val="128"/>
        </w:trPr>
        <w:tc>
          <w:tcPr>
            <w:tcW w:w="2100" w:type="dxa"/>
            <w:vAlign w:val="bottom"/>
            <w:vMerge w:val="restart"/>
            <w:shd w:val="clear" w:color="auto" w:fill="D52B1E"/>
          </w:tcPr>
          <w:p>
            <w:pPr>
              <w:spacing w:after="0"/>
              <w:rPr>
                <w:sz w:val="20"/>
                <w:szCs w:val="20"/>
                <w:color w:val="auto"/>
              </w:rPr>
            </w:pPr>
            <w:r>
              <w:rPr>
                <w:rFonts w:ascii="Arial" w:cs="Arial" w:eastAsia="Arial" w:hAnsi="Arial"/>
                <w:sz w:val="16"/>
                <w:szCs w:val="16"/>
                <w:color w:val="FFFFFF"/>
              </w:rPr>
              <w:t>Shareholders</w:t>
            </w:r>
          </w:p>
        </w:tc>
        <w:tc>
          <w:tcPr>
            <w:tcW w:w="280" w:type="dxa"/>
            <w:vAlign w:val="bottom"/>
          </w:tcPr>
          <w:p>
            <w:pPr>
              <w:spacing w:after="0"/>
              <w:rPr>
                <w:sz w:val="11"/>
                <w:szCs w:val="11"/>
                <w:color w:val="auto"/>
              </w:rPr>
            </w:pPr>
          </w:p>
        </w:tc>
        <w:tc>
          <w:tcPr>
            <w:tcW w:w="1280" w:type="dxa"/>
            <w:vAlign w:val="bottom"/>
            <w:vMerge w:val="continue"/>
            <w:shd w:val="clear" w:color="auto" w:fill="D52B1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continue"/>
            <w:shd w:val="clear" w:color="auto" w:fill="00A1D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100" w:type="dxa"/>
            <w:vAlign w:val="bottom"/>
            <w:vMerge w:val="continue"/>
            <w:shd w:val="clear" w:color="auto" w:fill="D52B1E"/>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vMerge w:val="restart"/>
            <w:shd w:val="clear" w:color="auto" w:fill="D52B1E"/>
          </w:tcPr>
          <w:p>
            <w:pPr>
              <w:ind w:left="500"/>
              <w:spacing w:after="0"/>
              <w:rPr>
                <w:sz w:val="20"/>
                <w:szCs w:val="20"/>
                <w:color w:val="auto"/>
              </w:rPr>
            </w:pPr>
            <w:r>
              <w:rPr>
                <w:rFonts w:ascii="Arial" w:cs="Arial" w:eastAsia="Arial" w:hAnsi="Arial"/>
                <w:sz w:val="16"/>
                <w:szCs w:val="16"/>
                <w:color w:val="FFFFFF"/>
              </w:rPr>
              <w:t>Pool</w:t>
            </w: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vMerge w:val="restart"/>
            <w:shd w:val="clear" w:color="auto" w:fill="00A1DE"/>
          </w:tcPr>
          <w:p>
            <w:pPr>
              <w:jc w:val="center"/>
              <w:spacing w:after="0"/>
              <w:rPr>
                <w:sz w:val="20"/>
                <w:szCs w:val="20"/>
                <w:color w:val="auto"/>
              </w:rPr>
            </w:pPr>
            <w:r>
              <w:rPr>
                <w:rFonts w:ascii="Arial" w:cs="Arial" w:eastAsia="Arial" w:hAnsi="Arial"/>
                <w:sz w:val="16"/>
                <w:szCs w:val="16"/>
                <w:color w:val="FFFFFF"/>
                <w:w w:val="96"/>
              </w:rPr>
              <w:t>Candidates for</w:t>
            </w:r>
          </w:p>
        </w:tc>
        <w:tc>
          <w:tcPr>
            <w:tcW w:w="0" w:type="dxa"/>
            <w:vAlign w:val="bottom"/>
          </w:tcPr>
          <w:p>
            <w:pPr>
              <w:spacing w:after="0"/>
              <w:rPr>
                <w:sz w:val="1"/>
                <w:szCs w:val="1"/>
                <w:color w:val="auto"/>
              </w:rPr>
            </w:pPr>
          </w:p>
        </w:tc>
      </w:tr>
      <w:tr>
        <w:trPr>
          <w:trHeight w:val="144"/>
        </w:trPr>
        <w:tc>
          <w:tcPr>
            <w:tcW w:w="2100" w:type="dxa"/>
            <w:vAlign w:val="bottom"/>
            <w:tcBorders>
              <w:bottom w:val="single" w:sz="8" w:color="D52B1E"/>
            </w:tcBorders>
            <w:vMerge w:val="continue"/>
            <w:shd w:val="clear" w:color="auto" w:fill="D52B1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bottom w:val="single" w:sz="8" w:color="D52B1E"/>
            </w:tcBorders>
            <w:vMerge w:val="continue"/>
            <w:shd w:val="clear" w:color="auto" w:fill="D52B1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6D6D6D"/>
            </w:tcBorders>
            <w:shd w:val="clear" w:color="auto" w:fill="6D6D6D"/>
          </w:tcPr>
          <w:p>
            <w:pPr>
              <w:ind w:left="160"/>
              <w:spacing w:after="0" w:line="140" w:lineRule="exact"/>
              <w:rPr>
                <w:sz w:val="20"/>
                <w:szCs w:val="20"/>
                <w:color w:val="auto"/>
              </w:rPr>
            </w:pPr>
            <w:r>
              <w:rPr>
                <w:rFonts w:ascii="Arial" w:cs="Arial" w:eastAsia="Arial" w:hAnsi="Arial"/>
                <w:sz w:val="14"/>
                <w:szCs w:val="14"/>
                <w:color w:val="FFFFFF"/>
              </w:rPr>
              <w:t>•</w:t>
            </w:r>
          </w:p>
        </w:tc>
        <w:tc>
          <w:tcPr>
            <w:tcW w:w="1880" w:type="dxa"/>
            <w:vAlign w:val="bottom"/>
            <w:tcBorders>
              <w:bottom w:val="single" w:sz="8" w:color="6D6D6D"/>
            </w:tcBorders>
            <w:shd w:val="clear" w:color="auto" w:fill="6D6D6D"/>
          </w:tcPr>
          <w:p>
            <w:pPr>
              <w:ind w:left="40"/>
              <w:spacing w:after="0" w:line="140" w:lineRule="exact"/>
              <w:rPr>
                <w:sz w:val="20"/>
                <w:szCs w:val="20"/>
                <w:color w:val="auto"/>
              </w:rPr>
            </w:pPr>
            <w:r>
              <w:rPr>
                <w:rFonts w:ascii="Arial" w:cs="Arial" w:eastAsia="Arial" w:hAnsi="Arial"/>
                <w:sz w:val="14"/>
                <w:szCs w:val="14"/>
                <w:color w:val="FFFFFF"/>
              </w:rPr>
              <w:t>Evaluate qualifications</w:t>
            </w:r>
          </w:p>
        </w:tc>
        <w:tc>
          <w:tcPr>
            <w:tcW w:w="280" w:type="dxa"/>
            <w:vAlign w:val="bottom"/>
          </w:tcPr>
          <w:p>
            <w:pPr>
              <w:spacing w:after="0"/>
              <w:rPr>
                <w:sz w:val="12"/>
                <w:szCs w:val="12"/>
                <w:color w:val="auto"/>
              </w:rPr>
            </w:pPr>
          </w:p>
        </w:tc>
        <w:tc>
          <w:tcPr>
            <w:tcW w:w="1320" w:type="dxa"/>
            <w:vAlign w:val="bottom"/>
            <w:tcBorders>
              <w:bottom w:val="single" w:sz="8" w:color="00A1DE"/>
            </w:tcBorders>
            <w:vMerge w:val="continue"/>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D52B1E"/>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D52B1E"/>
            </w:tcBorders>
            <w:shd w:val="clear" w:color="auto" w:fill="D52B1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6D6D6D"/>
            </w:tcBorders>
            <w:shd w:val="clear" w:color="auto" w:fill="6D6D6D"/>
          </w:tcPr>
          <w:p>
            <w:pPr>
              <w:spacing w:after="0"/>
              <w:rPr>
                <w:sz w:val="8"/>
                <w:szCs w:val="8"/>
                <w:color w:val="auto"/>
              </w:rPr>
            </w:pPr>
          </w:p>
        </w:tc>
        <w:tc>
          <w:tcPr>
            <w:tcW w:w="1880" w:type="dxa"/>
            <w:vAlign w:val="bottom"/>
            <w:tcBorders>
              <w:bottom w:val="single" w:sz="8" w:color="6D6D6D"/>
            </w:tcBorders>
            <w:shd w:val="clear" w:color="auto" w:fill="6D6D6D"/>
          </w:tcPr>
          <w:p>
            <w:pPr>
              <w:ind w:left="60"/>
              <w:spacing w:after="0" w:line="97" w:lineRule="exact"/>
              <w:rPr>
                <w:sz w:val="20"/>
                <w:szCs w:val="20"/>
                <w:color w:val="auto"/>
              </w:rPr>
            </w:pPr>
            <w:r>
              <w:rPr>
                <w:rFonts w:ascii="Arial" w:cs="Arial" w:eastAsia="Arial" w:hAnsi="Arial"/>
                <w:sz w:val="11"/>
                <w:szCs w:val="11"/>
                <w:color w:val="FFFFFF"/>
              </w:rPr>
              <w:t>– Diverse backgrounds and</w:t>
            </w:r>
          </w:p>
        </w:tc>
        <w:tc>
          <w:tcPr>
            <w:tcW w:w="280" w:type="dxa"/>
            <w:vAlign w:val="bottom"/>
          </w:tcPr>
          <w:p>
            <w:pPr>
              <w:spacing w:after="0"/>
              <w:rPr>
                <w:sz w:val="8"/>
                <w:szCs w:val="8"/>
                <w:color w:val="auto"/>
              </w:rPr>
            </w:pPr>
          </w:p>
        </w:tc>
        <w:tc>
          <w:tcPr>
            <w:tcW w:w="1320" w:type="dxa"/>
            <w:vAlign w:val="bottom"/>
            <w:tcBorders>
              <w:bottom w:val="single" w:sz="8" w:color="00A1DE"/>
            </w:tcBorders>
            <w:shd w:val="clear" w:color="auto" w:fill="00A1DE"/>
          </w:tcPr>
          <w:p>
            <w:pPr>
              <w:jc w:val="center"/>
              <w:spacing w:after="0" w:line="97" w:lineRule="exact"/>
              <w:rPr>
                <w:sz w:val="20"/>
                <w:szCs w:val="20"/>
                <w:color w:val="auto"/>
              </w:rPr>
            </w:pPr>
            <w:r>
              <w:rPr>
                <w:rFonts w:ascii="Arial" w:cs="Arial" w:eastAsia="Arial" w:hAnsi="Arial"/>
                <w:sz w:val="11"/>
                <w:szCs w:val="11"/>
                <w:color w:val="FFFFFF"/>
              </w:rPr>
              <w:t>Election to the</w:t>
            </w:r>
          </w:p>
        </w:tc>
        <w:tc>
          <w:tcPr>
            <w:tcW w:w="0" w:type="dxa"/>
            <w:vAlign w:val="bottom"/>
          </w:tcPr>
          <w:p>
            <w:pPr>
              <w:spacing w:after="0"/>
              <w:rPr>
                <w:sz w:val="1"/>
                <w:szCs w:val="1"/>
                <w:color w:val="auto"/>
              </w:rPr>
            </w:pPr>
          </w:p>
        </w:tc>
      </w:tr>
      <w:tr>
        <w:trPr>
          <w:trHeight w:val="140"/>
        </w:trPr>
        <w:tc>
          <w:tcPr>
            <w:tcW w:w="2100" w:type="dxa"/>
            <w:vAlign w:val="bottom"/>
            <w:vMerge w:val="restart"/>
            <w:shd w:val="clear" w:color="auto" w:fill="D52B1E"/>
          </w:tcPr>
          <w:p>
            <w:pPr>
              <w:spacing w:after="0"/>
              <w:rPr>
                <w:sz w:val="20"/>
                <w:szCs w:val="20"/>
                <w:color w:val="auto"/>
              </w:rPr>
            </w:pPr>
            <w:r>
              <w:rPr>
                <w:rFonts w:ascii="Arial" w:cs="Arial" w:eastAsia="Arial" w:hAnsi="Arial"/>
                <w:sz w:val="16"/>
                <w:szCs w:val="16"/>
                <w:color w:val="FFFFFF"/>
              </w:rPr>
              <w:t>Executive Search Firms</w:t>
            </w:r>
          </w:p>
        </w:tc>
        <w:tc>
          <w:tcPr>
            <w:tcW w:w="28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shd w:val="clear" w:color="auto" w:fill="6D6D6D"/>
          </w:tcPr>
          <w:p>
            <w:pPr>
              <w:spacing w:after="0"/>
              <w:rPr>
                <w:sz w:val="12"/>
                <w:szCs w:val="12"/>
                <w:color w:val="auto"/>
              </w:rPr>
            </w:pPr>
          </w:p>
        </w:tc>
        <w:tc>
          <w:tcPr>
            <w:tcW w:w="1880" w:type="dxa"/>
            <w:vAlign w:val="bottom"/>
            <w:shd w:val="clear" w:color="auto" w:fill="6D6D6D"/>
          </w:tcPr>
          <w:p>
            <w:pPr>
              <w:ind w:left="200"/>
              <w:spacing w:after="0" w:line="140" w:lineRule="exact"/>
              <w:rPr>
                <w:sz w:val="20"/>
                <w:szCs w:val="20"/>
                <w:color w:val="auto"/>
              </w:rPr>
            </w:pPr>
            <w:r>
              <w:rPr>
                <w:rFonts w:ascii="Arial" w:cs="Arial" w:eastAsia="Arial" w:hAnsi="Arial"/>
                <w:sz w:val="14"/>
                <w:szCs w:val="14"/>
                <w:color w:val="FFFFFF"/>
              </w:rPr>
              <w:t>experiences</w:t>
            </w:r>
          </w:p>
        </w:tc>
        <w:tc>
          <w:tcPr>
            <w:tcW w:w="280" w:type="dxa"/>
            <w:vAlign w:val="bottom"/>
          </w:tcPr>
          <w:p>
            <w:pPr>
              <w:spacing w:after="0"/>
              <w:rPr>
                <w:sz w:val="12"/>
                <w:szCs w:val="12"/>
                <w:color w:val="auto"/>
              </w:rPr>
            </w:pPr>
          </w:p>
        </w:tc>
        <w:tc>
          <w:tcPr>
            <w:tcW w:w="1320" w:type="dxa"/>
            <w:vAlign w:val="bottom"/>
            <w:shd w:val="clear" w:color="auto" w:fill="00A1DE"/>
          </w:tcPr>
          <w:p>
            <w:pPr>
              <w:jc w:val="center"/>
              <w:spacing w:after="0" w:line="140" w:lineRule="exact"/>
              <w:rPr>
                <w:sz w:val="20"/>
                <w:szCs w:val="20"/>
                <w:color w:val="auto"/>
              </w:rPr>
            </w:pPr>
            <w:r>
              <w:rPr>
                <w:rFonts w:ascii="Arial" w:cs="Arial" w:eastAsia="Arial" w:hAnsi="Arial"/>
                <w:sz w:val="16"/>
                <w:szCs w:val="16"/>
                <w:color w:val="FFFFFF"/>
                <w:w w:val="98"/>
              </w:rPr>
              <w:t>Board</w:t>
            </w:r>
          </w:p>
        </w:tc>
        <w:tc>
          <w:tcPr>
            <w:tcW w:w="0" w:type="dxa"/>
            <w:vAlign w:val="bottom"/>
          </w:tcPr>
          <w:p>
            <w:pPr>
              <w:spacing w:after="0"/>
              <w:rPr>
                <w:sz w:val="1"/>
                <w:szCs w:val="1"/>
                <w:color w:val="auto"/>
              </w:rPr>
            </w:pPr>
          </w:p>
        </w:tc>
      </w:tr>
      <w:tr>
        <w:trPr>
          <w:trHeight w:val="120"/>
        </w:trPr>
        <w:tc>
          <w:tcPr>
            <w:tcW w:w="2100" w:type="dxa"/>
            <w:vAlign w:val="bottom"/>
            <w:vMerge w:val="continue"/>
            <w:shd w:val="clear" w:color="auto" w:fill="D52B1E"/>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shd w:val="clear" w:color="auto" w:fill="D52B1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shd w:val="clear" w:color="auto" w:fill="6D6D6D"/>
          </w:tcPr>
          <w:p>
            <w:pPr>
              <w:spacing w:after="0"/>
              <w:rPr>
                <w:sz w:val="10"/>
                <w:szCs w:val="10"/>
                <w:color w:val="auto"/>
              </w:rPr>
            </w:pPr>
          </w:p>
        </w:tc>
        <w:tc>
          <w:tcPr>
            <w:tcW w:w="1880" w:type="dxa"/>
            <w:vAlign w:val="bottom"/>
            <w:vMerge w:val="restart"/>
            <w:shd w:val="clear" w:color="auto" w:fill="6D6D6D"/>
          </w:tcPr>
          <w:p>
            <w:pPr>
              <w:ind w:left="60"/>
              <w:spacing w:after="0" w:line="140" w:lineRule="exact"/>
              <w:rPr>
                <w:sz w:val="20"/>
                <w:szCs w:val="20"/>
                <w:color w:val="auto"/>
              </w:rPr>
            </w:pPr>
            <w:r>
              <w:rPr>
                <w:rFonts w:ascii="Arial" w:cs="Arial" w:eastAsia="Arial" w:hAnsi="Arial"/>
                <w:sz w:val="14"/>
                <w:szCs w:val="14"/>
                <w:color w:val="FFFFFF"/>
              </w:rPr>
              <w:t>– Review independence</w:t>
            </w:r>
          </w:p>
        </w:tc>
        <w:tc>
          <w:tcPr>
            <w:tcW w:w="280" w:type="dxa"/>
            <w:vAlign w:val="bottom"/>
          </w:tcPr>
          <w:p>
            <w:pPr>
              <w:spacing w:after="0"/>
              <w:rPr>
                <w:sz w:val="10"/>
                <w:szCs w:val="10"/>
                <w:color w:val="auto"/>
              </w:rPr>
            </w:pPr>
          </w:p>
        </w:tc>
        <w:tc>
          <w:tcPr>
            <w:tcW w:w="1320" w:type="dxa"/>
            <w:vAlign w:val="bottom"/>
            <w:shd w:val="clear" w:color="auto" w:fill="00A1D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D52B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D52B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6D6D6D"/>
          </w:tcPr>
          <w:p>
            <w:pPr>
              <w:spacing w:after="0" w:line="20" w:lineRule="exact"/>
              <w:rPr>
                <w:sz w:val="1"/>
                <w:szCs w:val="1"/>
                <w:color w:val="auto"/>
              </w:rPr>
            </w:pPr>
          </w:p>
        </w:tc>
        <w:tc>
          <w:tcPr>
            <w:tcW w:w="1880" w:type="dxa"/>
            <w:vAlign w:val="bottom"/>
            <w:vMerge w:val="continue"/>
            <w:shd w:val="clear" w:color="auto" w:fill="6D6D6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A1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00" w:type="dxa"/>
            <w:vAlign w:val="bottom"/>
            <w:shd w:val="clear" w:color="auto" w:fill="D52B1E"/>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shd w:val="clear" w:color="auto" w:fill="D52B1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shd w:val="clear" w:color="auto" w:fill="6D6D6D"/>
          </w:tcPr>
          <w:p>
            <w:pPr>
              <w:spacing w:after="0"/>
              <w:rPr>
                <w:sz w:val="6"/>
                <w:szCs w:val="6"/>
                <w:color w:val="auto"/>
              </w:rPr>
            </w:pPr>
          </w:p>
        </w:tc>
        <w:tc>
          <w:tcPr>
            <w:tcW w:w="1880" w:type="dxa"/>
            <w:vAlign w:val="bottom"/>
            <w:vMerge w:val="restart"/>
            <w:shd w:val="clear" w:color="auto" w:fill="6D6D6D"/>
          </w:tcPr>
          <w:p>
            <w:pPr>
              <w:ind w:left="60"/>
              <w:spacing w:after="0" w:line="140" w:lineRule="exact"/>
              <w:rPr>
                <w:sz w:val="20"/>
                <w:szCs w:val="20"/>
                <w:color w:val="auto"/>
              </w:rPr>
            </w:pPr>
            <w:r>
              <w:rPr>
                <w:rFonts w:ascii="Arial" w:cs="Arial" w:eastAsia="Arial" w:hAnsi="Arial"/>
                <w:sz w:val="14"/>
                <w:szCs w:val="14"/>
                <w:color w:val="FFFFFF"/>
              </w:rPr>
              <w:t>– Assess skills</w:t>
            </w:r>
          </w:p>
        </w:tc>
        <w:tc>
          <w:tcPr>
            <w:tcW w:w="280" w:type="dxa"/>
            <w:vAlign w:val="bottom"/>
          </w:tcPr>
          <w:p>
            <w:pPr>
              <w:spacing w:after="0"/>
              <w:rPr>
                <w:sz w:val="6"/>
                <w:szCs w:val="6"/>
                <w:color w:val="auto"/>
              </w:rPr>
            </w:pPr>
          </w:p>
        </w:tc>
        <w:tc>
          <w:tcPr>
            <w:tcW w:w="1320" w:type="dxa"/>
            <w:vAlign w:val="bottom"/>
            <w:shd w:val="clear" w:color="auto" w:fill="00A1D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shd w:val="clear" w:color="auto" w:fill="D52B1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shd w:val="clear" w:color="auto" w:fill="6D6D6D"/>
          </w:tcPr>
          <w:p>
            <w:pPr>
              <w:spacing w:after="0"/>
              <w:rPr>
                <w:sz w:val="6"/>
                <w:szCs w:val="6"/>
                <w:color w:val="auto"/>
              </w:rPr>
            </w:pPr>
          </w:p>
        </w:tc>
        <w:tc>
          <w:tcPr>
            <w:tcW w:w="1880" w:type="dxa"/>
            <w:vAlign w:val="bottom"/>
            <w:vMerge w:val="continue"/>
            <w:shd w:val="clear" w:color="auto" w:fill="6D6D6D"/>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shd w:val="clear" w:color="auto" w:fill="00A1D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shd w:val="clear" w:color="auto" w:fill="D52B1E"/>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vMerge w:val="restart"/>
            <w:shd w:val="clear" w:color="auto" w:fill="6D6D6D"/>
          </w:tcPr>
          <w:p>
            <w:pPr>
              <w:ind w:left="160"/>
              <w:spacing w:after="0"/>
              <w:rPr>
                <w:sz w:val="20"/>
                <w:szCs w:val="20"/>
                <w:color w:val="auto"/>
              </w:rPr>
            </w:pPr>
            <w:r>
              <w:rPr>
                <w:rFonts w:ascii="Arial" w:cs="Arial" w:eastAsia="Arial" w:hAnsi="Arial"/>
                <w:sz w:val="14"/>
                <w:szCs w:val="14"/>
                <w:color w:val="FFFFFF"/>
              </w:rPr>
              <w:t>•</w:t>
            </w:r>
          </w:p>
        </w:tc>
        <w:tc>
          <w:tcPr>
            <w:tcW w:w="1880" w:type="dxa"/>
            <w:vAlign w:val="bottom"/>
            <w:vMerge w:val="restart"/>
            <w:shd w:val="clear" w:color="auto" w:fill="6D6D6D"/>
          </w:tcPr>
          <w:p>
            <w:pPr>
              <w:ind w:left="40"/>
              <w:spacing w:after="0"/>
              <w:rPr>
                <w:sz w:val="20"/>
                <w:szCs w:val="20"/>
                <w:color w:val="auto"/>
              </w:rPr>
            </w:pPr>
            <w:r>
              <w:rPr>
                <w:rFonts w:ascii="Arial" w:cs="Arial" w:eastAsia="Arial" w:hAnsi="Arial"/>
                <w:sz w:val="14"/>
                <w:szCs w:val="14"/>
                <w:color w:val="FFFFFF"/>
              </w:rPr>
              <w:t>Meet with directors</w:t>
            </w:r>
          </w:p>
        </w:tc>
        <w:tc>
          <w:tcPr>
            <w:tcW w:w="280" w:type="dxa"/>
            <w:vAlign w:val="bottom"/>
          </w:tcPr>
          <w:p>
            <w:pPr>
              <w:spacing w:after="0"/>
              <w:rPr>
                <w:sz w:val="2"/>
                <w:szCs w:val="2"/>
                <w:color w:val="auto"/>
              </w:rPr>
            </w:pPr>
          </w:p>
        </w:tc>
        <w:tc>
          <w:tcPr>
            <w:tcW w:w="132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vMerge w:val="restart"/>
            <w:shd w:val="clear" w:color="auto" w:fill="D52B1E"/>
          </w:tcPr>
          <w:p>
            <w:pPr>
              <w:spacing w:after="0"/>
              <w:rPr>
                <w:sz w:val="20"/>
                <w:szCs w:val="20"/>
                <w:color w:val="auto"/>
              </w:rPr>
            </w:pPr>
            <w:r>
              <w:rPr>
                <w:rFonts w:ascii="Arial" w:cs="Arial" w:eastAsia="Arial" w:hAnsi="Arial"/>
                <w:sz w:val="16"/>
                <w:szCs w:val="16"/>
                <w:color w:val="FFFFFF"/>
              </w:rPr>
              <w:t>Management</w:t>
            </w:r>
          </w:p>
        </w:tc>
        <w:tc>
          <w:tcPr>
            <w:tcW w:w="280" w:type="dxa"/>
            <w:vAlign w:val="bottom"/>
          </w:tcPr>
          <w:p>
            <w:pPr>
              <w:spacing w:after="0"/>
              <w:rPr>
                <w:sz w:val="14"/>
                <w:szCs w:val="14"/>
                <w:color w:val="auto"/>
              </w:rPr>
            </w:pPr>
          </w:p>
        </w:tc>
        <w:tc>
          <w:tcPr>
            <w:tcW w:w="1280" w:type="dxa"/>
            <w:vAlign w:val="bottom"/>
            <w:shd w:val="clear" w:color="auto" w:fill="D52B1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shd w:val="clear" w:color="auto" w:fill="6D6D6D"/>
          </w:tcPr>
          <w:p>
            <w:pPr>
              <w:spacing w:after="0"/>
              <w:rPr>
                <w:sz w:val="14"/>
                <w:szCs w:val="14"/>
                <w:color w:val="auto"/>
              </w:rPr>
            </w:pPr>
          </w:p>
        </w:tc>
        <w:tc>
          <w:tcPr>
            <w:tcW w:w="1880" w:type="dxa"/>
            <w:vAlign w:val="bottom"/>
            <w:vMerge w:val="continue"/>
            <w:shd w:val="clear" w:color="auto" w:fill="6D6D6D"/>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shd w:val="clear" w:color="auto" w:fill="00A1D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vMerge w:val="continue"/>
            <w:shd w:val="clear" w:color="auto" w:fill="D52B1E"/>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shd w:val="clear" w:color="auto" w:fill="D52B1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shd w:val="clear" w:color="auto" w:fill="6D6D6D"/>
          </w:tcPr>
          <w:p>
            <w:pPr>
              <w:spacing w:after="0"/>
              <w:rPr>
                <w:sz w:val="10"/>
                <w:szCs w:val="10"/>
                <w:color w:val="auto"/>
              </w:rPr>
            </w:pPr>
          </w:p>
        </w:tc>
        <w:tc>
          <w:tcPr>
            <w:tcW w:w="1880" w:type="dxa"/>
            <w:vAlign w:val="bottom"/>
            <w:shd w:val="clear" w:color="auto" w:fill="6D6D6D"/>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shd w:val="clear" w:color="auto" w:fill="00A1D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00" w:type="dxa"/>
            <w:vAlign w:val="bottom"/>
            <w:shd w:val="clear" w:color="auto" w:fill="D52B1E"/>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shd w:val="clear" w:color="auto" w:fill="D52B1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shd w:val="clear" w:color="auto" w:fill="6D6D6D"/>
          </w:tcPr>
          <w:p>
            <w:pPr>
              <w:spacing w:after="0"/>
              <w:rPr>
                <w:sz w:val="7"/>
                <w:szCs w:val="7"/>
                <w:color w:val="auto"/>
              </w:rPr>
            </w:pPr>
          </w:p>
        </w:tc>
        <w:tc>
          <w:tcPr>
            <w:tcW w:w="1880" w:type="dxa"/>
            <w:vAlign w:val="bottom"/>
            <w:shd w:val="clear" w:color="auto" w:fill="6D6D6D"/>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shd w:val="clear" w:color="auto" w:fill="00A1D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-548005</wp:posOffset>
            </wp:positionV>
            <wp:extent cx="489585" cy="4895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9585" cy="4895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-629920</wp:posOffset>
            </wp:positionV>
            <wp:extent cx="74295" cy="140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-615315</wp:posOffset>
            </wp:positionV>
            <wp:extent cx="74295" cy="1187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295" cy="11874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-422275</wp:posOffset>
            </wp:positionV>
            <wp:extent cx="570865" cy="237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0865" cy="23749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-845185</wp:posOffset>
            </wp:positionV>
            <wp:extent cx="118745" cy="742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8745" cy="7429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-800735</wp:posOffset>
            </wp:positionV>
            <wp:extent cx="52070" cy="148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070" cy="148590"/>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-800735</wp:posOffset>
            </wp:positionV>
            <wp:extent cx="74295" cy="1409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-518795</wp:posOffset>
            </wp:positionV>
            <wp:extent cx="52070" cy="148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070" cy="148590"/>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-511175</wp:posOffset>
            </wp:positionV>
            <wp:extent cx="74295" cy="140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-221615</wp:posOffset>
            </wp:positionV>
            <wp:extent cx="52070" cy="148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070" cy="148590"/>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-214630</wp:posOffset>
            </wp:positionV>
            <wp:extent cx="74295" cy="140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295" cy="140970"/>
                    </a:xfrm>
                    <a:prstGeom prst="rect">
                      <a:avLst/>
                    </a:prstGeom>
                    <a:noFill/>
                  </pic:spPr>
                </pic:pic>
              </a:graphicData>
            </a:graphic>
          </wp:anchor>
        </w:drawing>
      </w:r>
    </w:p>
    <w:p>
      <w:pPr>
        <w:spacing w:after="0" w:line="185"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b w:val="1"/>
          <w:bCs w:val="1"/>
          <w:color w:val="auto"/>
        </w:rPr>
        <w:t xml:space="preserve">Candidate Identification: </w:t>
      </w:r>
      <w:r>
        <w:rPr>
          <w:rFonts w:ascii="Arial" w:cs="Arial" w:eastAsia="Arial" w:hAnsi="Arial"/>
          <w:sz w:val="16"/>
          <w:szCs w:val="16"/>
          <w:color w:val="auto"/>
        </w:rPr>
        <w:t>Director candidates can be identified from several sources, including executive search firms retained by the committee, incumbent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management, and shareholders.</w:t>
      </w:r>
    </w:p>
    <w:p>
      <w:pPr>
        <w:spacing w:after="0" w:line="51" w:lineRule="exact"/>
        <w:rPr>
          <w:sz w:val="20"/>
          <w:szCs w:val="20"/>
          <w:color w:val="auto"/>
        </w:rPr>
      </w:pPr>
    </w:p>
    <w:p>
      <w:pPr>
        <w:ind w:right="700"/>
        <w:spacing w:after="0" w:line="271" w:lineRule="auto"/>
        <w:rPr>
          <w:sz w:val="20"/>
          <w:szCs w:val="20"/>
          <w:color w:val="auto"/>
        </w:rPr>
      </w:pPr>
      <w:r>
        <w:rPr>
          <w:rFonts w:ascii="Arial" w:cs="Arial" w:eastAsia="Arial" w:hAnsi="Arial"/>
          <w:sz w:val="16"/>
          <w:szCs w:val="16"/>
          <w:color w:val="auto"/>
        </w:rPr>
        <w:t>The Directors and Corporate Governance Committee employs the same process to evaluate all candidates, including those submitted by shareholders, in accordance with our bylaws and corporate governance guidelines.</w:t>
      </w:r>
    </w:p>
    <w:p>
      <w:pPr>
        <w:spacing w:after="0" w:line="50" w:lineRule="exact"/>
        <w:rPr>
          <w:sz w:val="20"/>
          <w:szCs w:val="20"/>
          <w:color w:val="auto"/>
        </w:rPr>
      </w:pPr>
    </w:p>
    <w:p>
      <w:pPr>
        <w:ind w:left="560" w:right="120" w:hanging="286"/>
        <w:spacing w:after="0" w:line="253" w:lineRule="auto"/>
        <w:tabs>
          <w:tab w:leader="none" w:pos="55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Evaluate director qualifications</w:t>
      </w:r>
      <w:r>
        <w:rPr>
          <w:rFonts w:ascii="Arial" w:cs="Arial" w:eastAsia="Arial" w:hAnsi="Arial"/>
          <w:sz w:val="16"/>
          <w:szCs w:val="16"/>
          <w:color w:val="auto"/>
        </w:rPr>
        <w:t>. The committee initially evaluates a candidate based on publicly available information and any additional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supplied by the party recommending the candidate. If the candidate appears to satisfy the selection criteria and the committee’s initial evaluation is favorable, the committee, assisted by management or a search firm, gathers additional data on the candidate’s qualifications, availability, probable level of interest, and any potential conflicts of interest.</w:t>
      </w:r>
    </w:p>
    <w:p>
      <w:pPr>
        <w:spacing w:after="0" w:line="113" w:lineRule="exact"/>
        <w:rPr>
          <w:rFonts w:ascii="Arial" w:cs="Arial" w:eastAsia="Arial" w:hAnsi="Arial"/>
          <w:sz w:val="16"/>
          <w:szCs w:val="16"/>
          <w:color w:val="auto"/>
        </w:rPr>
      </w:pPr>
    </w:p>
    <w:p>
      <w:pPr>
        <w:ind w:left="560"/>
        <w:spacing w:after="0" w:line="252" w:lineRule="auto"/>
        <w:rPr>
          <w:rFonts w:ascii="Arial" w:cs="Arial" w:eastAsia="Arial" w:hAnsi="Arial"/>
          <w:sz w:val="16"/>
          <w:szCs w:val="16"/>
          <w:color w:val="auto"/>
        </w:rPr>
      </w:pPr>
      <w:r>
        <w:rPr>
          <w:rFonts w:ascii="Arial" w:cs="Arial" w:eastAsia="Arial" w:hAnsi="Arial"/>
          <w:sz w:val="16"/>
          <w:szCs w:val="16"/>
          <w:i w:val="1"/>
          <w:iCs w:val="1"/>
          <w:color w:val="auto"/>
        </w:rPr>
        <w:t xml:space="preserve">Incumbent Directors </w:t>
      </w:r>
      <w:r>
        <w:rPr>
          <w:rFonts w:ascii="Arial" w:cs="Arial" w:eastAsia="Arial" w:hAnsi="Arial"/>
          <w:sz w:val="16"/>
          <w:szCs w:val="16"/>
          <w:color w:val="auto"/>
        </w:rPr>
        <w:t>- For incumbent directors being considered for re-nomination, the Directors and Corporate Governance Committee has the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of (i) feedback from the annual board and committee evaluations and related individual discussions between each director and each of the chair and the lead independent director; (ii) knowledge of attendance and participation at, and preparation for, prior board and committee meetings; and (iii) shareholder feedback, if such nominee has been elected at a prior annual meeting.</w:t>
      </w:r>
    </w:p>
    <w:p>
      <w:pPr>
        <w:spacing w:after="0" w:line="113" w:lineRule="exact"/>
        <w:rPr>
          <w:rFonts w:ascii="Arial" w:cs="Arial" w:eastAsia="Arial" w:hAnsi="Arial"/>
          <w:sz w:val="16"/>
          <w:szCs w:val="16"/>
          <w:color w:val="auto"/>
        </w:rPr>
      </w:pPr>
    </w:p>
    <w:p>
      <w:pPr>
        <w:ind w:left="560" w:right="160" w:hanging="286"/>
        <w:spacing w:after="0" w:line="258" w:lineRule="auto"/>
        <w:tabs>
          <w:tab w:leader="none" w:pos="55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Meetings with Select Directors. </w:t>
      </w:r>
      <w:r>
        <w:rPr>
          <w:rFonts w:ascii="Arial" w:cs="Arial" w:eastAsia="Arial" w:hAnsi="Arial"/>
          <w:sz w:val="16"/>
          <w:szCs w:val="16"/>
          <w:color w:val="auto"/>
        </w:rPr>
        <w:t>If the committee’s subsequent evaluation continues to be favorable, the candidate is contacted by the chair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and one or more of the independent directors, including the lead independent director, for direct discussions to determine the mutual level of interest in pursuing the candidacy.</w:t>
      </w:r>
    </w:p>
    <w:p>
      <w:pPr>
        <w:spacing w:after="0" w:line="107" w:lineRule="exact"/>
        <w:rPr>
          <w:rFonts w:ascii="Arial" w:cs="Arial" w:eastAsia="Arial" w:hAnsi="Arial"/>
          <w:sz w:val="16"/>
          <w:szCs w:val="16"/>
          <w:color w:val="auto"/>
        </w:rPr>
      </w:pPr>
    </w:p>
    <w:p>
      <w:pPr>
        <w:ind w:left="560" w:right="160" w:hanging="286"/>
        <w:spacing w:after="0" w:line="273" w:lineRule="auto"/>
        <w:tabs>
          <w:tab w:leader="none" w:pos="55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Recommendation for Election. </w:t>
      </w:r>
      <w:r>
        <w:rPr>
          <w:rFonts w:ascii="Arial" w:cs="Arial" w:eastAsia="Arial" w:hAnsi="Arial"/>
          <w:sz w:val="16"/>
          <w:szCs w:val="16"/>
          <w:color w:val="auto"/>
        </w:rPr>
        <w:t>If these discussions are favorable, the committee recommends that the board nominate the candidate for election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(or for the board to elect the candidate to fill a vacancy, as applicable).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ind w:left="320"/>
        <w:spacing w:after="0"/>
        <w:rPr>
          <w:sz w:val="20"/>
          <w:szCs w:val="20"/>
          <w:color w:val="auto"/>
        </w:rPr>
      </w:pPr>
      <w:r>
        <w:rPr>
          <w:rFonts w:ascii="Arial" w:cs="Arial" w:eastAsia="Arial" w:hAnsi="Arial"/>
          <w:sz w:val="17"/>
          <w:szCs w:val="17"/>
          <w:b w:val="1"/>
          <w:bCs w:val="1"/>
          <w:color w:val="D52B1E"/>
        </w:rPr>
        <w:t>Shareholder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-44450</wp:posOffset>
            </wp:positionV>
            <wp:extent cx="4992370" cy="6527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2370" cy="6527800"/>
                    </a:xfrm>
                    <a:prstGeom prst="rect">
                      <a:avLst/>
                    </a:prstGeom>
                    <a:noFill/>
                  </pic:spPr>
                </pic:pic>
              </a:graphicData>
            </a:graphic>
          </wp:anchor>
        </w:drawing>
      </w:r>
    </w:p>
    <w:p>
      <w:pPr>
        <w:spacing w:after="0" w:line="142" w:lineRule="exact"/>
        <w:rPr>
          <w:sz w:val="20"/>
          <w:szCs w:val="20"/>
          <w:color w:val="auto"/>
        </w:rPr>
      </w:pPr>
    </w:p>
    <w:p>
      <w:pPr>
        <w:ind w:right="2859"/>
        <w:spacing w:after="0" w:line="271" w:lineRule="auto"/>
        <w:rPr>
          <w:sz w:val="20"/>
          <w:szCs w:val="20"/>
          <w:color w:val="auto"/>
        </w:rPr>
      </w:pPr>
      <w:r>
        <w:rPr>
          <w:rFonts w:ascii="Arial" w:cs="Arial" w:eastAsia="Arial" w:hAnsi="Arial"/>
          <w:sz w:val="16"/>
          <w:szCs w:val="16"/>
          <w:b w:val="1"/>
          <w:bCs w:val="1"/>
          <w:color w:val="auto"/>
        </w:rPr>
        <w:t xml:space="preserve">Shareholder Recommendations of Director Candidates - </w:t>
      </w:r>
      <w:r>
        <w:rPr>
          <w:rFonts w:ascii="Arial" w:cs="Arial" w:eastAsia="Arial" w:hAnsi="Arial"/>
          <w:sz w:val="15"/>
          <w:szCs w:val="15"/>
          <w:color w:val="auto"/>
        </w:rPr>
        <w:t>A shareholder who wishes to</w:t>
      </w:r>
      <w:r>
        <w:rPr>
          <w:rFonts w:ascii="Arial" w:cs="Arial" w:eastAsia="Arial" w:hAnsi="Arial"/>
          <w:sz w:val="16"/>
          <w:szCs w:val="16"/>
          <w:b w:val="1"/>
          <w:bCs w:val="1"/>
          <w:color w:val="auto"/>
        </w:rPr>
        <w:t xml:space="preserve"> </w:t>
      </w:r>
      <w:r>
        <w:rPr>
          <w:rFonts w:ascii="Arial" w:cs="Arial" w:eastAsia="Arial" w:hAnsi="Arial"/>
          <w:sz w:val="15"/>
          <w:szCs w:val="15"/>
          <w:color w:val="auto"/>
        </w:rPr>
        <w:t>recommend a director candidate for evaluation should forward the candidate’s name and information about the candidate’s qualifications by delivery and email to:</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Chair of the Directors and Corporate Governance Committee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General Counsel and Secretary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Lilly Corporate Center</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Indianapolis, IN 46285</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Email: shareholderproposals@lilly.com</w:t>
      </w:r>
    </w:p>
    <w:p>
      <w:pPr>
        <w:spacing w:after="0" w:line="82" w:lineRule="exact"/>
        <w:rPr>
          <w:sz w:val="20"/>
          <w:szCs w:val="20"/>
          <w:color w:val="auto"/>
        </w:rPr>
      </w:pPr>
    </w:p>
    <w:p>
      <w:pPr>
        <w:jc w:val="both"/>
        <w:ind w:right="2659"/>
        <w:spacing w:after="0" w:line="257" w:lineRule="auto"/>
        <w:rPr>
          <w:sz w:val="20"/>
          <w:szCs w:val="20"/>
          <w:color w:val="auto"/>
        </w:rPr>
      </w:pPr>
      <w:r>
        <w:rPr>
          <w:rFonts w:ascii="Arial" w:cs="Arial" w:eastAsia="Arial" w:hAnsi="Arial"/>
          <w:sz w:val="16"/>
          <w:szCs w:val="16"/>
          <w:color w:val="auto"/>
        </w:rPr>
        <w:t>The candidate must meet the selection criteria described above under “</w:t>
      </w:r>
      <w:r>
        <w:rPr>
          <w:rFonts w:ascii="Arial" w:cs="Arial" w:eastAsia="Arial" w:hAnsi="Arial"/>
          <w:sz w:val="16"/>
          <w:szCs w:val="16"/>
          <w:u w:val="single" w:color="auto"/>
          <w:color w:val="0000FF"/>
        </w:rPr>
        <w:t>Governance—How We Build 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Effective Board—Director Qualifications</w:t>
      </w:r>
      <w:r>
        <w:rPr>
          <w:rFonts w:ascii="Arial" w:cs="Arial" w:eastAsia="Arial" w:hAnsi="Arial"/>
          <w:sz w:val="16"/>
          <w:szCs w:val="16"/>
          <w:color w:val="000000"/>
        </w:rPr>
        <w:t>” and must be willing and expressly interested in serving on the</w:t>
      </w:r>
      <w:r>
        <w:rPr>
          <w:rFonts w:ascii="Arial" w:cs="Arial" w:eastAsia="Arial" w:hAnsi="Arial"/>
          <w:sz w:val="16"/>
          <w:szCs w:val="16"/>
          <w:color w:val="0000FF"/>
        </w:rPr>
        <w:t xml:space="preserve"> </w:t>
      </w:r>
      <w:r>
        <w:rPr>
          <w:rFonts w:ascii="Arial" w:cs="Arial" w:eastAsia="Arial" w:hAnsi="Arial"/>
          <w:sz w:val="16"/>
          <w:szCs w:val="16"/>
          <w:color w:val="000000"/>
        </w:rPr>
        <w:t>board.</w:t>
      </w:r>
    </w:p>
    <w:p>
      <w:pPr>
        <w:spacing w:after="0" w:line="183" w:lineRule="exact"/>
        <w:rPr>
          <w:sz w:val="20"/>
          <w:szCs w:val="20"/>
          <w:color w:val="auto"/>
        </w:rPr>
      </w:pPr>
    </w:p>
    <w:p>
      <w:pPr>
        <w:ind w:right="2599"/>
        <w:spacing w:after="0" w:line="262" w:lineRule="auto"/>
        <w:rPr>
          <w:sz w:val="20"/>
          <w:szCs w:val="20"/>
          <w:color w:val="auto"/>
        </w:rPr>
      </w:pPr>
      <w:r>
        <w:rPr>
          <w:rFonts w:ascii="Arial" w:cs="Arial" w:eastAsia="Arial" w:hAnsi="Arial"/>
          <w:sz w:val="16"/>
          <w:szCs w:val="16"/>
          <w:b w:val="1"/>
          <w:bCs w:val="1"/>
          <w:color w:val="auto"/>
        </w:rPr>
        <w:t xml:space="preserve">Shareholder Nominations for Director Candidates for Inclusion in the Proxy Statement (“Proxy Access”) - </w:t>
      </w:r>
      <w:r>
        <w:rPr>
          <w:rFonts w:ascii="Arial" w:cs="Arial" w:eastAsia="Arial" w:hAnsi="Arial"/>
          <w:sz w:val="15"/>
          <w:szCs w:val="15"/>
          <w:color w:val="auto"/>
        </w:rPr>
        <w:t>If a shareholder or group of shareholders wishes to nominate one or more director</w:t>
      </w:r>
      <w:r>
        <w:rPr>
          <w:rFonts w:ascii="Arial" w:cs="Arial" w:eastAsia="Arial" w:hAnsi="Arial"/>
          <w:sz w:val="16"/>
          <w:szCs w:val="16"/>
          <w:b w:val="1"/>
          <w:bCs w:val="1"/>
          <w:color w:val="auto"/>
        </w:rPr>
        <w:t xml:space="preserve"> </w:t>
      </w:r>
      <w:r>
        <w:rPr>
          <w:rFonts w:ascii="Arial" w:cs="Arial" w:eastAsia="Arial" w:hAnsi="Arial"/>
          <w:sz w:val="15"/>
          <w:szCs w:val="15"/>
          <w:color w:val="auto"/>
        </w:rPr>
        <w:t>candidates to be included in the proxy statement for the 2024 annual meeting pursuant to the “proxy access” provisions of the company’s bylaws (section 1.10), such shareholder or group of shareholders must deliver to the company’s Secretary, and the company’s Secretary must receive, written notice no later than November 18, 2023, and no earlier than October 19, 2023. However, if the date of the 2024 annual meeting is changed by more than 30 days from May 1, 2024 (the date contemplated for the 2024 annual meeting as set forth in this proxy statement), a shareholder must give the company written notice no earlier than 150 days in advance of the date of the 2024 meeting and no later than the close of business on the later of 120 days in advance of the 2024 annual meeting or 10 days following the date we first publicly announce the date of 2024 annual meeting. Any such notice must also comply with the timing, disclosure, procedural, and other requirements as set forth in the bylaws.</w:t>
      </w:r>
    </w:p>
    <w:p>
      <w:pPr>
        <w:spacing w:after="0" w:line="191" w:lineRule="exact"/>
        <w:rPr>
          <w:sz w:val="20"/>
          <w:szCs w:val="20"/>
          <w:color w:val="auto"/>
        </w:rPr>
      </w:pPr>
    </w:p>
    <w:p>
      <w:pPr>
        <w:ind w:right="2539"/>
        <w:spacing w:after="0" w:line="261" w:lineRule="auto"/>
        <w:rPr>
          <w:sz w:val="20"/>
          <w:szCs w:val="20"/>
          <w:color w:val="auto"/>
        </w:rPr>
      </w:pPr>
      <w:r>
        <w:rPr>
          <w:rFonts w:ascii="Arial" w:cs="Arial" w:eastAsia="Arial" w:hAnsi="Arial"/>
          <w:sz w:val="16"/>
          <w:szCs w:val="16"/>
          <w:b w:val="1"/>
          <w:bCs w:val="1"/>
          <w:color w:val="auto"/>
        </w:rPr>
        <w:t xml:space="preserve">Other Shareholder Nominations for Director Candidates - </w:t>
      </w:r>
      <w:r>
        <w:rPr>
          <w:rFonts w:ascii="Arial" w:cs="Arial" w:eastAsia="Arial" w:hAnsi="Arial"/>
          <w:sz w:val="15"/>
          <w:szCs w:val="15"/>
          <w:color w:val="auto"/>
        </w:rPr>
        <w:t>In addition, under Section 1.9 of the</w:t>
      </w:r>
      <w:r>
        <w:rPr>
          <w:rFonts w:ascii="Arial" w:cs="Arial" w:eastAsia="Arial" w:hAnsi="Arial"/>
          <w:sz w:val="16"/>
          <w:szCs w:val="16"/>
          <w:b w:val="1"/>
          <w:bCs w:val="1"/>
          <w:color w:val="auto"/>
        </w:rPr>
        <w:t xml:space="preserve"> </w:t>
      </w:r>
      <w:r>
        <w:rPr>
          <w:rFonts w:ascii="Arial" w:cs="Arial" w:eastAsia="Arial" w:hAnsi="Arial"/>
          <w:sz w:val="15"/>
          <w:szCs w:val="15"/>
          <w:color w:val="auto"/>
        </w:rPr>
        <w:t xml:space="preserve">company’s bylaws, any shareholder of record wishing to directly nominate a director candidate at the 2024 annual meeting of shareholders (i.e., to propose a candidate for election who is not otherwise nominated by the board through the recommendation process described above and not pursuant to the “proxy access” provisions described above) must deliver to the company’s Secretary, and the company’s Secretary must receive, written notice no later than the close of business on November 18, 2023, and no earlier than the close of business on September 19, 2023. However, if the date of the 2024 annual meeting is changed by more than 30 days from May 1, 2024 (the date contemplated for the 2024 annual meeting as set forth in this proxy statement), a shareholder must give the company written notice no later than the close of business on the later of 120 days in advance of the 2024 annual meeting or 10 days following the date we first publicly announce the date of 2024 annual meeting. Any such notice must also comply with the timing, disclosure, procedural and other requirements as set forth in the bylaws. A copy of the bylaws is available online at </w:t>
      </w:r>
      <w:r>
        <w:rPr>
          <w:rFonts w:ascii="Arial" w:cs="Arial" w:eastAsia="Arial" w:hAnsi="Arial"/>
          <w:sz w:val="15"/>
          <w:szCs w:val="15"/>
          <w:color w:val="D52B1E"/>
        </w:rPr>
        <w:t>lilly.com/leadership/governance</w:t>
      </w:r>
      <w:r>
        <w:rPr>
          <w:rFonts w:ascii="Arial" w:cs="Arial" w:eastAsia="Arial" w:hAnsi="Arial"/>
          <w:sz w:val="15"/>
          <w:szCs w:val="15"/>
          <w:color w:val="auto"/>
        </w:rPr>
        <w:t>.</w:t>
      </w:r>
    </w:p>
    <w:p>
      <w:pPr>
        <w:spacing w:after="0" w:line="188" w:lineRule="exact"/>
        <w:rPr>
          <w:sz w:val="20"/>
          <w:szCs w:val="20"/>
          <w:color w:val="auto"/>
        </w:rPr>
      </w:pPr>
    </w:p>
    <w:p>
      <w:pPr>
        <w:ind w:right="2539"/>
        <w:spacing w:after="0" w:line="262" w:lineRule="auto"/>
        <w:rPr>
          <w:sz w:val="20"/>
          <w:szCs w:val="20"/>
          <w:color w:val="auto"/>
        </w:rPr>
      </w:pPr>
      <w:r>
        <w:rPr>
          <w:rFonts w:ascii="Arial" w:cs="Arial" w:eastAsia="Arial" w:hAnsi="Arial"/>
          <w:sz w:val="16"/>
          <w:szCs w:val="16"/>
          <w:b w:val="1"/>
          <w:bCs w:val="1"/>
          <w:color w:val="auto"/>
        </w:rPr>
        <w:t xml:space="preserve">Universal Proxy for Shareholder Nominations - </w:t>
      </w:r>
      <w:r>
        <w:rPr>
          <w:rFonts w:ascii="Arial" w:cs="Arial" w:eastAsia="Arial" w:hAnsi="Arial"/>
          <w:sz w:val="15"/>
          <w:szCs w:val="15"/>
          <w:color w:val="auto"/>
        </w:rPr>
        <w:t>In addition to satisfying the requirements under our</w:t>
      </w:r>
      <w:r>
        <w:rPr>
          <w:rFonts w:ascii="Arial" w:cs="Arial" w:eastAsia="Arial" w:hAnsi="Arial"/>
          <w:sz w:val="16"/>
          <w:szCs w:val="16"/>
          <w:b w:val="1"/>
          <w:bCs w:val="1"/>
          <w:color w:val="auto"/>
        </w:rPr>
        <w:t xml:space="preserve"> </w:t>
      </w:r>
      <w:r>
        <w:rPr>
          <w:rFonts w:ascii="Arial" w:cs="Arial" w:eastAsia="Arial" w:hAnsi="Arial"/>
          <w:sz w:val="15"/>
          <w:szCs w:val="15"/>
          <w:color w:val="auto"/>
        </w:rPr>
        <w:t>bylaws, if a shareholder intends to comply with the SEC’s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us at the address stated above for shareholder recommendations no later than 60 calendar days prior to the one-year anniversary date of the Annual Meeting (for the 2024 annual meeting of shareholders, no later than March 2, 2024). If the date of the 2024 annual meeting of shareholders is changed by more than 30 calendar days from such anniversary date, however, then the shareholder must provide notice by the later of 60 calendar days prior to the date of the 2024 annual meeting of shareholders and the 10th calendar day following the date on which public announcement of the date of the 2024 annual meeting of shareholders is first made by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123190</wp:posOffset>
            </wp:positionV>
            <wp:extent cx="7176135"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759"/>
          </w:cols>
          <w:pgMar w:left="700" w:top="833" w:right="1440" w:bottom="1440" w:gutter="0" w:footer="0" w:header="0"/>
        </w:sectPr>
      </w:pPr>
    </w:p>
    <w:bookmarkStart w:id="31" w:name="page32"/>
    <w:bookmarkEnd w:id="31"/>
    <w:p>
      <w:pPr>
        <w:spacing w:after="0"/>
        <w:rPr>
          <w:sz w:val="20"/>
          <w:szCs w:val="20"/>
          <w:color w:val="auto"/>
        </w:rPr>
      </w:pPr>
      <w:r>
        <w:rPr>
          <w:rFonts w:ascii="Arial" w:cs="Arial" w:eastAsia="Arial" w:hAnsi="Arial"/>
          <w:sz w:val="28"/>
          <w:szCs w:val="28"/>
          <w:b w:val="1"/>
          <w:bCs w:val="1"/>
          <w:color w:val="D52B1E"/>
        </w:rPr>
        <w:t>Item 1. Election of Directors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93980</wp:posOffset>
            </wp:positionV>
            <wp:extent cx="4183380" cy="1778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183380" cy="177800"/>
                    </a:xfrm>
                    <a:prstGeom prst="rect">
                      <a:avLst/>
                    </a:prstGeom>
                    <a:noFill/>
                  </pic:spPr>
                </pic:pic>
              </a:graphicData>
            </a:graphic>
          </wp:anchor>
        </w:drawing>
      </w:r>
    </w:p>
    <w:p>
      <w:pPr>
        <w:spacing w:after="0" w:line="151"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2023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24765</wp:posOffset>
            </wp:positionV>
            <wp:extent cx="4183380" cy="704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18338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362"/>
        </w:trPr>
        <w:tc>
          <w:tcPr>
            <w:tcW w:w="170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William G. Kaelin,</w:t>
            </w:r>
          </w:p>
        </w:tc>
        <w:tc>
          <w:tcPr>
            <w:tcW w:w="148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David A. Ricks</w:t>
            </w:r>
          </w:p>
        </w:tc>
        <w:tc>
          <w:tcPr>
            <w:tcW w:w="186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Marschall S. Runge,</w:t>
            </w:r>
          </w:p>
        </w:tc>
        <w:tc>
          <w:tcPr>
            <w:tcW w:w="1560" w:type="dxa"/>
            <w:vAlign w:val="bottom"/>
            <w:tcBorders>
              <w:top w:val="single" w:sz="8" w:color="6D6D6D"/>
            </w:tcBorders>
            <w:shd w:val="clear" w:color="auto" w:fill="F2F2F2"/>
          </w:tcPr>
          <w:p>
            <w:pPr>
              <w:jc w:val="center"/>
              <w:ind w:right="48"/>
              <w:spacing w:after="0"/>
              <w:rPr>
                <w:sz w:val="20"/>
                <w:szCs w:val="20"/>
                <w:color w:val="auto"/>
              </w:rPr>
            </w:pPr>
            <w:r>
              <w:rPr>
                <w:rFonts w:ascii="Arial" w:cs="Arial" w:eastAsia="Arial" w:hAnsi="Arial"/>
                <w:sz w:val="16"/>
                <w:szCs w:val="16"/>
                <w:b w:val="1"/>
                <w:bCs w:val="1"/>
                <w:color w:val="auto"/>
              </w:rPr>
              <w:t>Karen Walker</w:t>
            </w:r>
          </w:p>
        </w:tc>
      </w:tr>
      <w:tr>
        <w:trPr>
          <w:trHeight w:val="224"/>
        </w:trPr>
        <w:tc>
          <w:tcPr>
            <w:tcW w:w="170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Jr., M.D.</w:t>
            </w:r>
          </w:p>
        </w:tc>
        <w:tc>
          <w:tcPr>
            <w:tcW w:w="14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Chair of the Board</w:t>
            </w:r>
          </w:p>
        </w:tc>
        <w:tc>
          <w:tcPr>
            <w:tcW w:w="186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M.D., Ph.D.</w:t>
            </w:r>
          </w:p>
        </w:tc>
        <w:tc>
          <w:tcPr>
            <w:tcW w:w="1560" w:type="dxa"/>
            <w:vAlign w:val="bottom"/>
            <w:shd w:val="clear" w:color="auto" w:fill="F2F2F2"/>
          </w:tcPr>
          <w:p>
            <w:pPr>
              <w:jc w:val="center"/>
              <w:ind w:right="48"/>
              <w:spacing w:after="0"/>
              <w:rPr>
                <w:sz w:val="20"/>
                <w:szCs w:val="20"/>
                <w:color w:val="auto"/>
              </w:rPr>
            </w:pPr>
            <w:r>
              <w:rPr>
                <w:rFonts w:ascii="Arial" w:cs="Arial" w:eastAsia="Arial" w:hAnsi="Arial"/>
                <w:sz w:val="12"/>
                <w:szCs w:val="12"/>
                <w:color w:val="auto"/>
              </w:rPr>
              <w:t>Independent Director</w:t>
            </w:r>
          </w:p>
        </w:tc>
      </w:tr>
      <w:tr>
        <w:trPr>
          <w:trHeight w:val="189"/>
        </w:trPr>
        <w:tc>
          <w:tcPr>
            <w:tcW w:w="17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Independent Director</w:t>
            </w:r>
          </w:p>
        </w:tc>
        <w:tc>
          <w:tcPr>
            <w:tcW w:w="1480" w:type="dxa"/>
            <w:vAlign w:val="bottom"/>
            <w:tcBorders>
              <w:bottom w:val="single" w:sz="8" w:color="auto"/>
            </w:tcBorders>
            <w:shd w:val="clear" w:color="auto" w:fill="F2F2F2"/>
          </w:tcPr>
          <w:p>
            <w:pPr>
              <w:spacing w:after="0"/>
              <w:rPr>
                <w:sz w:val="16"/>
                <w:szCs w:val="16"/>
                <w:color w:val="auto"/>
              </w:rPr>
            </w:pPr>
          </w:p>
        </w:tc>
        <w:tc>
          <w:tcPr>
            <w:tcW w:w="18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Independent Director</w:t>
            </w:r>
          </w:p>
        </w:tc>
        <w:tc>
          <w:tcPr>
            <w:tcW w:w="1560" w:type="dxa"/>
            <w:vAlign w:val="bottom"/>
            <w:tcBorders>
              <w:bottom w:val="single" w:sz="8" w:color="auto"/>
            </w:tcBorders>
            <w:shd w:val="clear" w:color="auto" w:fill="F2F2F2"/>
          </w:tcPr>
          <w:p>
            <w:pPr>
              <w:spacing w:after="0"/>
              <w:rPr>
                <w:sz w:val="16"/>
                <w:szCs w:val="16"/>
                <w:color w:val="auto"/>
              </w:rPr>
            </w:pPr>
          </w:p>
        </w:tc>
      </w:tr>
    </w:tbl>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term for directors to be elected this year will expire at the annual meeting of shareholders held in 2026.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each of the nominees and the other directors serving on our board, please see “</w:t>
      </w:r>
      <w:r>
        <w:rPr>
          <w:rFonts w:ascii="Arial" w:cs="Arial" w:eastAsia="Arial" w:hAnsi="Arial"/>
          <w:sz w:val="16"/>
          <w:szCs w:val="16"/>
          <w:u w:val="single" w:color="auto"/>
          <w:color w:val="0000FF"/>
        </w:rPr>
        <w:t>Director Experience</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984750" cy="8604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84750" cy="860425"/>
                    </a:xfrm>
                    <a:prstGeom prst="rect">
                      <a:avLst/>
                    </a:prstGeom>
                    <a:noFill/>
                  </pic:spPr>
                </pic:pic>
              </a:graphicData>
            </a:graphic>
          </wp:anchor>
        </w:drawing>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46" w:lineRule="exact"/>
        <w:rPr>
          <w:sz w:val="20"/>
          <w:szCs w:val="20"/>
          <w:color w:val="auto"/>
        </w:rPr>
      </w:pPr>
    </w:p>
    <w:p>
      <w:pPr>
        <w:ind w:left="160" w:right="3400"/>
        <w:spacing w:after="0" w:line="253"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board’s nominees, </w:t>
      </w:r>
      <w:r>
        <w:rPr>
          <w:rFonts w:ascii="Arial" w:cs="Arial" w:eastAsia="Arial" w:hAnsi="Arial"/>
          <w:sz w:val="16"/>
          <w:szCs w:val="16"/>
          <w:b w:val="1"/>
          <w:bCs w:val="1"/>
          <w:color w:val="auto"/>
        </w:rPr>
        <w:t>William G. Kaelin,</w:t>
      </w:r>
      <w:r>
        <w:rPr>
          <w:rFonts w:ascii="Arial" w:cs="Arial" w:eastAsia="Arial" w:hAnsi="Arial"/>
          <w:sz w:val="16"/>
          <w:szCs w:val="16"/>
          <w:color w:val="auto"/>
        </w:rPr>
        <w:t xml:space="preserve"> </w:t>
      </w:r>
      <w:r>
        <w:rPr>
          <w:rFonts w:ascii="Arial" w:cs="Arial" w:eastAsia="Arial" w:hAnsi="Arial"/>
          <w:sz w:val="16"/>
          <w:szCs w:val="16"/>
          <w:b w:val="1"/>
          <w:bCs w:val="1"/>
          <w:color w:val="auto"/>
        </w:rPr>
        <w:t>Jr., M.D., David A. Ricks, Marschall S. Runge, M.D., Ph.D., and Karen Walker</w:t>
      </w:r>
      <w:r>
        <w:rPr>
          <w:rFonts w:ascii="Arial" w:cs="Arial" w:eastAsia="Arial" w:hAnsi="Arial"/>
          <w:sz w:val="16"/>
          <w:szCs w:val="16"/>
          <w:color w:val="auto"/>
        </w:rPr>
        <w:t>, to serve as directors until</w:t>
      </w:r>
      <w:r>
        <w:rPr>
          <w:rFonts w:ascii="Arial" w:cs="Arial" w:eastAsia="Arial" w:hAnsi="Arial"/>
          <w:sz w:val="16"/>
          <w:szCs w:val="16"/>
          <w:b w:val="1"/>
          <w:bCs w:val="1"/>
          <w:color w:val="auto"/>
        </w:rPr>
        <w:t xml:space="preserve"> </w:t>
      </w:r>
      <w:r>
        <w:rPr>
          <w:rFonts w:ascii="Arial" w:cs="Arial" w:eastAsia="Arial" w:hAnsi="Arial"/>
          <w:sz w:val="16"/>
          <w:szCs w:val="16"/>
          <w:color w:val="auto"/>
        </w:rPr>
        <w:t>our 2026 Annual Meeting of Shareholders and until their successors are duly elected and qualified, or until their earlier death, resignation, or removal.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How We Operate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100330</wp:posOffset>
            </wp:positionV>
            <wp:extent cx="3018790" cy="1454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18790" cy="1454150"/>
                    </a:xfrm>
                    <a:prstGeom prst="rect">
                      <a:avLst/>
                    </a:prstGeom>
                    <a:noFill/>
                  </pic:spPr>
                </pic:pic>
              </a:graphicData>
            </a:graphic>
          </wp:anchor>
        </w:drawing>
      </w:r>
    </w:p>
    <w:p>
      <w:pPr>
        <w:spacing w:after="0" w:line="147" w:lineRule="exact"/>
        <w:rPr>
          <w:sz w:val="20"/>
          <w:szCs w:val="20"/>
          <w:color w:val="auto"/>
        </w:rPr>
      </w:pPr>
    </w:p>
    <w:p>
      <w:pPr>
        <w:ind w:right="8520"/>
        <w:spacing w:after="0" w:line="246" w:lineRule="auto"/>
        <w:rPr>
          <w:sz w:val="20"/>
          <w:szCs w:val="20"/>
          <w:color w:val="auto"/>
        </w:rPr>
      </w:pPr>
      <w:r>
        <w:rPr>
          <w:rFonts w:ascii="Arial" w:cs="Arial" w:eastAsia="Arial" w:hAnsi="Arial"/>
          <w:sz w:val="16"/>
          <w:szCs w:val="16"/>
          <w:color w:val="auto"/>
        </w:rPr>
        <w:t>We believe that high board effectiveness promotes the long-term interests of our shareholders, strengthens the accountability of the board of directors and management, and improves our standing as a trusted member of the communities we serve. In addition to having the right mix of directors, there are many factors involved in operating an effective board.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Working Dynamics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Leadership Structure</w:t>
      </w:r>
    </w:p>
    <w:p>
      <w:pPr>
        <w:spacing w:after="0" w:line="15"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color w:val="auto"/>
        </w:rPr>
        <w:t>Our board believes that there is no “one-size-fits-all” approach to board leadership and recognizes that one of its key responsibilities is to evaluate its optimal leadership structure to ensure both independent oversight of management and an engaged board with complementary qualities, perspectives, and experiences. The board regularly reviews its leadership structure and developments in the area of corporate governance to ensure that our chosen leadership structure continues to strike the appropriate balance for the company and our stakeholders and enables us to promote the long-term interests of our shareholders.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spacing w:after="0" w:line="250" w:lineRule="auto"/>
        <w:rPr>
          <w:sz w:val="20"/>
          <w:szCs w:val="20"/>
          <w:color w:val="auto"/>
        </w:rPr>
      </w:pPr>
      <w:r>
        <w:rPr>
          <w:rFonts w:ascii="Arial" w:cs="Arial" w:eastAsia="Arial" w:hAnsi="Arial"/>
          <w:sz w:val="16"/>
          <w:szCs w:val="16"/>
          <w:color w:val="auto"/>
        </w:rPr>
        <w:t>In 2022, the board continued its proactive assessment of board succession and refreshment. After thoughtful consideration of our business, long-term strategy, and related risks, and the strength of our lead independent director, the independent directors believe that the combination of the chair and CEO roles, coupled with a strong lead independent director position, continues to be in the best interest of the company and our shareholders. The board believes that Mr. Ricks’ extensive knowledge of, and experience in, the pharmaceutical industry enables him to effectively set the long-term strategic direction of the company and provide diligent, long-term leadership and direction for management and our board.</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Mr. Luciano serves as the current lead independent director. Mr. Luciano is a strong lead independent director who fulfills the duties below. As the CEO and president of Archer-Daniels-Midland Company, he brings valuable and diverse experience and outside perspective to his lead independent director role, which permits him to serve as a trusted adviser to Mr. Ricks and ensure effective board management and risk oversight.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D52B1E"/>
        </w:rPr>
        <w:t>Lead Independent Director Responsibilities and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4992370" cy="39833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92370" cy="398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 2022,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the independent directors. Mr. Luciano informs Mr. Ricks of the independent directors’ discussions, including providing performance feedback.</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Fostering Independent Oversight</w:t>
      </w:r>
    </w:p>
    <w:p>
      <w:pPr>
        <w:spacing w:after="0" w:line="47"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In addition to a strong lead independent director role, the board has put in place a number of governance practices to ensure effective independent oversight, including:</w:t>
      </w:r>
    </w:p>
    <w:p>
      <w:pPr>
        <w:spacing w:after="0" w:line="24" w:lineRule="exact"/>
        <w:rPr>
          <w:sz w:val="20"/>
          <w:szCs w:val="20"/>
          <w:color w:val="auto"/>
        </w:rPr>
      </w:pPr>
    </w:p>
    <w:p>
      <w:pPr>
        <w:ind w:left="540" w:hanging="266"/>
        <w:spacing w:after="0"/>
        <w:tabs>
          <w:tab w:leader="none" w:pos="540" w:val="left"/>
        </w:tabs>
        <w:numPr>
          <w:ilvl w:val="0"/>
          <w:numId w:val="8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Executive sessions of the independent directors: </w:t>
      </w:r>
      <w:r>
        <w:rPr>
          <w:rFonts w:ascii="Arial" w:cs="Arial" w:eastAsia="Arial" w:hAnsi="Arial"/>
          <w:sz w:val="15"/>
          <w:szCs w:val="15"/>
          <w:color w:val="000000"/>
        </w:rPr>
        <w:t>Held after every regular board meeting and presided over by the lead independent director.</w:t>
      </w:r>
    </w:p>
    <w:p>
      <w:pPr>
        <w:spacing w:after="0" w:line="337" w:lineRule="exact"/>
        <w:rPr>
          <w:rFonts w:ascii="Arial" w:cs="Arial" w:eastAsia="Arial" w:hAnsi="Arial"/>
          <w:sz w:val="14"/>
          <w:szCs w:val="14"/>
          <w:b w:val="1"/>
          <w:bCs w:val="1"/>
          <w:color w:val="D52B1E"/>
        </w:rPr>
      </w:pPr>
    </w:p>
    <w:p>
      <w:pPr>
        <w:ind w:left="5540"/>
        <w:spacing w:after="0"/>
        <w:rPr>
          <w:rFonts w:ascii="Arial" w:cs="Arial" w:eastAsia="Arial" w:hAnsi="Arial"/>
          <w:sz w:val="14"/>
          <w:szCs w:val="14"/>
          <w:b w:val="1"/>
          <w:bCs w:val="1"/>
          <w:color w:val="D52B1E"/>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7176135"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33" w:name="page34"/>
    <w:bookmarkEnd w:id="33"/>
    <w:p>
      <w:pPr>
        <w:ind w:left="560" w:right="200" w:hanging="286"/>
        <w:spacing w:after="0" w:line="275" w:lineRule="auto"/>
        <w:tabs>
          <w:tab w:leader="none" w:pos="550" w:val="left"/>
        </w:tabs>
        <w:numPr>
          <w:ilvl w:val="0"/>
          <w:numId w:val="8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Annual performance evaluation of the chair and CEO: </w:t>
      </w:r>
      <w:r>
        <w:rPr>
          <w:rFonts w:ascii="Arial" w:cs="Arial" w:eastAsia="Arial" w:hAnsi="Arial"/>
          <w:sz w:val="15"/>
          <w:szCs w:val="15"/>
          <w:color w:val="000000"/>
        </w:rPr>
        <w:t>Conducted by the independent directors, the results of which are reviewed with the CEO</w:t>
      </w:r>
      <w:r>
        <w:rPr>
          <w:rFonts w:ascii="Arial" w:cs="Arial" w:eastAsia="Arial" w:hAnsi="Arial"/>
          <w:sz w:val="17"/>
          <w:szCs w:val="17"/>
          <w:b w:val="1"/>
          <w:bCs w:val="1"/>
          <w:color w:val="D52B1E"/>
        </w:rPr>
        <w:t xml:space="preserve"> </w:t>
      </w:r>
      <w:r>
        <w:rPr>
          <w:rFonts w:ascii="Arial" w:cs="Arial" w:eastAsia="Arial" w:hAnsi="Arial"/>
          <w:sz w:val="15"/>
          <w:szCs w:val="15"/>
          <w:color w:val="000000"/>
        </w:rPr>
        <w:t>and considered by the Talent and Compensation Committee and independent directors in establishing the CEO’s compensation for the following year.</w:t>
      </w:r>
    </w:p>
    <w:p>
      <w:pPr>
        <w:spacing w:after="0" w:line="19" w:lineRule="exact"/>
        <w:rPr>
          <w:rFonts w:ascii="Arial" w:cs="Arial" w:eastAsia="Arial" w:hAnsi="Arial"/>
          <w:sz w:val="14"/>
          <w:szCs w:val="14"/>
          <w:b w:val="1"/>
          <w:bCs w:val="1"/>
          <w:color w:val="D52B1E"/>
        </w:rPr>
      </w:pPr>
    </w:p>
    <w:p>
      <w:pPr>
        <w:ind w:left="560" w:hanging="286"/>
        <w:spacing w:after="0" w:line="260" w:lineRule="auto"/>
        <w:tabs>
          <w:tab w:leader="none" w:pos="556" w:val="left"/>
        </w:tabs>
        <w:numPr>
          <w:ilvl w:val="0"/>
          <w:numId w:val="82"/>
        </w:numPr>
        <w:rPr>
          <w:rFonts w:ascii="Arial" w:cs="Arial" w:eastAsia="Arial" w:hAnsi="Arial"/>
          <w:sz w:val="16"/>
          <w:szCs w:val="16"/>
          <w:b w:val="1"/>
          <w:bCs w:val="1"/>
          <w:color w:val="D52B1E"/>
        </w:rPr>
      </w:pPr>
      <w:r>
        <w:rPr>
          <w:rFonts w:ascii="Arial" w:cs="Arial" w:eastAsia="Arial" w:hAnsi="Arial"/>
          <w:sz w:val="17"/>
          <w:szCs w:val="17"/>
          <w:b w:val="1"/>
          <w:bCs w:val="1"/>
          <w:color w:val="D52B1E"/>
        </w:rPr>
        <w:t xml:space="preserve">Lead independent director assessment: </w:t>
      </w:r>
      <w:r>
        <w:rPr>
          <w:rFonts w:ascii="Arial" w:cs="Arial" w:eastAsia="Arial" w:hAnsi="Arial"/>
          <w:sz w:val="15"/>
          <w:szCs w:val="15"/>
          <w:color w:val="000000"/>
        </w:rPr>
        <w:t>The lead independent director is elected by and from among the independent directors of the board, which</w:t>
      </w:r>
      <w:r>
        <w:rPr>
          <w:rFonts w:ascii="Arial" w:cs="Arial" w:eastAsia="Arial" w:hAnsi="Arial"/>
          <w:sz w:val="17"/>
          <w:szCs w:val="17"/>
          <w:b w:val="1"/>
          <w:bCs w:val="1"/>
          <w:color w:val="D52B1E"/>
        </w:rPr>
        <w:t xml:space="preserve"> </w:t>
      </w:r>
      <w:r>
        <w:rPr>
          <w:rFonts w:ascii="Arial" w:cs="Arial" w:eastAsia="Arial" w:hAnsi="Arial"/>
          <w:sz w:val="15"/>
          <w:szCs w:val="15"/>
          <w:color w:val="000000"/>
        </w:rPr>
        <w:t>conducts an assessment of his or her performance as part of the annual board assessment process as well as an assessment of key characteristics for the lead independent director position.</w:t>
      </w:r>
    </w:p>
    <w:p>
      <w:pPr>
        <w:spacing w:after="0" w:line="32" w:lineRule="exact"/>
        <w:rPr>
          <w:rFonts w:ascii="Arial" w:cs="Arial" w:eastAsia="Arial" w:hAnsi="Arial"/>
          <w:sz w:val="16"/>
          <w:szCs w:val="16"/>
          <w:b w:val="1"/>
          <w:bCs w:val="1"/>
          <w:color w:val="D52B1E"/>
        </w:rPr>
      </w:pPr>
    </w:p>
    <w:p>
      <w:pPr>
        <w:ind w:left="560" w:right="20" w:hanging="286"/>
        <w:spacing w:after="0" w:line="289" w:lineRule="auto"/>
        <w:tabs>
          <w:tab w:leader="none" w:pos="550" w:val="left"/>
        </w:tabs>
        <w:numPr>
          <w:ilvl w:val="0"/>
          <w:numId w:val="8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Director access to independent advisors: </w:t>
      </w:r>
      <w:r>
        <w:rPr>
          <w:rFonts w:ascii="Arial" w:cs="Arial" w:eastAsia="Arial" w:hAnsi="Arial"/>
          <w:sz w:val="15"/>
          <w:szCs w:val="15"/>
          <w:color w:val="000000"/>
        </w:rPr>
        <w:t>The independent directors and all committees have the ability to retain their own independent advisors, at</w:t>
      </w:r>
      <w:r>
        <w:rPr>
          <w:rFonts w:ascii="Arial" w:cs="Arial" w:eastAsia="Arial" w:hAnsi="Arial"/>
          <w:sz w:val="17"/>
          <w:szCs w:val="17"/>
          <w:b w:val="1"/>
          <w:bCs w:val="1"/>
          <w:color w:val="D52B1E"/>
        </w:rPr>
        <w:t xml:space="preserve"> </w:t>
      </w:r>
      <w:r>
        <w:rPr>
          <w:rFonts w:ascii="Arial" w:cs="Arial" w:eastAsia="Arial" w:hAnsi="Arial"/>
          <w:sz w:val="15"/>
          <w:szCs w:val="15"/>
          <w:color w:val="000000"/>
        </w:rPr>
        <w:t>the company’s expense, whenever they deem it desirable to do so.</w:t>
      </w:r>
    </w:p>
    <w:p>
      <w:pPr>
        <w:ind w:left="560" w:right="460" w:hanging="286"/>
        <w:spacing w:after="0" w:line="260" w:lineRule="auto"/>
        <w:tabs>
          <w:tab w:leader="none" w:pos="550" w:val="left"/>
        </w:tabs>
        <w:numPr>
          <w:ilvl w:val="0"/>
          <w:numId w:val="8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Director access to management: </w:t>
      </w:r>
      <w:r>
        <w:rPr>
          <w:rFonts w:ascii="Arial" w:cs="Arial" w:eastAsia="Arial" w:hAnsi="Arial"/>
          <w:sz w:val="15"/>
          <w:szCs w:val="15"/>
          <w:color w:val="000000"/>
        </w:rPr>
        <w:t>Independent directors have direct access to members of management whenever they deem it necessary, and</w:t>
      </w:r>
      <w:r>
        <w:rPr>
          <w:rFonts w:ascii="Arial" w:cs="Arial" w:eastAsia="Arial" w:hAnsi="Arial"/>
          <w:sz w:val="17"/>
          <w:szCs w:val="17"/>
          <w:b w:val="1"/>
          <w:bCs w:val="1"/>
          <w:color w:val="D52B1E"/>
        </w:rPr>
        <w:t xml:space="preserve"> </w:t>
      </w:r>
      <w:r>
        <w:rPr>
          <w:rFonts w:ascii="Arial" w:cs="Arial" w:eastAsia="Arial" w:hAnsi="Arial"/>
          <w:sz w:val="15"/>
          <w:szCs w:val="15"/>
          <w:color w:val="000000"/>
        </w:rPr>
        <w:t>certain of the company’s executive officers attend part of each regularly scheduled board meeting.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Board Structure</w:t>
      </w:r>
    </w:p>
    <w:p>
      <w:pPr>
        <w:spacing w:after="0" w:line="6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Each of our committees:</w:t>
      </w:r>
    </w:p>
    <w:p>
      <w:pPr>
        <w:spacing w:after="0" w:line="143" w:lineRule="exact"/>
        <w:rPr>
          <w:sz w:val="20"/>
          <w:szCs w:val="20"/>
          <w:color w:val="auto"/>
        </w:rPr>
      </w:pPr>
    </w:p>
    <w:p>
      <w:pPr>
        <w:ind w:left="540" w:hanging="266"/>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6"/>
          <w:szCs w:val="16"/>
          <w:color w:val="auto"/>
        </w:rPr>
        <w:t xml:space="preserve">operates pursuant to a written charter (available on our website at </w:t>
      </w:r>
      <w:r>
        <w:rPr>
          <w:rFonts w:ascii="Arial" w:cs="Arial" w:eastAsia="Arial" w:hAnsi="Arial"/>
          <w:sz w:val="16"/>
          <w:szCs w:val="16"/>
          <w:color w:val="D52B1E"/>
        </w:rPr>
        <w:t>lilly.com/leadership/governance</w:t>
      </w:r>
      <w:r>
        <w:rPr>
          <w:rFonts w:ascii="Arial" w:cs="Arial" w:eastAsia="Arial" w:hAnsi="Arial"/>
          <w:sz w:val="16"/>
          <w:szCs w:val="16"/>
          <w:color w:val="auto"/>
        </w:rPr>
        <w:t>),</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6"/>
          <w:szCs w:val="16"/>
          <w:color w:val="auto"/>
        </w:rPr>
        <w:t>evaluates its performance annually,</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6"/>
          <w:szCs w:val="16"/>
          <w:color w:val="auto"/>
        </w:rPr>
        <w:t>reviews its charter annually, and</w:t>
      </w:r>
    </w:p>
    <w:p>
      <w:pPr>
        <w:spacing w:after="0" w:line="49" w:lineRule="exact"/>
        <w:rPr>
          <w:rFonts w:ascii="Arial" w:cs="Arial" w:eastAsia="Arial" w:hAnsi="Arial"/>
          <w:sz w:val="14"/>
          <w:szCs w:val="14"/>
          <w:color w:val="auto"/>
        </w:rPr>
      </w:pPr>
    </w:p>
    <w:p>
      <w:pPr>
        <w:ind w:left="560" w:right="740" w:hanging="286"/>
        <w:spacing w:after="0" w:line="271" w:lineRule="auto"/>
        <w:tabs>
          <w:tab w:leader="none" w:pos="550" w:val="left"/>
        </w:tabs>
        <w:numPr>
          <w:ilvl w:val="0"/>
          <w:numId w:val="83"/>
        </w:numPr>
        <w:rPr>
          <w:rFonts w:ascii="Arial" w:cs="Arial" w:eastAsia="Arial" w:hAnsi="Arial"/>
          <w:sz w:val="14"/>
          <w:szCs w:val="14"/>
          <w:color w:val="auto"/>
        </w:rPr>
      </w:pPr>
      <w:r>
        <w:rPr>
          <w:rFonts w:ascii="Arial" w:cs="Arial" w:eastAsia="Arial" w:hAnsi="Arial"/>
          <w:sz w:val="16"/>
          <w:szCs w:val="16"/>
          <w:color w:val="auto"/>
        </w:rPr>
        <w:t>is composed only of members that have been determined by the board to be independent as defined in the NYSE listing requirements and Lilly’s independence standards.</w:t>
      </w:r>
    </w:p>
    <w:p>
      <w:pPr>
        <w:spacing w:after="0" w:line="98"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In addition, the members of the Audit and Talent and Compensation Committees each meet the additional independence requirements applicable to them as members of those committees. For more information on director independence, see “</w:t>
      </w:r>
      <w:r>
        <w:rPr>
          <w:rFonts w:ascii="Arial" w:cs="Arial" w:eastAsia="Arial" w:hAnsi="Arial"/>
          <w:sz w:val="16"/>
          <w:szCs w:val="16"/>
          <w:u w:val="single" w:color="auto"/>
          <w:color w:val="0000FF"/>
        </w:rPr>
        <w:t>Governance—How We Build an Effective Board—Director Qualifications—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Independence</w:t>
      </w:r>
      <w:r>
        <w:rPr>
          <w:rFonts w:ascii="Arial" w:cs="Arial" w:eastAsia="Arial" w:hAnsi="Arial"/>
          <w:sz w:val="16"/>
          <w:szCs w:val="16"/>
          <w:color w:val="000000"/>
        </w:rPr>
        <w:t>.”</w:t>
      </w:r>
    </w:p>
    <w:p>
      <w:pPr>
        <w:spacing w:after="0" w:line="9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chair of each committee determines the frequency and agenda of committee meetings, subject to any minimums specified in the relevant committee charter, and the committees meet alone in executive session on a regular basis.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of the Board and Its Committees</w:t>
      </w:r>
    </w:p>
    <w:p>
      <w:pPr>
        <w:spacing w:after="0" w:line="3"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2022, our board met seven times, and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2022 annual meeting of shareholders with the exception of Mr. Eskew, who retired following the 2022 annual meeting. Key responsibilities, current committee membership and the number of meetings of the board and each committee held in 2022 are shown in the table below.</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7176135"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751" w:right="359" w:bottom="1440" w:gutter="0" w:footer="0" w:header="0"/>
        </w:sectPr>
      </w:pPr>
    </w:p>
    <w:bookmarkStart w:id="34" w:name="page35"/>
    <w:bookmarkEnd w:id="34"/>
    <w:p>
      <w:pPr>
        <w:jc w:val="right"/>
        <w:ind w:right="3459"/>
        <w:spacing w:after="0"/>
        <w:rPr>
          <w:sz w:val="20"/>
          <w:szCs w:val="20"/>
          <w:color w:val="auto"/>
        </w:rPr>
      </w:pPr>
      <w:r>
        <w:rPr>
          <w:rFonts w:ascii="Arial" w:cs="Arial" w:eastAsia="Arial" w:hAnsi="Arial"/>
          <w:sz w:val="19"/>
          <w:szCs w:val="19"/>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08406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840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-137795</wp:posOffset>
            </wp:positionV>
            <wp:extent cx="708406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840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467360" cy="4076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67360" cy="407670"/>
                    </a:xfrm>
                    <a:prstGeom prst="rect">
                      <a:avLst/>
                    </a:prstGeom>
                    <a:noFill/>
                  </pic:spPr>
                </pic:pic>
              </a:graphicData>
            </a:graphic>
          </wp:anchor>
        </w:drawing>
      </w:r>
    </w:p>
    <w:p>
      <w:pPr>
        <w:spacing w:after="0" w:line="31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D52B1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-44450</wp:posOffset>
            </wp:positionV>
            <wp:extent cx="3441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41700" cy="7620"/>
                    </a:xfrm>
                    <a:prstGeom prst="rect">
                      <a:avLst/>
                    </a:prstGeom>
                    <a:noFill/>
                  </pic:spPr>
                </pic:pic>
              </a:graphicData>
            </a:graphic>
          </wp:anchor>
        </w:drawing>
      </w:r>
    </w:p>
    <w:p>
      <w:pPr>
        <w:sectPr>
          <w:pgSz w:w="11900" w:h="16838" w:orient="portrait"/>
          <w:cols w:equalWidth="0" w:num="1">
            <w:col w:w="10139"/>
          </w:cols>
          <w:pgMar w:left="320" w:top="863" w:right="1440"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16"/>
          <w:szCs w:val="16"/>
          <w:color w:val="auto"/>
        </w:rPr>
        <w:t>:</w:t>
      </w:r>
    </w:p>
    <w:p>
      <w:pPr>
        <w:spacing w:after="0" w:line="192" w:lineRule="exact"/>
        <w:rPr>
          <w:sz w:val="20"/>
          <w:szCs w:val="20"/>
          <w:color w:val="auto"/>
        </w:rPr>
      </w:pPr>
    </w:p>
    <w:p>
      <w:pPr>
        <w:ind w:left="200" w:hanging="121"/>
        <w:spacing w:after="0"/>
        <w:tabs>
          <w:tab w:leader="none" w:pos="200" w:val="left"/>
        </w:tabs>
        <w:numPr>
          <w:ilvl w:val="1"/>
          <w:numId w:val="84"/>
        </w:numPr>
        <w:rPr>
          <w:rFonts w:ascii="Arial" w:cs="Arial" w:eastAsia="Arial" w:hAnsi="Arial"/>
          <w:sz w:val="14"/>
          <w:szCs w:val="14"/>
          <w:color w:val="auto"/>
        </w:rPr>
      </w:pPr>
      <w:r>
        <w:rPr>
          <w:rFonts w:ascii="Arial" w:cs="Arial" w:eastAsia="Arial" w:hAnsi="Arial"/>
          <w:sz w:val="16"/>
          <w:szCs w:val="16"/>
          <w:color w:val="auto"/>
        </w:rPr>
        <w:t>Mr. Alvarez*</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1"/>
          <w:numId w:val="84"/>
        </w:numPr>
        <w:rPr>
          <w:rFonts w:ascii="Arial" w:cs="Arial" w:eastAsia="Arial" w:hAnsi="Arial"/>
          <w:sz w:val="13"/>
          <w:szCs w:val="13"/>
          <w:color w:val="auto"/>
        </w:rPr>
      </w:pPr>
      <w:r>
        <w:rPr>
          <w:rFonts w:ascii="Arial" w:cs="Arial" w:eastAsia="Arial" w:hAnsi="Arial"/>
          <w:sz w:val="14"/>
          <w:szCs w:val="14"/>
          <w:color w:val="auto"/>
        </w:rPr>
        <w:t>Mr. Jackson* (Chair)</w:t>
      </w:r>
    </w:p>
    <w:p>
      <w:pPr>
        <w:spacing w:after="0" w:line="72" w:lineRule="exact"/>
        <w:rPr>
          <w:rFonts w:ascii="Arial" w:cs="Arial" w:eastAsia="Arial" w:hAnsi="Arial"/>
          <w:sz w:val="13"/>
          <w:szCs w:val="13"/>
          <w:color w:val="auto"/>
        </w:rPr>
      </w:pPr>
    </w:p>
    <w:p>
      <w:pPr>
        <w:ind w:left="200" w:hanging="121"/>
        <w:spacing w:after="0"/>
        <w:tabs>
          <w:tab w:leader="none" w:pos="200" w:val="left"/>
        </w:tabs>
        <w:numPr>
          <w:ilvl w:val="1"/>
          <w:numId w:val="84"/>
        </w:numPr>
        <w:rPr>
          <w:rFonts w:ascii="Arial" w:cs="Arial" w:eastAsia="Arial" w:hAnsi="Arial"/>
          <w:sz w:val="14"/>
          <w:szCs w:val="14"/>
          <w:color w:val="auto"/>
        </w:rPr>
      </w:pPr>
      <w:r>
        <w:rPr>
          <w:rFonts w:ascii="Arial" w:cs="Arial" w:eastAsia="Arial" w:hAnsi="Arial"/>
          <w:sz w:val="16"/>
          <w:szCs w:val="16"/>
          <w:color w:val="auto"/>
        </w:rPr>
        <w:t>Ms. Sulzberger*</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1"/>
          <w:numId w:val="84"/>
        </w:numPr>
        <w:rPr>
          <w:rFonts w:ascii="Arial" w:cs="Arial" w:eastAsia="Arial" w:hAnsi="Arial"/>
          <w:sz w:val="14"/>
          <w:szCs w:val="14"/>
          <w:color w:val="auto"/>
        </w:rPr>
      </w:pPr>
      <w:r>
        <w:rPr>
          <w:rFonts w:ascii="Arial" w:cs="Arial" w:eastAsia="Arial" w:hAnsi="Arial"/>
          <w:sz w:val="16"/>
          <w:szCs w:val="16"/>
          <w:color w:val="auto"/>
        </w:rPr>
        <w:t>Mr. Tai*</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1"/>
          <w:numId w:val="84"/>
        </w:numPr>
        <w:rPr>
          <w:rFonts w:ascii="Arial" w:cs="Arial" w:eastAsia="Arial" w:hAnsi="Arial"/>
          <w:sz w:val="14"/>
          <w:szCs w:val="14"/>
          <w:color w:val="auto"/>
        </w:rPr>
      </w:pPr>
      <w:r>
        <w:rPr>
          <w:rFonts w:ascii="Arial" w:cs="Arial" w:eastAsia="Arial" w:hAnsi="Arial"/>
          <w:sz w:val="16"/>
          <w:szCs w:val="16"/>
          <w:color w:val="auto"/>
        </w:rPr>
        <w:t>Ms. Walker</w:t>
      </w:r>
    </w:p>
    <w:p>
      <w:pPr>
        <w:spacing w:after="0" w:line="5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 Financial Experts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Meetings in 2022: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1257300</wp:posOffset>
            </wp:positionV>
            <wp:extent cx="459740" cy="4076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 and areas of risk oversight:</w:t>
      </w:r>
    </w:p>
    <w:p>
      <w:pPr>
        <w:spacing w:after="0" w:line="52" w:lineRule="exact"/>
        <w:rPr>
          <w:sz w:val="20"/>
          <w:szCs w:val="20"/>
          <w:color w:val="auto"/>
        </w:rPr>
      </w:pPr>
    </w:p>
    <w:p>
      <w:pPr>
        <w:ind w:left="560" w:right="2459" w:hanging="284"/>
        <w:spacing w:after="0" w:line="271"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integrity of financial information provided to our shareholders and others</w:t>
      </w:r>
    </w:p>
    <w:p>
      <w:pPr>
        <w:spacing w:after="0" w:line="5" w:lineRule="exact"/>
        <w:rPr>
          <w:rFonts w:ascii="Arial" w:cs="Arial" w:eastAsia="Arial" w:hAnsi="Arial"/>
          <w:sz w:val="14"/>
          <w:szCs w:val="14"/>
          <w:color w:val="auto"/>
        </w:rPr>
      </w:pPr>
    </w:p>
    <w:p>
      <w:pPr>
        <w:ind w:left="560" w:right="2639" w:hanging="284"/>
        <w:spacing w:after="0" w:line="271"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management’s systems of internal controls and disclosure controls</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performance of internal and independent audit functions</w:t>
      </w:r>
    </w:p>
    <w:p>
      <w:pPr>
        <w:spacing w:after="0" w:line="49" w:lineRule="exact"/>
        <w:rPr>
          <w:rFonts w:ascii="Arial" w:cs="Arial" w:eastAsia="Arial" w:hAnsi="Arial"/>
          <w:sz w:val="14"/>
          <w:szCs w:val="14"/>
          <w:color w:val="auto"/>
        </w:rPr>
      </w:pPr>
    </w:p>
    <w:p>
      <w:pPr>
        <w:ind w:left="560" w:right="3019" w:hanging="284"/>
        <w:spacing w:after="0" w:line="271"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establishes qualifications and determines independence of the company’s independent auditor</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6"/>
          <w:szCs w:val="16"/>
          <w:color w:val="auto"/>
        </w:rPr>
        <w:t>has sole authority to appoint or replace the independent auditor</w:t>
      </w:r>
    </w:p>
    <w:p>
      <w:pPr>
        <w:spacing w:after="0" w:line="49" w:lineRule="exact"/>
        <w:rPr>
          <w:rFonts w:ascii="Arial" w:cs="Arial" w:eastAsia="Arial" w:hAnsi="Arial"/>
          <w:sz w:val="14"/>
          <w:szCs w:val="14"/>
          <w:color w:val="auto"/>
        </w:rPr>
      </w:pPr>
    </w:p>
    <w:p>
      <w:pPr>
        <w:ind w:left="540" w:hanging="26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compliance with legal and regulatory requirements</w:t>
      </w:r>
    </w:p>
    <w:p>
      <w:pPr>
        <w:spacing w:after="0" w:line="49" w:lineRule="exact"/>
        <w:rPr>
          <w:rFonts w:ascii="Arial" w:cs="Arial" w:eastAsia="Arial" w:hAnsi="Arial"/>
          <w:sz w:val="14"/>
          <w:szCs w:val="14"/>
          <w:color w:val="auto"/>
        </w:rPr>
      </w:pPr>
    </w:p>
    <w:p>
      <w:pPr>
        <w:ind w:left="560" w:right="2359" w:hanging="284"/>
        <w:spacing w:after="0" w:line="271"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processes and procedures related to identifying and mitigating enterprise-level risks</w:t>
      </w:r>
    </w:p>
    <w:p>
      <w:pPr>
        <w:spacing w:after="0" w:line="5" w:lineRule="exact"/>
        <w:rPr>
          <w:rFonts w:ascii="Arial" w:cs="Arial" w:eastAsia="Arial" w:hAnsi="Arial"/>
          <w:sz w:val="14"/>
          <w:szCs w:val="14"/>
          <w:color w:val="auto"/>
        </w:rPr>
      </w:pPr>
    </w:p>
    <w:p>
      <w:pPr>
        <w:ind w:left="560" w:right="2839" w:hanging="284"/>
        <w:spacing w:after="0" w:line="257"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oversees the company’s programs, policies, procedures, and risk management activities related to information security and data protection</w:t>
      </w:r>
    </w:p>
    <w:p>
      <w:pPr>
        <w:spacing w:after="0" w:line="16" w:lineRule="exact"/>
        <w:rPr>
          <w:rFonts w:ascii="Arial" w:cs="Arial" w:eastAsia="Arial" w:hAnsi="Arial"/>
          <w:sz w:val="14"/>
          <w:szCs w:val="14"/>
          <w:color w:val="auto"/>
        </w:rPr>
      </w:pPr>
    </w:p>
    <w:p>
      <w:pPr>
        <w:ind w:left="560" w:right="2839" w:hanging="284"/>
        <w:spacing w:after="0" w:line="252" w:lineRule="auto"/>
        <w:tabs>
          <w:tab w:leader="none" w:pos="550" w:val="left"/>
        </w:tabs>
        <w:numPr>
          <w:ilvl w:val="0"/>
          <w:numId w:val="85"/>
        </w:numPr>
        <w:rPr>
          <w:rFonts w:ascii="Arial" w:cs="Arial" w:eastAsia="Arial" w:hAnsi="Arial"/>
          <w:sz w:val="14"/>
          <w:szCs w:val="14"/>
          <w:color w:val="auto"/>
        </w:rPr>
      </w:pPr>
      <w:r>
        <w:rPr>
          <w:rFonts w:ascii="Arial" w:cs="Arial" w:eastAsia="Arial" w:hAnsi="Arial"/>
          <w:sz w:val="16"/>
          <w:szCs w:val="16"/>
          <w:color w:val="auto"/>
        </w:rPr>
        <w:t>together with the ethics and compliance committee, oversees the company’s compliance with the company’s code of</w:t>
      </w:r>
    </w:p>
    <w:p>
      <w:pPr>
        <w:spacing w:after="0" w:line="1"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ethics</w:t>
      </w:r>
    </w:p>
    <w:p>
      <w:pPr>
        <w:spacing w:after="0" w:line="200" w:lineRule="exact"/>
        <w:rPr>
          <w:sz w:val="20"/>
          <w:szCs w:val="20"/>
          <w:color w:val="auto"/>
        </w:rPr>
      </w:pPr>
    </w:p>
    <w:p>
      <w:pPr>
        <w:sectPr>
          <w:pgSz w:w="11900" w:h="16838" w:orient="portrait"/>
          <w:cols w:equalWidth="0" w:num="2">
            <w:col w:w="1620" w:space="660"/>
            <w:col w:w="7859"/>
          </w:cols>
          <w:pgMar w:left="320" w:top="863" w:right="1440" w:bottom="1440" w:gutter="0" w:footer="0" w:header="0"/>
          <w:type w:val="continuous"/>
        </w:sectPr>
      </w:pP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D52B1E"/>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-37465</wp:posOffset>
            </wp:positionV>
            <wp:extent cx="23660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66010" cy="7620"/>
                    </a:xfrm>
                    <a:prstGeom prst="rect">
                      <a:avLst/>
                    </a:prstGeom>
                    <a:noFill/>
                  </pic:spPr>
                </pic:pic>
              </a:graphicData>
            </a:graphic>
          </wp:anchor>
        </w:drawing>
      </w:r>
    </w:p>
    <w:p>
      <w:pPr>
        <w:sectPr>
          <w:pgSz w:w="11900" w:h="16838" w:orient="portrait"/>
          <w:cols w:equalWidth="0" w:num="1">
            <w:col w:w="10139"/>
          </w:cols>
          <w:pgMar w:left="320" w:top="863"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16"/>
          <w:szCs w:val="16"/>
          <w:color w:val="auto"/>
        </w:rPr>
        <w:t>:</w:t>
      </w:r>
    </w:p>
    <w:p>
      <w:pPr>
        <w:spacing w:after="0" w:line="192" w:lineRule="exact"/>
        <w:rPr>
          <w:sz w:val="20"/>
          <w:szCs w:val="20"/>
          <w:color w:val="auto"/>
        </w:rPr>
      </w:pPr>
    </w:p>
    <w:p>
      <w:pPr>
        <w:ind w:left="200" w:hanging="121"/>
        <w:spacing w:after="0"/>
        <w:tabs>
          <w:tab w:leader="none" w:pos="200" w:val="left"/>
        </w:tabs>
        <w:numPr>
          <w:ilvl w:val="0"/>
          <w:numId w:val="86"/>
        </w:numPr>
        <w:rPr>
          <w:rFonts w:ascii="Arial" w:cs="Arial" w:eastAsia="Arial" w:hAnsi="Arial"/>
          <w:sz w:val="13"/>
          <w:szCs w:val="13"/>
          <w:color w:val="auto"/>
        </w:rPr>
      </w:pPr>
      <w:r>
        <w:rPr>
          <w:rFonts w:ascii="Arial" w:cs="Arial" w:eastAsia="Arial" w:hAnsi="Arial"/>
          <w:sz w:val="14"/>
          <w:szCs w:val="14"/>
          <w:color w:val="auto"/>
        </w:rPr>
        <w:t>Mr. Alvarez (Chair)</w:t>
      </w:r>
    </w:p>
    <w:p>
      <w:pPr>
        <w:spacing w:after="0" w:line="72" w:lineRule="exact"/>
        <w:rPr>
          <w:rFonts w:ascii="Arial" w:cs="Arial" w:eastAsia="Arial" w:hAnsi="Arial"/>
          <w:sz w:val="13"/>
          <w:szCs w:val="13"/>
          <w:color w:val="auto"/>
        </w:rPr>
      </w:pPr>
    </w:p>
    <w:p>
      <w:pPr>
        <w:ind w:left="200" w:hanging="121"/>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6"/>
          <w:szCs w:val="16"/>
          <w:color w:val="auto"/>
        </w:rPr>
        <w:t>Mr. Fyrwald</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6"/>
          <w:szCs w:val="16"/>
          <w:color w:val="auto"/>
        </w:rPr>
        <w:t>Ms. Johnson</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6"/>
          <w:szCs w:val="16"/>
          <w:color w:val="auto"/>
        </w:rPr>
        <w:t>Mr. Luciano</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6"/>
          <w:szCs w:val="16"/>
          <w:color w:val="auto"/>
        </w:rPr>
        <w:t>Ms. Walker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Meetings in 2022: 7</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 and areas of risk oversight:</w:t>
      </w:r>
    </w:p>
    <w:p>
      <w:pPr>
        <w:spacing w:after="0" w:line="52" w:lineRule="exact"/>
        <w:rPr>
          <w:sz w:val="20"/>
          <w:szCs w:val="20"/>
          <w:color w:val="auto"/>
        </w:rPr>
      </w:pPr>
    </w:p>
    <w:p>
      <w:pPr>
        <w:ind w:left="560" w:right="2399" w:hanging="284"/>
        <w:spacing w:after="0" w:line="257"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establishes the compensation of CEO (in consultation with independent directors and external compensation consultant) and other executive officers</w:t>
      </w:r>
    </w:p>
    <w:p>
      <w:pPr>
        <w:spacing w:after="0" w:line="16" w:lineRule="exact"/>
        <w:rPr>
          <w:rFonts w:ascii="Arial" w:cs="Arial" w:eastAsia="Arial" w:hAnsi="Arial"/>
          <w:sz w:val="14"/>
          <w:szCs w:val="14"/>
          <w:color w:val="auto"/>
        </w:rPr>
      </w:pPr>
    </w:p>
    <w:p>
      <w:pPr>
        <w:ind w:left="560" w:right="2639" w:hanging="284"/>
        <w:spacing w:after="0" w:line="271"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oversees global compensation philosophy and human management capital efforts, including DEI efforts</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6"/>
          <w:szCs w:val="16"/>
          <w:color w:val="auto"/>
        </w:rPr>
        <w:t>has authority to appoint or replace the compensation consultant</w:t>
      </w:r>
    </w:p>
    <w:p>
      <w:pPr>
        <w:spacing w:after="0" w:line="49" w:lineRule="exact"/>
        <w:rPr>
          <w:rFonts w:ascii="Arial" w:cs="Arial" w:eastAsia="Arial" w:hAnsi="Arial"/>
          <w:sz w:val="14"/>
          <w:szCs w:val="14"/>
          <w:color w:val="auto"/>
        </w:rPr>
      </w:pPr>
    </w:p>
    <w:p>
      <w:pPr>
        <w:jc w:val="both"/>
        <w:ind w:left="560" w:right="2399" w:hanging="284"/>
        <w:spacing w:after="0" w:line="257"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acts as the oversight committee with respect to the company’s deferred compensation plans, management stock plans, and other management incentive and benefit programs</w:t>
      </w:r>
    </w:p>
    <w:p>
      <w:pPr>
        <w:spacing w:after="0" w:line="16" w:lineRule="exact"/>
        <w:rPr>
          <w:rFonts w:ascii="Arial" w:cs="Arial" w:eastAsia="Arial" w:hAnsi="Arial"/>
          <w:sz w:val="14"/>
          <w:szCs w:val="14"/>
          <w:color w:val="auto"/>
        </w:rPr>
      </w:pPr>
    </w:p>
    <w:p>
      <w:pPr>
        <w:ind w:left="560" w:right="2479" w:hanging="284"/>
        <w:spacing w:after="0" w:line="313" w:lineRule="auto"/>
        <w:tabs>
          <w:tab w:leader="none" w:pos="550" w:val="left"/>
        </w:tabs>
        <w:numPr>
          <w:ilvl w:val="0"/>
          <w:numId w:val="87"/>
        </w:numPr>
        <w:rPr>
          <w:rFonts w:ascii="Arial" w:cs="Arial" w:eastAsia="Arial" w:hAnsi="Arial"/>
          <w:sz w:val="13"/>
          <w:szCs w:val="13"/>
          <w:color w:val="auto"/>
        </w:rPr>
      </w:pPr>
      <w:r>
        <w:rPr>
          <w:rFonts w:ascii="Arial" w:cs="Arial" w:eastAsia="Arial" w:hAnsi="Arial"/>
          <w:sz w:val="14"/>
          <w:szCs w:val="14"/>
          <w:color w:val="auto"/>
        </w:rPr>
        <w:t>reviews succession plans for the CEO and other key senior leadership positions, including a broad review of our succession management</w:t>
      </w:r>
    </w:p>
    <w:p>
      <w:pPr>
        <w:ind w:left="560" w:right="2439" w:hanging="284"/>
        <w:spacing w:after="0" w:line="257"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advises our management and the board regarding other human capital management, DEI efforts, and employee compensation and benefits matters</w:t>
      </w:r>
    </w:p>
    <w:p>
      <w:pPr>
        <w:spacing w:after="0" w:line="16" w:lineRule="exact"/>
        <w:rPr>
          <w:rFonts w:ascii="Arial" w:cs="Arial" w:eastAsia="Arial" w:hAnsi="Arial"/>
          <w:sz w:val="14"/>
          <w:szCs w:val="14"/>
          <w:color w:val="auto"/>
        </w:rPr>
      </w:pPr>
    </w:p>
    <w:p>
      <w:pPr>
        <w:ind w:left="560" w:right="2959" w:hanging="284"/>
        <w:spacing w:after="0" w:line="271"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reviews, monitors, and oversees stock ownership guidelines for executive officers</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6"/>
          <w:szCs w:val="16"/>
          <w:color w:val="auto"/>
        </w:rPr>
        <w:t>oversees the company’s executive compensation recovery policy</w:t>
      </w:r>
    </w:p>
    <w:p>
      <w:pPr>
        <w:spacing w:after="0" w:line="49" w:lineRule="exact"/>
        <w:rPr>
          <w:rFonts w:ascii="Arial" w:cs="Arial" w:eastAsia="Arial" w:hAnsi="Arial"/>
          <w:sz w:val="14"/>
          <w:szCs w:val="14"/>
          <w:color w:val="auto"/>
        </w:rPr>
      </w:pPr>
    </w:p>
    <w:p>
      <w:pPr>
        <w:ind w:left="560" w:right="2359" w:hanging="284"/>
        <w:spacing w:after="0" w:line="257" w:lineRule="auto"/>
        <w:tabs>
          <w:tab w:leader="none" w:pos="550" w:val="left"/>
        </w:tabs>
        <w:numPr>
          <w:ilvl w:val="0"/>
          <w:numId w:val="87"/>
        </w:numPr>
        <w:rPr>
          <w:rFonts w:ascii="Arial" w:cs="Arial" w:eastAsia="Arial" w:hAnsi="Arial"/>
          <w:sz w:val="14"/>
          <w:szCs w:val="14"/>
          <w:color w:val="auto"/>
        </w:rPr>
      </w:pPr>
      <w:r>
        <w:rPr>
          <w:rFonts w:ascii="Arial" w:cs="Arial" w:eastAsia="Arial" w:hAnsi="Arial"/>
          <w:sz w:val="16"/>
          <w:szCs w:val="16"/>
          <w:color w:val="auto"/>
        </w:rPr>
        <w:t>oversees the company’s engagement with shareholders regarding executive compensation matters, including reviewing and evaluating the results of advisory votes on executive compensation</w:t>
      </w:r>
    </w:p>
    <w:p>
      <w:pPr>
        <w:spacing w:after="0" w:line="200" w:lineRule="exact"/>
        <w:rPr>
          <w:sz w:val="20"/>
          <w:szCs w:val="20"/>
          <w:color w:val="auto"/>
        </w:rPr>
      </w:pPr>
    </w:p>
    <w:p>
      <w:pPr>
        <w:sectPr>
          <w:pgSz w:w="11900" w:h="16838" w:orient="portrait"/>
          <w:cols w:equalWidth="0" w:num="2">
            <w:col w:w="1560" w:space="720"/>
            <w:col w:w="7859"/>
          </w:cols>
          <w:pgMar w:left="320" w:top="863" w:right="1440" w:bottom="1440" w:gutter="0" w:footer="0" w:header="0"/>
          <w:type w:val="continuous"/>
        </w:sectPr>
      </w:pP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863" w:right="1440" w:bottom="1440" w:gutter="0" w:footer="0" w:header="0"/>
          <w:type w:val="continuous"/>
        </w:sectPr>
      </w:pPr>
    </w:p>
    <w:bookmarkStart w:id="35" w:name="page36"/>
    <w:bookmarkEnd w:id="35"/>
    <w:p>
      <w:pPr>
        <w:ind w:left="96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459740</wp:posOffset>
            </wp:positionV>
            <wp:extent cx="459740" cy="4076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9740" cy="407670"/>
                    </a:xfrm>
                    <a:prstGeom prst="rect">
                      <a:avLst/>
                    </a:prstGeom>
                    <a:noFill/>
                  </pic:spPr>
                </pic:pic>
              </a:graphicData>
            </a:graphic>
          </wp:anchor>
        </w:drawing>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-44450</wp:posOffset>
            </wp:positionV>
            <wp:extent cx="183959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39595" cy="7620"/>
                    </a:xfrm>
                    <a:prstGeom prst="rect">
                      <a:avLst/>
                    </a:prstGeom>
                    <a:noFill/>
                  </pic:spPr>
                </pic:pic>
              </a:graphicData>
            </a:graphic>
          </wp:anchor>
        </w:drawing>
      </w:r>
    </w:p>
    <w:p>
      <w:pPr>
        <w:sectPr>
          <w:pgSz w:w="11900" w:h="16838" w:orient="portrait"/>
          <w:cols w:equalWidth="0" w:num="1">
            <w:col w:w="10139"/>
          </w:cols>
          <w:pgMar w:left="320" w:top="915" w:right="1440"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16"/>
          <w:szCs w:val="16"/>
          <w:color w:val="auto"/>
        </w:rPr>
        <w:t>:</w:t>
      </w:r>
    </w:p>
    <w:p>
      <w:pPr>
        <w:spacing w:after="0" w:line="192" w:lineRule="exact"/>
        <w:rPr>
          <w:sz w:val="20"/>
          <w:szCs w:val="20"/>
          <w:color w:val="auto"/>
        </w:rPr>
      </w:pPr>
    </w:p>
    <w:p>
      <w:pPr>
        <w:ind w:left="200" w:hanging="121"/>
        <w:spacing w:after="0"/>
        <w:tabs>
          <w:tab w:leader="none" w:pos="2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Dr. Kaelin</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88"/>
        </w:numPr>
        <w:rPr>
          <w:rFonts w:ascii="Arial" w:cs="Arial" w:eastAsia="Arial" w:hAnsi="Arial"/>
          <w:sz w:val="13"/>
          <w:szCs w:val="13"/>
          <w:color w:val="auto"/>
        </w:rPr>
      </w:pPr>
      <w:r>
        <w:rPr>
          <w:rFonts w:ascii="Arial" w:cs="Arial" w:eastAsia="Arial" w:hAnsi="Arial"/>
          <w:sz w:val="14"/>
          <w:szCs w:val="14"/>
          <w:color w:val="auto"/>
        </w:rPr>
        <w:t>Mr. Luciano (Chair)</w:t>
      </w:r>
    </w:p>
    <w:p>
      <w:pPr>
        <w:spacing w:after="0" w:line="72" w:lineRule="exact"/>
        <w:rPr>
          <w:rFonts w:ascii="Arial" w:cs="Arial" w:eastAsia="Arial" w:hAnsi="Arial"/>
          <w:sz w:val="13"/>
          <w:szCs w:val="13"/>
          <w:color w:val="auto"/>
        </w:rPr>
      </w:pPr>
    </w:p>
    <w:p>
      <w:pPr>
        <w:ind w:left="200" w:hanging="121"/>
        <w:spacing w:after="0"/>
        <w:tabs>
          <w:tab w:leader="none" w:pos="2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Ms. Sulzberger</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Mr. Tai</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Meetings in 2022: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1242695</wp:posOffset>
            </wp:positionV>
            <wp:extent cx="459740" cy="4076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 and areas of risk oversight:</w:t>
      </w:r>
    </w:p>
    <w:p>
      <w:pPr>
        <w:spacing w:after="0" w:line="52" w:lineRule="exact"/>
        <w:rPr>
          <w:sz w:val="20"/>
          <w:szCs w:val="20"/>
          <w:color w:val="auto"/>
        </w:rPr>
      </w:pPr>
    </w:p>
    <w:p>
      <w:pPr>
        <w:ind w:left="560" w:right="2479" w:hanging="284"/>
        <w:spacing w:after="0" w:line="271" w:lineRule="auto"/>
        <w:tabs>
          <w:tab w:leader="none" w:pos="550" w:val="left"/>
        </w:tabs>
        <w:numPr>
          <w:ilvl w:val="0"/>
          <w:numId w:val="89"/>
        </w:numPr>
        <w:rPr>
          <w:rFonts w:ascii="Arial" w:cs="Arial" w:eastAsia="Arial" w:hAnsi="Arial"/>
          <w:sz w:val="14"/>
          <w:szCs w:val="14"/>
          <w:color w:val="auto"/>
        </w:rPr>
      </w:pPr>
      <w:r>
        <w:rPr>
          <w:rFonts w:ascii="Arial" w:cs="Arial" w:eastAsia="Arial" w:hAnsi="Arial"/>
          <w:sz w:val="16"/>
          <w:szCs w:val="16"/>
          <w:color w:val="auto"/>
        </w:rPr>
        <w:t>reviews and recommends to the board the size and composition of the board and its committees</w:t>
      </w:r>
    </w:p>
    <w:p>
      <w:pPr>
        <w:spacing w:after="0" w:line="5" w:lineRule="exact"/>
        <w:rPr>
          <w:rFonts w:ascii="Arial" w:cs="Arial" w:eastAsia="Arial" w:hAnsi="Arial"/>
          <w:sz w:val="14"/>
          <w:szCs w:val="14"/>
          <w:color w:val="auto"/>
        </w:rPr>
      </w:pPr>
    </w:p>
    <w:p>
      <w:pPr>
        <w:ind w:left="560" w:right="2899" w:hanging="284"/>
        <w:spacing w:after="0" w:line="271" w:lineRule="auto"/>
        <w:tabs>
          <w:tab w:leader="none" w:pos="550" w:val="left"/>
        </w:tabs>
        <w:numPr>
          <w:ilvl w:val="0"/>
          <w:numId w:val="89"/>
        </w:numPr>
        <w:rPr>
          <w:rFonts w:ascii="Arial" w:cs="Arial" w:eastAsia="Arial" w:hAnsi="Arial"/>
          <w:sz w:val="14"/>
          <w:szCs w:val="14"/>
          <w:color w:val="auto"/>
        </w:rPr>
      </w:pPr>
      <w:r>
        <w:rPr>
          <w:rFonts w:ascii="Arial" w:cs="Arial" w:eastAsia="Arial" w:hAnsi="Arial"/>
          <w:sz w:val="16"/>
          <w:szCs w:val="16"/>
          <w:color w:val="auto"/>
        </w:rPr>
        <w:t>leads the process for director recruitment, together with the lead independent director</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6"/>
          <w:szCs w:val="16"/>
          <w:color w:val="auto"/>
        </w:rPr>
        <w:t>reviews recommendations for nominees for the board of directors</w:t>
      </w:r>
    </w:p>
    <w:p>
      <w:pPr>
        <w:spacing w:after="0" w:line="49" w:lineRule="exact"/>
        <w:rPr>
          <w:rFonts w:ascii="Arial" w:cs="Arial" w:eastAsia="Arial" w:hAnsi="Arial"/>
          <w:sz w:val="14"/>
          <w:szCs w:val="14"/>
          <w:color w:val="auto"/>
        </w:rPr>
      </w:pPr>
    </w:p>
    <w:p>
      <w:pPr>
        <w:ind w:left="560" w:right="2419" w:hanging="284"/>
        <w:spacing w:after="0" w:line="252" w:lineRule="auto"/>
        <w:tabs>
          <w:tab w:leader="none" w:pos="550" w:val="left"/>
        </w:tabs>
        <w:numPr>
          <w:ilvl w:val="0"/>
          <w:numId w:val="89"/>
        </w:numPr>
        <w:rPr>
          <w:rFonts w:ascii="Arial" w:cs="Arial" w:eastAsia="Arial" w:hAnsi="Arial"/>
          <w:sz w:val="14"/>
          <w:szCs w:val="14"/>
          <w:color w:val="auto"/>
        </w:rPr>
      </w:pPr>
      <w:r>
        <w:rPr>
          <w:rFonts w:ascii="Arial" w:cs="Arial" w:eastAsia="Arial" w:hAnsi="Arial"/>
          <w:sz w:val="16"/>
          <w:szCs w:val="16"/>
          <w:color w:val="auto"/>
        </w:rPr>
        <w:t>oversees matters of corporate governance, including board performance, non-employee director independence and compensation, corporate governance guidelines, and shareholder engagement on governance matters</w:t>
      </w:r>
    </w:p>
    <w:p>
      <w:pPr>
        <w:spacing w:after="0" w:line="21" w:lineRule="exact"/>
        <w:rPr>
          <w:rFonts w:ascii="Arial" w:cs="Arial" w:eastAsia="Arial" w:hAnsi="Arial"/>
          <w:sz w:val="14"/>
          <w:szCs w:val="14"/>
          <w:color w:val="auto"/>
        </w:rPr>
      </w:pPr>
    </w:p>
    <w:p>
      <w:pPr>
        <w:ind w:left="560" w:right="2419" w:hanging="284"/>
        <w:spacing w:after="0" w:line="252" w:lineRule="auto"/>
        <w:tabs>
          <w:tab w:leader="none" w:pos="550" w:val="left"/>
        </w:tabs>
        <w:numPr>
          <w:ilvl w:val="0"/>
          <w:numId w:val="89"/>
        </w:numPr>
        <w:rPr>
          <w:rFonts w:ascii="Arial" w:cs="Arial" w:eastAsia="Arial" w:hAnsi="Arial"/>
          <w:sz w:val="14"/>
          <w:szCs w:val="14"/>
          <w:color w:val="auto"/>
        </w:rPr>
      </w:pPr>
      <w:r>
        <w:rPr>
          <w:rFonts w:ascii="Arial" w:cs="Arial" w:eastAsia="Arial" w:hAnsi="Arial"/>
          <w:sz w:val="16"/>
          <w:szCs w:val="16"/>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21" w:lineRule="exact"/>
        <w:rPr>
          <w:rFonts w:ascii="Arial" w:cs="Arial" w:eastAsia="Arial" w:hAnsi="Arial"/>
          <w:sz w:val="14"/>
          <w:szCs w:val="14"/>
          <w:color w:val="auto"/>
        </w:rPr>
      </w:pPr>
    </w:p>
    <w:p>
      <w:pPr>
        <w:ind w:left="560" w:right="2359" w:hanging="284"/>
        <w:spacing w:after="0" w:line="271" w:lineRule="auto"/>
        <w:tabs>
          <w:tab w:leader="none" w:pos="550" w:val="left"/>
        </w:tabs>
        <w:numPr>
          <w:ilvl w:val="0"/>
          <w:numId w:val="89"/>
        </w:numPr>
        <w:rPr>
          <w:rFonts w:ascii="Arial" w:cs="Arial" w:eastAsia="Arial" w:hAnsi="Arial"/>
          <w:sz w:val="14"/>
          <w:szCs w:val="14"/>
          <w:color w:val="auto"/>
        </w:rPr>
      </w:pPr>
      <w:r>
        <w:rPr>
          <w:rFonts w:ascii="Arial" w:cs="Arial" w:eastAsia="Arial" w:hAnsi="Arial"/>
          <w:sz w:val="16"/>
          <w:szCs w:val="16"/>
          <w:color w:val="auto"/>
        </w:rPr>
        <w:t>annually assesses the performance of the board, board committees and board processes, and reviews such findings with the board</w:t>
      </w:r>
    </w:p>
    <w:p>
      <w:pPr>
        <w:spacing w:after="0" w:line="200" w:lineRule="exact"/>
        <w:rPr>
          <w:sz w:val="20"/>
          <w:szCs w:val="20"/>
          <w:color w:val="auto"/>
        </w:rPr>
      </w:pPr>
    </w:p>
    <w:p>
      <w:pPr>
        <w:sectPr>
          <w:pgSz w:w="11900" w:h="16838" w:orient="portrait"/>
          <w:cols w:equalWidth="0" w:num="2">
            <w:col w:w="1560" w:space="720"/>
            <w:col w:w="7859"/>
          </w:cols>
          <w:pgMar w:left="320" w:top="915" w:right="1440" w:bottom="1440" w:gutter="0" w:footer="0" w:header="0"/>
          <w:type w:val="continuous"/>
        </w:sectPr>
      </w:pPr>
    </w:p>
    <w:p>
      <w:pPr>
        <w:spacing w:after="0" w:line="268"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D52B1E"/>
        </w:rPr>
        <w:t>Ethics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-44450</wp:posOffset>
            </wp:positionV>
            <wp:extent cx="247777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77770" cy="7620"/>
                    </a:xfrm>
                    <a:prstGeom prst="rect">
                      <a:avLst/>
                    </a:prstGeom>
                    <a:noFill/>
                  </pic:spPr>
                </pic:pic>
              </a:graphicData>
            </a:graphic>
          </wp:anchor>
        </w:drawing>
      </w:r>
    </w:p>
    <w:p>
      <w:pPr>
        <w:sectPr>
          <w:pgSz w:w="11900" w:h="16838" w:orient="portrait"/>
          <w:cols w:equalWidth="0" w:num="1">
            <w:col w:w="10139"/>
          </w:cols>
          <w:pgMar w:left="320" w:top="915" w:right="1440" w:bottom="1440" w:gutter="0" w:footer="0" w:header="0"/>
          <w:type w:val="continuous"/>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16"/>
          <w:szCs w:val="16"/>
          <w:color w:val="auto"/>
        </w:rPr>
        <w:t>:</w:t>
      </w:r>
    </w:p>
    <w:p>
      <w:pPr>
        <w:spacing w:after="0" w:line="192" w:lineRule="exact"/>
        <w:rPr>
          <w:sz w:val="20"/>
          <w:szCs w:val="20"/>
          <w:color w:val="auto"/>
        </w:rPr>
      </w:pPr>
    </w:p>
    <w:p>
      <w:pPr>
        <w:ind w:left="200" w:hanging="121"/>
        <w:spacing w:after="0"/>
        <w:tabs>
          <w:tab w:leader="none" w:pos="200" w:val="left"/>
        </w:tabs>
        <w:numPr>
          <w:ilvl w:val="0"/>
          <w:numId w:val="90"/>
        </w:numPr>
        <w:rPr>
          <w:rFonts w:ascii="Arial" w:cs="Arial" w:eastAsia="Arial" w:hAnsi="Arial"/>
          <w:sz w:val="13"/>
          <w:szCs w:val="13"/>
          <w:color w:val="auto"/>
        </w:rPr>
      </w:pPr>
      <w:r>
        <w:rPr>
          <w:rFonts w:ascii="Arial" w:cs="Arial" w:eastAsia="Arial" w:hAnsi="Arial"/>
          <w:sz w:val="14"/>
          <w:szCs w:val="14"/>
          <w:color w:val="auto"/>
        </w:rPr>
        <w:t>Dr. Baicker (Chair)</w:t>
      </w:r>
    </w:p>
    <w:p>
      <w:pPr>
        <w:spacing w:after="0" w:line="72" w:lineRule="exact"/>
        <w:rPr>
          <w:rFonts w:ascii="Arial" w:cs="Arial" w:eastAsia="Arial" w:hAnsi="Arial"/>
          <w:sz w:val="13"/>
          <w:szCs w:val="13"/>
          <w:color w:val="auto"/>
        </w:rPr>
      </w:pPr>
    </w:p>
    <w:p>
      <w:pPr>
        <w:ind w:left="200" w:hanging="121"/>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Dr. Hedley</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Mr. Jackson</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Ms. Johnson</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Dr. Runge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330200</wp:posOffset>
            </wp:positionV>
            <wp:extent cx="459740" cy="4076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 and areas of risk oversight:</w:t>
      </w:r>
    </w:p>
    <w:p>
      <w:pPr>
        <w:spacing w:after="0" w:line="52" w:lineRule="exact"/>
        <w:rPr>
          <w:sz w:val="20"/>
          <w:szCs w:val="20"/>
          <w:color w:val="auto"/>
        </w:rPr>
      </w:pPr>
    </w:p>
    <w:p>
      <w:pPr>
        <w:ind w:left="560" w:right="2479" w:hanging="284"/>
        <w:spacing w:after="0" w:line="252" w:lineRule="auto"/>
        <w:tabs>
          <w:tab w:leader="none" w:pos="550" w:val="left"/>
        </w:tabs>
        <w:numPr>
          <w:ilvl w:val="0"/>
          <w:numId w:val="91"/>
        </w:numPr>
        <w:rPr>
          <w:rFonts w:ascii="Arial" w:cs="Arial" w:eastAsia="Arial" w:hAnsi="Arial"/>
          <w:sz w:val="14"/>
          <w:szCs w:val="14"/>
          <w:color w:val="auto"/>
        </w:rPr>
      </w:pPr>
      <w:r>
        <w:rPr>
          <w:rFonts w:ascii="Arial" w:cs="Arial" w:eastAsia="Arial" w:hAnsi="Arial"/>
          <w:sz w:val="16"/>
          <w:szCs w:val="16"/>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21" w:lineRule="exact"/>
        <w:rPr>
          <w:rFonts w:ascii="Arial" w:cs="Arial" w:eastAsia="Arial" w:hAnsi="Arial"/>
          <w:sz w:val="14"/>
          <w:szCs w:val="14"/>
          <w:color w:val="auto"/>
        </w:rPr>
      </w:pPr>
    </w:p>
    <w:p>
      <w:pPr>
        <w:ind w:left="560" w:right="2459" w:hanging="284"/>
        <w:spacing w:after="0" w:line="257" w:lineRule="auto"/>
        <w:tabs>
          <w:tab w:leader="none" w:pos="550" w:val="left"/>
        </w:tabs>
        <w:numPr>
          <w:ilvl w:val="0"/>
          <w:numId w:val="91"/>
        </w:numPr>
        <w:rPr>
          <w:rFonts w:ascii="Arial" w:cs="Arial" w:eastAsia="Arial" w:hAnsi="Arial"/>
          <w:sz w:val="14"/>
          <w:szCs w:val="14"/>
          <w:color w:val="auto"/>
        </w:rPr>
      </w:pPr>
      <w:r>
        <w:rPr>
          <w:rFonts w:ascii="Arial" w:cs="Arial" w:eastAsia="Arial" w:hAnsi="Arial"/>
          <w:sz w:val="16"/>
          <w:szCs w:val="16"/>
          <w:color w:val="auto"/>
        </w:rPr>
        <w:t>reviews, monitors, and makes recommendations to the board on corporate policies and practices related to compliance, including those related to employee health and safety</w:t>
      </w:r>
    </w:p>
    <w:p>
      <w:pPr>
        <w:spacing w:after="0" w:line="16" w:lineRule="exact"/>
        <w:rPr>
          <w:rFonts w:ascii="Arial" w:cs="Arial" w:eastAsia="Arial" w:hAnsi="Arial"/>
          <w:sz w:val="14"/>
          <w:szCs w:val="14"/>
          <w:color w:val="auto"/>
        </w:rPr>
      </w:pPr>
    </w:p>
    <w:p>
      <w:pPr>
        <w:ind w:left="560" w:right="2539" w:hanging="284"/>
        <w:spacing w:after="0" w:line="257" w:lineRule="auto"/>
        <w:tabs>
          <w:tab w:leader="none" w:pos="550" w:val="left"/>
        </w:tabs>
        <w:numPr>
          <w:ilvl w:val="0"/>
          <w:numId w:val="91"/>
        </w:numPr>
        <w:rPr>
          <w:rFonts w:ascii="Arial" w:cs="Arial" w:eastAsia="Arial" w:hAnsi="Arial"/>
          <w:sz w:val="14"/>
          <w:szCs w:val="14"/>
          <w:color w:val="auto"/>
        </w:rPr>
      </w:pPr>
      <w:r>
        <w:rPr>
          <w:rFonts w:ascii="Arial" w:cs="Arial" w:eastAsia="Arial" w:hAnsi="Arial"/>
          <w:sz w:val="16"/>
          <w:szCs w:val="16"/>
          <w:color w:val="auto"/>
        </w:rPr>
        <w:t>together with the audit committee, assists the board in its oversight of legal and regulatory compliance and oversees the company’s compliance with its code of ethics</w:t>
      </w:r>
    </w:p>
    <w:p>
      <w:pPr>
        <w:spacing w:after="0" w:line="200" w:lineRule="exact"/>
        <w:rPr>
          <w:sz w:val="20"/>
          <w:szCs w:val="20"/>
          <w:color w:val="auto"/>
        </w:rPr>
      </w:pPr>
    </w:p>
    <w:p>
      <w:pPr>
        <w:sectPr>
          <w:pgSz w:w="11900" w:h="16838" w:orient="portrait"/>
          <w:cols w:equalWidth="0" w:num="2">
            <w:col w:w="1560" w:space="720"/>
            <w:col w:w="7859"/>
          </w:cols>
          <w:pgMar w:left="320" w:top="915" w:right="1440" w:bottom="1440" w:gutter="0" w:footer="0" w:header="0"/>
          <w:type w:val="continuous"/>
        </w:sectPr>
      </w:pPr>
    </w:p>
    <w:p>
      <w:pPr>
        <w:spacing w:after="0" w:line="151"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D52B1E"/>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-44450</wp:posOffset>
            </wp:positionV>
            <wp:extent cx="247777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77770" cy="7620"/>
                    </a:xfrm>
                    <a:prstGeom prst="rect">
                      <a:avLst/>
                    </a:prstGeom>
                    <a:noFill/>
                  </pic:spPr>
                </pic:pic>
              </a:graphicData>
            </a:graphic>
          </wp:anchor>
        </w:drawing>
      </w:r>
    </w:p>
    <w:p>
      <w:pPr>
        <w:sectPr>
          <w:pgSz w:w="11900" w:h="16838" w:orient="portrait"/>
          <w:cols w:equalWidth="0" w:num="1">
            <w:col w:w="10139"/>
          </w:cols>
          <w:pgMar w:left="320" w:top="915" w:right="1440"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16"/>
          <w:szCs w:val="16"/>
          <w:color w:val="auto"/>
        </w:rPr>
        <w:t>:</w:t>
      </w:r>
    </w:p>
    <w:p>
      <w:pPr>
        <w:spacing w:after="0" w:line="192" w:lineRule="exact"/>
        <w:rPr>
          <w:sz w:val="20"/>
          <w:szCs w:val="20"/>
          <w:color w:val="auto"/>
        </w:rPr>
      </w:pPr>
    </w:p>
    <w:p>
      <w:pPr>
        <w:ind w:left="200" w:hanging="121"/>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6"/>
          <w:szCs w:val="16"/>
          <w:color w:val="auto"/>
        </w:rPr>
        <w:t>Dr. Baicker</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6"/>
          <w:szCs w:val="16"/>
          <w:color w:val="auto"/>
        </w:rPr>
        <w:t>Mr. Fyrwald</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6"/>
          <w:szCs w:val="16"/>
          <w:color w:val="auto"/>
        </w:rPr>
        <w:t>Dr. Hedley</w:t>
      </w:r>
    </w:p>
    <w:p>
      <w:pPr>
        <w:spacing w:after="0" w:line="49" w:lineRule="exact"/>
        <w:rPr>
          <w:rFonts w:ascii="Arial" w:cs="Arial" w:eastAsia="Arial" w:hAnsi="Arial"/>
          <w:sz w:val="14"/>
          <w:szCs w:val="14"/>
          <w:color w:val="auto"/>
        </w:rPr>
      </w:pPr>
    </w:p>
    <w:p>
      <w:pPr>
        <w:ind w:left="200" w:hanging="121"/>
        <w:spacing w:after="0"/>
        <w:tabs>
          <w:tab w:leader="none" w:pos="200" w:val="left"/>
        </w:tabs>
        <w:numPr>
          <w:ilvl w:val="0"/>
          <w:numId w:val="92"/>
        </w:numPr>
        <w:rPr>
          <w:rFonts w:ascii="Arial" w:cs="Arial" w:eastAsia="Arial" w:hAnsi="Arial"/>
          <w:sz w:val="13"/>
          <w:szCs w:val="13"/>
          <w:color w:val="auto"/>
        </w:rPr>
      </w:pPr>
      <w:r>
        <w:rPr>
          <w:rFonts w:ascii="Arial" w:cs="Arial" w:eastAsia="Arial" w:hAnsi="Arial"/>
          <w:sz w:val="14"/>
          <w:szCs w:val="14"/>
          <w:color w:val="auto"/>
        </w:rPr>
        <w:t>Dr. Kaelin (Chair)</w:t>
      </w:r>
    </w:p>
    <w:p>
      <w:pPr>
        <w:spacing w:after="0" w:line="72" w:lineRule="exact"/>
        <w:rPr>
          <w:rFonts w:ascii="Arial" w:cs="Arial" w:eastAsia="Arial" w:hAnsi="Arial"/>
          <w:sz w:val="13"/>
          <w:szCs w:val="13"/>
          <w:color w:val="auto"/>
        </w:rPr>
      </w:pPr>
    </w:p>
    <w:p>
      <w:pPr>
        <w:ind w:left="200" w:hanging="121"/>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6"/>
          <w:szCs w:val="16"/>
          <w:color w:val="auto"/>
        </w:rPr>
        <w:t>Dr. Runge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Meetings in 2022: 7</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 and areas of risk oversight:</w:t>
      </w:r>
    </w:p>
    <w:p>
      <w:pPr>
        <w:spacing w:after="0" w:line="52" w:lineRule="exact"/>
        <w:rPr>
          <w:sz w:val="20"/>
          <w:szCs w:val="20"/>
          <w:color w:val="auto"/>
        </w:rPr>
      </w:pPr>
    </w:p>
    <w:p>
      <w:pPr>
        <w:ind w:left="560" w:right="2759" w:hanging="284"/>
        <w:spacing w:after="0" w:line="257" w:lineRule="auto"/>
        <w:tabs>
          <w:tab w:leader="none" w:pos="550" w:val="left"/>
        </w:tabs>
        <w:numPr>
          <w:ilvl w:val="0"/>
          <w:numId w:val="93"/>
        </w:numPr>
        <w:rPr>
          <w:rFonts w:ascii="Arial" w:cs="Arial" w:eastAsia="Arial" w:hAnsi="Arial"/>
          <w:sz w:val="14"/>
          <w:szCs w:val="14"/>
          <w:color w:val="auto"/>
        </w:rPr>
      </w:pPr>
      <w:r>
        <w:rPr>
          <w:rFonts w:ascii="Arial" w:cs="Arial" w:eastAsia="Arial" w:hAnsi="Arial"/>
          <w:sz w:val="16"/>
          <w:szCs w:val="16"/>
          <w:color w:val="auto"/>
        </w:rPr>
        <w:t>reviews and advises the board regarding the company’s long-term strategic goals and objectives and the quality and direction of the company’s research and development programs</w:t>
      </w:r>
    </w:p>
    <w:p>
      <w:pPr>
        <w:spacing w:after="0" w:line="16" w:lineRule="exact"/>
        <w:rPr>
          <w:rFonts w:ascii="Arial" w:cs="Arial" w:eastAsia="Arial" w:hAnsi="Arial"/>
          <w:sz w:val="14"/>
          <w:szCs w:val="14"/>
          <w:color w:val="auto"/>
        </w:rPr>
      </w:pPr>
    </w:p>
    <w:p>
      <w:pPr>
        <w:ind w:left="560" w:right="2699" w:hanging="284"/>
        <w:spacing w:after="0" w:line="252" w:lineRule="auto"/>
        <w:tabs>
          <w:tab w:leader="none" w:pos="550" w:val="left"/>
        </w:tabs>
        <w:numPr>
          <w:ilvl w:val="0"/>
          <w:numId w:val="93"/>
        </w:numPr>
        <w:rPr>
          <w:rFonts w:ascii="Arial" w:cs="Arial" w:eastAsia="Arial" w:hAnsi="Arial"/>
          <w:sz w:val="14"/>
          <w:szCs w:val="14"/>
          <w:color w:val="auto"/>
        </w:rPr>
      </w:pPr>
      <w:r>
        <w:rPr>
          <w:rFonts w:ascii="Arial" w:cs="Arial" w:eastAsia="Arial" w:hAnsi="Arial"/>
          <w:sz w:val="16"/>
          <w:szCs w:val="16"/>
          <w:color w:val="auto"/>
        </w:rPr>
        <w:t>reviews and advises the board and management on the company’s major technology positions and strategies relative to emerging technologies, emerging concepts of therapy and health care, and changing market requirements</w:t>
      </w:r>
    </w:p>
    <w:p>
      <w:pPr>
        <w:spacing w:after="0" w:line="21" w:lineRule="exact"/>
        <w:rPr>
          <w:rFonts w:ascii="Arial" w:cs="Arial" w:eastAsia="Arial" w:hAnsi="Arial"/>
          <w:sz w:val="14"/>
          <w:szCs w:val="14"/>
          <w:color w:val="auto"/>
        </w:rPr>
      </w:pPr>
    </w:p>
    <w:p>
      <w:pPr>
        <w:ind w:left="560" w:right="2739" w:hanging="284"/>
        <w:spacing w:after="0" w:line="271" w:lineRule="auto"/>
        <w:tabs>
          <w:tab w:leader="none" w:pos="550" w:val="left"/>
        </w:tabs>
        <w:numPr>
          <w:ilvl w:val="0"/>
          <w:numId w:val="93"/>
        </w:numPr>
        <w:rPr>
          <w:rFonts w:ascii="Arial" w:cs="Arial" w:eastAsia="Arial" w:hAnsi="Arial"/>
          <w:sz w:val="14"/>
          <w:szCs w:val="14"/>
          <w:color w:val="auto"/>
        </w:rPr>
      </w:pPr>
      <w:r>
        <w:rPr>
          <w:rFonts w:ascii="Arial" w:cs="Arial" w:eastAsia="Arial" w:hAnsi="Arial"/>
          <w:sz w:val="16"/>
          <w:szCs w:val="16"/>
          <w:color w:val="auto"/>
        </w:rPr>
        <w:t>monitors and evaluates developments, technologies, and trends in pharmaceutical research and development</w:t>
      </w:r>
    </w:p>
    <w:p>
      <w:pPr>
        <w:spacing w:after="0" w:line="5" w:lineRule="exact"/>
        <w:rPr>
          <w:rFonts w:ascii="Arial" w:cs="Arial" w:eastAsia="Arial" w:hAnsi="Arial"/>
          <w:sz w:val="14"/>
          <w:szCs w:val="14"/>
          <w:color w:val="auto"/>
        </w:rPr>
      </w:pPr>
    </w:p>
    <w:p>
      <w:pPr>
        <w:ind w:left="540" w:hanging="264"/>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6"/>
          <w:szCs w:val="16"/>
          <w:color w:val="auto"/>
        </w:rPr>
        <w:t>regularly reviews the company’s product pipeline</w:t>
      </w:r>
    </w:p>
    <w:p>
      <w:pPr>
        <w:spacing w:after="0" w:line="49" w:lineRule="exact"/>
        <w:rPr>
          <w:rFonts w:ascii="Arial" w:cs="Arial" w:eastAsia="Arial" w:hAnsi="Arial"/>
          <w:sz w:val="14"/>
          <w:szCs w:val="14"/>
          <w:color w:val="auto"/>
        </w:rPr>
      </w:pPr>
    </w:p>
    <w:p>
      <w:pPr>
        <w:ind w:left="560" w:right="2759" w:hanging="284"/>
        <w:spacing w:after="0" w:line="257" w:lineRule="auto"/>
        <w:tabs>
          <w:tab w:leader="none" w:pos="550" w:val="left"/>
        </w:tabs>
        <w:numPr>
          <w:ilvl w:val="0"/>
          <w:numId w:val="93"/>
        </w:numPr>
        <w:rPr>
          <w:rFonts w:ascii="Arial" w:cs="Arial" w:eastAsia="Arial" w:hAnsi="Arial"/>
          <w:sz w:val="14"/>
          <w:szCs w:val="14"/>
          <w:color w:val="auto"/>
        </w:rPr>
      </w:pPr>
      <w:r>
        <w:rPr>
          <w:rFonts w:ascii="Arial" w:cs="Arial" w:eastAsia="Arial" w:hAnsi="Arial"/>
          <w:sz w:val="16"/>
          <w:szCs w:val="16"/>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ectPr>
          <w:pgSz w:w="11900" w:h="16838" w:orient="portrait"/>
          <w:cols w:equalWidth="0" w:num="2">
            <w:col w:w="1560" w:space="720"/>
            <w:col w:w="7859"/>
          </w:cols>
          <w:pgMar w:left="320" w:top="915" w:right="1440" w:bottom="1440" w:gutter="0" w:footer="0" w:header="0"/>
          <w:type w:val="continuous"/>
        </w:sect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915"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5" w:lineRule="exact"/>
        <w:rPr>
          <w:sz w:val="20"/>
          <w:szCs w:val="20"/>
          <w:color w:val="auto"/>
        </w:rPr>
      </w:pPr>
    </w:p>
    <w:p>
      <w:pPr>
        <w:ind w:right="720"/>
        <w:spacing w:after="0" w:line="252" w:lineRule="auto"/>
        <w:rPr>
          <w:sz w:val="20"/>
          <w:szCs w:val="20"/>
          <w:color w:val="auto"/>
        </w:rPr>
      </w:pPr>
      <w:r>
        <w:rPr>
          <w:rFonts w:ascii="Arial" w:cs="Arial" w:eastAsia="Arial" w:hAnsi="Arial"/>
          <w:sz w:val="16"/>
          <w:szCs w:val="16"/>
          <w:color w:val="auto"/>
        </w:rPr>
        <w:t>During the year ended December 31, 2022, Mr. Alvarez, Mr. Fyrwald, Ms. Johnson, Mr. Luciano, and Ms. Walker served on the Talent and Compensation Committee.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None of the Talent and Compensation Committee members:</w:t>
      </w:r>
    </w:p>
    <w:p>
      <w:pPr>
        <w:spacing w:after="0" w:line="50" w:lineRule="exact"/>
        <w:rPr>
          <w:sz w:val="20"/>
          <w:szCs w:val="20"/>
          <w:color w:val="auto"/>
        </w:rPr>
      </w:pPr>
    </w:p>
    <w:p>
      <w:pPr>
        <w:ind w:left="540" w:hanging="266"/>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has ever been an officer or employee of the company,</w:t>
      </w:r>
    </w:p>
    <w:p>
      <w:pPr>
        <w:spacing w:after="0" w:line="49" w:lineRule="exact"/>
        <w:rPr>
          <w:rFonts w:ascii="Arial" w:cs="Arial" w:eastAsia="Arial" w:hAnsi="Arial"/>
          <w:sz w:val="14"/>
          <w:szCs w:val="14"/>
          <w:color w:val="auto"/>
        </w:rPr>
      </w:pPr>
    </w:p>
    <w:p>
      <w:pPr>
        <w:jc w:val="both"/>
        <w:ind w:left="560" w:right="20" w:hanging="286"/>
        <w:spacing w:after="0" w:line="257" w:lineRule="auto"/>
        <w:tabs>
          <w:tab w:leader="none" w:pos="550" w:val="left"/>
        </w:tabs>
        <w:numPr>
          <w:ilvl w:val="0"/>
          <w:numId w:val="94"/>
        </w:numPr>
        <w:rPr>
          <w:rFonts w:ascii="Arial" w:cs="Arial" w:eastAsia="Arial" w:hAnsi="Arial"/>
          <w:sz w:val="14"/>
          <w:szCs w:val="14"/>
          <w:color w:val="auto"/>
        </w:rPr>
      </w:pPr>
      <w:r>
        <w:rPr>
          <w:rFonts w:ascii="Arial" w:cs="Arial" w:eastAsia="Arial" w:hAnsi="Arial"/>
          <w:sz w:val="16"/>
          <w:szCs w:val="16"/>
          <w:color w:val="auto"/>
        </w:rPr>
        <w:t>is or has been a participant in a related person transaction with the company (see “</w:t>
      </w:r>
      <w:r>
        <w:rPr>
          <w:rFonts w:ascii="Arial" w:cs="Arial" w:eastAsia="Arial" w:hAnsi="Arial"/>
          <w:sz w:val="16"/>
          <w:szCs w:val="16"/>
          <w:u w:val="single" w:color="auto"/>
          <w:color w:val="0000FF"/>
        </w:rPr>
        <w:t>Governance—How We Operate an Effective Board—Board Alignment—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Conflicts of Interest and Transactions with Related Persons—Review and Approval of Transactions with Related Persons</w:t>
      </w:r>
      <w:r>
        <w:rPr>
          <w:rFonts w:ascii="Arial" w:cs="Arial" w:eastAsia="Arial" w:hAnsi="Arial"/>
          <w:sz w:val="16"/>
          <w:szCs w:val="16"/>
          <w:color w:val="000000"/>
        </w:rPr>
        <w:t>” for a description of our policy on</w:t>
      </w:r>
      <w:r>
        <w:rPr>
          <w:rFonts w:ascii="Arial" w:cs="Arial" w:eastAsia="Arial" w:hAnsi="Arial"/>
          <w:sz w:val="16"/>
          <w:szCs w:val="16"/>
          <w:color w:val="0000FF"/>
        </w:rPr>
        <w:t xml:space="preserve"> </w:t>
      </w:r>
      <w:r>
        <w:rPr>
          <w:rFonts w:ascii="Arial" w:cs="Arial" w:eastAsia="Arial" w:hAnsi="Arial"/>
          <w:sz w:val="16"/>
          <w:szCs w:val="16"/>
          <w:color w:val="000000"/>
        </w:rPr>
        <w:t>related person transactions), or</w:t>
      </w:r>
    </w:p>
    <w:p>
      <w:pPr>
        <w:spacing w:after="0" w:line="16" w:lineRule="exact"/>
        <w:rPr>
          <w:rFonts w:ascii="Arial" w:cs="Arial" w:eastAsia="Arial" w:hAnsi="Arial"/>
          <w:sz w:val="14"/>
          <w:szCs w:val="14"/>
          <w:color w:val="auto"/>
        </w:rPr>
      </w:pPr>
    </w:p>
    <w:p>
      <w:pPr>
        <w:ind w:left="540" w:hanging="266"/>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has any other interlocking relationships requiring disclosure under applicable SEC rules.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Governance Practices</w:t>
      </w:r>
    </w:p>
    <w:p>
      <w:pPr>
        <w:spacing w:after="0" w:line="6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We are committed to good corporate governance, which promotes the long-term interests of shareholders and other company stakeholders, builds confidence in our leadership, and strengthens accountability by the board and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Oversight</w:t>
      </w:r>
    </w:p>
    <w:p>
      <w:pPr>
        <w:spacing w:after="0" w:line="15"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board exercises oversight over a broad range of areas, but the board’s key responsibilities include the following (certain of which are carried out through the board’s committees):</w:t>
      </w:r>
    </w:p>
    <w:p>
      <w:pPr>
        <w:spacing w:after="0" w:line="20" w:lineRule="exact"/>
        <w:rPr>
          <w:sz w:val="20"/>
          <w:szCs w:val="20"/>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providing general oversight of the business</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approving corporate strategy</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approving major management initiatives</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overseeing significant capital allocation</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selecting, compensating, evaluating, and, when necessary, replacing the CEO, and compensating other senior executives</w:t>
      </w:r>
    </w:p>
    <w:p>
      <w:pPr>
        <w:spacing w:after="0" w:line="49" w:lineRule="exact"/>
        <w:rPr>
          <w:rFonts w:ascii="Arial" w:cs="Arial" w:eastAsia="Arial" w:hAnsi="Arial"/>
          <w:sz w:val="14"/>
          <w:szCs w:val="14"/>
          <w:color w:val="auto"/>
        </w:rPr>
      </w:pPr>
    </w:p>
    <w:p>
      <w:pPr>
        <w:ind w:left="560" w:right="620" w:hanging="286"/>
        <w:spacing w:after="0" w:line="271" w:lineRule="auto"/>
        <w:tabs>
          <w:tab w:leader="none" w:pos="550" w:val="left"/>
        </w:tabs>
        <w:numPr>
          <w:ilvl w:val="0"/>
          <w:numId w:val="95"/>
        </w:numPr>
        <w:rPr>
          <w:rFonts w:ascii="Arial" w:cs="Arial" w:eastAsia="Arial" w:hAnsi="Arial"/>
          <w:sz w:val="14"/>
          <w:szCs w:val="14"/>
          <w:color w:val="auto"/>
        </w:rPr>
      </w:pPr>
      <w:r>
        <w:rPr>
          <w:rFonts w:ascii="Arial" w:cs="Arial" w:eastAsia="Arial" w:hAnsi="Arial"/>
          <w:sz w:val="16"/>
          <w:szCs w:val="16"/>
          <w:color w:val="auto"/>
        </w:rPr>
        <w:t>ensuring that an effective succession plan is in place for all key senior leadership positions and reviewing our broader talent management process, including human capital management strategies, overall corporate culture, and DEI programs</w:t>
      </w:r>
    </w:p>
    <w:p>
      <w:pPr>
        <w:spacing w:after="0" w:line="5"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overseeing the company’s ethics and compliance program and management of significant business risks</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selecting, compensating, and evaluating directors, and evaluating board processes and performance</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3"/>
          <w:szCs w:val="13"/>
          <w:color w:val="auto"/>
        </w:rPr>
      </w:pPr>
      <w:r>
        <w:rPr>
          <w:rFonts w:ascii="Arial" w:cs="Arial" w:eastAsia="Arial" w:hAnsi="Arial"/>
          <w:sz w:val="14"/>
          <w:szCs w:val="14"/>
          <w:color w:val="auto"/>
        </w:rPr>
        <w:t>overseeing the company’s enterprise risk management program, including receiving regular briefings on cybersecurity, technology, and information risks</w:t>
      </w:r>
    </w:p>
    <w:p>
      <w:pPr>
        <w:spacing w:after="0" w:line="72" w:lineRule="exact"/>
        <w:rPr>
          <w:rFonts w:ascii="Arial" w:cs="Arial" w:eastAsia="Arial" w:hAnsi="Arial"/>
          <w:sz w:val="13"/>
          <w:szCs w:val="13"/>
          <w:color w:val="auto"/>
        </w:rPr>
      </w:pPr>
    </w:p>
    <w:p>
      <w:pPr>
        <w:ind w:left="560" w:right="400" w:hanging="286"/>
        <w:spacing w:after="0" w:line="271" w:lineRule="auto"/>
        <w:tabs>
          <w:tab w:leader="none" w:pos="550" w:val="left"/>
        </w:tabs>
        <w:numPr>
          <w:ilvl w:val="0"/>
          <w:numId w:val="95"/>
        </w:numPr>
        <w:rPr>
          <w:rFonts w:ascii="Arial" w:cs="Arial" w:eastAsia="Arial" w:hAnsi="Arial"/>
          <w:sz w:val="14"/>
          <w:szCs w:val="14"/>
          <w:color w:val="auto"/>
        </w:rPr>
      </w:pPr>
      <w:r>
        <w:rPr>
          <w:rFonts w:ascii="Arial" w:cs="Arial" w:eastAsia="Arial" w:hAnsi="Arial"/>
          <w:sz w:val="16"/>
          <w:szCs w:val="16"/>
          <w:color w:val="auto"/>
        </w:rPr>
        <w:t>overseeing the company’s approach to current and emerging environmental, social, political, and governance trends and public policy issues that may affect the business operations, performance or reputation of the company, and</w:t>
      </w:r>
    </w:p>
    <w:p>
      <w:pPr>
        <w:spacing w:after="0" w:line="5" w:lineRule="exact"/>
        <w:rPr>
          <w:rFonts w:ascii="Arial" w:cs="Arial" w:eastAsia="Arial" w:hAnsi="Arial"/>
          <w:sz w:val="14"/>
          <w:szCs w:val="14"/>
          <w:color w:val="auto"/>
        </w:rPr>
      </w:pPr>
    </w:p>
    <w:p>
      <w:pPr>
        <w:ind w:left="540" w:hanging="26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overseeing the company’s political expenditures and lobbying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01459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14595" cy="7620"/>
                    </a:xfrm>
                    <a:prstGeom prst="rect">
                      <a:avLst/>
                    </a:prstGeom>
                    <a:noFill/>
                  </pic:spPr>
                </pic:pic>
              </a:graphicData>
            </a:graphic>
          </wp:anchor>
        </w:drawing>
      </w:r>
    </w:p>
    <w:p>
      <w:pPr>
        <w:spacing w:after="0" w:line="243" w:lineRule="exact"/>
        <w:rPr>
          <w:sz w:val="20"/>
          <w:szCs w:val="20"/>
          <w:color w:val="auto"/>
        </w:rPr>
      </w:pPr>
    </w:p>
    <w:p>
      <w:pPr>
        <w:ind w:left="1420"/>
        <w:spacing w:after="0"/>
        <w:rPr>
          <w:sz w:val="20"/>
          <w:szCs w:val="20"/>
          <w:color w:val="auto"/>
        </w:rPr>
      </w:pPr>
      <w:r>
        <w:rPr>
          <w:rFonts w:ascii="Arial" w:cs="Arial" w:eastAsia="Arial" w:hAnsi="Arial"/>
          <w:sz w:val="19"/>
          <w:szCs w:val="19"/>
          <w:b w:val="1"/>
          <w:bCs w:val="1"/>
          <w:color w:val="auto"/>
        </w:rPr>
        <w:t>Key Areas of Oversight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501459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145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143510</wp:posOffset>
            </wp:positionV>
            <wp:extent cx="467360" cy="422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67360" cy="4229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-44450</wp:posOffset>
            </wp:positionV>
            <wp:extent cx="38646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64610" cy="7620"/>
                    </a:xfrm>
                    <a:prstGeom prst="rect">
                      <a:avLst/>
                    </a:prstGeom>
                    <a:noFill/>
                  </pic:spPr>
                </pic:pic>
              </a:graphicData>
            </a:graphic>
          </wp:anchor>
        </w:drawing>
      </w:r>
    </w:p>
    <w:p>
      <w:pPr>
        <w:spacing w:after="0" w:line="315" w:lineRule="exact"/>
        <w:rPr>
          <w:sz w:val="20"/>
          <w:szCs w:val="20"/>
          <w:color w:val="auto"/>
        </w:rPr>
      </w:pPr>
    </w:p>
    <w:p>
      <w:pPr>
        <w:ind w:firstLine="841"/>
        <w:spacing w:after="0" w:line="250" w:lineRule="auto"/>
        <w:rPr>
          <w:sz w:val="20"/>
          <w:szCs w:val="20"/>
          <w:color w:val="auto"/>
        </w:rPr>
      </w:pPr>
      <w:r>
        <w:rPr>
          <w:rFonts w:ascii="Arial" w:cs="Arial" w:eastAsia="Arial" w:hAnsi="Arial"/>
          <w:sz w:val="16"/>
          <w:szCs w:val="16"/>
          <w:color w:val="auto"/>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information security, cybersecurity, and human capital management. Decisions reached in this session are reevaluated throughout the year, including as the board discusses the company’s financial performance, the performance of our business units, and progress in our product pipeline.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123190</wp:posOffset>
            </wp:positionV>
            <wp:extent cx="7176135" cy="40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37" w:name="page38"/>
    <w:bookmarkEnd w:id="37"/>
    <w:p>
      <w:pPr>
        <w:ind w:left="94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459740</wp:posOffset>
            </wp:positionV>
            <wp:extent cx="459740" cy="4076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9740" cy="407670"/>
                    </a:xfrm>
                    <a:prstGeom prst="rect">
                      <a:avLst/>
                    </a:prstGeom>
                    <a:noFill/>
                  </pic:spPr>
                </pic:pic>
              </a:graphicData>
            </a:graphic>
          </wp:anchor>
        </w:drawing>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-44450</wp:posOffset>
            </wp:positionV>
            <wp:extent cx="367919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679190" cy="7620"/>
                    </a:xfrm>
                    <a:prstGeom prst="rect">
                      <a:avLst/>
                    </a:prstGeom>
                    <a:noFill/>
                  </pic:spPr>
                </pic:pic>
              </a:graphicData>
            </a:graphic>
          </wp:anchor>
        </w:drawing>
      </w:r>
    </w:p>
    <w:p>
      <w:pPr>
        <w:spacing w:after="0" w:line="303" w:lineRule="exact"/>
        <w:rPr>
          <w:sz w:val="20"/>
          <w:szCs w:val="20"/>
          <w:color w:val="auto"/>
        </w:rPr>
      </w:pPr>
    </w:p>
    <w:p>
      <w:pPr>
        <w:ind w:right="40" w:firstLine="841"/>
        <w:spacing w:after="0" w:line="249" w:lineRule="auto"/>
        <w:rPr>
          <w:sz w:val="20"/>
          <w:szCs w:val="20"/>
          <w:color w:val="auto"/>
        </w:rPr>
      </w:pPr>
      <w:r>
        <w:rPr>
          <w:rFonts w:ascii="Arial" w:cs="Arial" w:eastAsia="Arial" w:hAnsi="Arial"/>
          <w:sz w:val="16"/>
          <w:szCs w:val="16"/>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semi-annual private sessions to discuss compliance with the company’s chief ethics and compliance officer, the general auditor, and the executive vice president, global quality. On an annual basis, the full board reviews the company’s overall state of compliance and the Ethics and Compliance Committee receives an update on compliance at each committee meeting. The chief ethics and compliance officer and the executive vice president, global quality report directly to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459740" cy="4076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32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-44450</wp:posOffset>
            </wp:positionV>
            <wp:extent cx="338264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291" w:lineRule="exact"/>
        <w:rPr>
          <w:sz w:val="20"/>
          <w:szCs w:val="20"/>
          <w:color w:val="auto"/>
        </w:rPr>
      </w:pPr>
    </w:p>
    <w:p>
      <w:pPr>
        <w:ind w:right="20" w:firstLine="841"/>
        <w:spacing w:after="0" w:line="252" w:lineRule="auto"/>
        <w:rPr>
          <w:sz w:val="20"/>
          <w:szCs w:val="20"/>
          <w:color w:val="auto"/>
        </w:rPr>
      </w:pPr>
      <w:r>
        <w:rPr>
          <w:rFonts w:ascii="Arial" w:cs="Arial" w:eastAsia="Arial" w:hAnsi="Arial"/>
          <w:sz w:val="16"/>
          <w:szCs w:val="16"/>
          <w:color w:val="auto"/>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r>
        <w:rPr>
          <w:rFonts w:ascii="Arial" w:cs="Arial" w:eastAsia="Arial" w:hAnsi="Arial"/>
          <w:sz w:val="16"/>
          <w:szCs w:val="16"/>
          <w:u w:val="single" w:color="auto"/>
          <w:color w:val="0000FF"/>
        </w:rPr>
        <w:t>Board Structure—Committee Descriptions</w:t>
      </w:r>
      <w:r>
        <w:rPr>
          <w:rFonts w:ascii="Arial" w:cs="Arial" w:eastAsia="Arial" w:hAnsi="Arial"/>
          <w:sz w:val="16"/>
          <w:szCs w:val="16"/>
          <w:color w:val="auto"/>
        </w:rPr>
        <w:t>. Oversight of additional matters of potential risk not delegated remain the responsibility of the full board.</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w:t>
      </w:r>
    </w:p>
    <w:p>
      <w:pPr>
        <w:spacing w:after="0" w:line="1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enterprise risk management program, which is overseen by the Audit Committee, is directed by its chief ethics and compliance officer. Enterprise risks are identified and prioritized by management through both top-down and bottom-up processes. Management uses robust internal processes and controls to manage risk. The enterprise-level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459740" cy="4076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32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-44450</wp:posOffset>
            </wp:positionV>
            <wp:extent cx="364934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649345" cy="7620"/>
                    </a:xfrm>
                    <a:prstGeom prst="rect">
                      <a:avLst/>
                    </a:prstGeom>
                    <a:noFill/>
                  </pic:spPr>
                </pic:pic>
              </a:graphicData>
            </a:graphic>
          </wp:anchor>
        </w:drawing>
      </w:r>
    </w:p>
    <w:p>
      <w:pPr>
        <w:spacing w:after="0" w:line="305" w:lineRule="exact"/>
        <w:rPr>
          <w:sz w:val="20"/>
          <w:szCs w:val="20"/>
          <w:color w:val="auto"/>
        </w:rPr>
      </w:pPr>
    </w:p>
    <w:p>
      <w:pPr>
        <w:ind w:right="560" w:firstLine="841"/>
        <w:spacing w:after="0" w:line="282" w:lineRule="auto"/>
        <w:rPr>
          <w:sz w:val="20"/>
          <w:szCs w:val="20"/>
          <w:color w:val="auto"/>
        </w:rPr>
      </w:pPr>
      <w:r>
        <w:rPr>
          <w:rFonts w:ascii="Arial" w:cs="Arial" w:eastAsia="Arial" w:hAnsi="Arial"/>
          <w:sz w:val="16"/>
          <w:szCs w:val="16"/>
          <w:b w:val="1"/>
          <w:bCs w:val="1"/>
          <w:color w:val="auto"/>
        </w:rPr>
        <w:t xml:space="preserve">Corporate Governance Guidelines </w:t>
      </w:r>
      <w:r>
        <w:rPr>
          <w:rFonts w:ascii="Arial" w:cs="Arial" w:eastAsia="Arial" w:hAnsi="Arial"/>
          <w:sz w:val="15"/>
          <w:szCs w:val="15"/>
          <w:color w:val="auto"/>
        </w:rPr>
        <w:t>- The board has adopted corporate governance guidelines that set forth the company’s key principles of</w:t>
      </w:r>
      <w:r>
        <w:rPr>
          <w:rFonts w:ascii="Arial" w:cs="Arial" w:eastAsia="Arial" w:hAnsi="Arial"/>
          <w:sz w:val="16"/>
          <w:szCs w:val="16"/>
          <w:b w:val="1"/>
          <w:bCs w:val="1"/>
          <w:color w:val="auto"/>
        </w:rPr>
        <w:t xml:space="preserve"> </w:t>
      </w:r>
      <w:r>
        <w:rPr>
          <w:rFonts w:ascii="Arial" w:cs="Arial" w:eastAsia="Arial" w:hAnsi="Arial"/>
          <w:sz w:val="15"/>
          <w:szCs w:val="15"/>
          <w:color w:val="auto"/>
        </w:rPr>
        <w:t xml:space="preserve">corporate governance and are available at </w:t>
      </w:r>
      <w:r>
        <w:rPr>
          <w:rFonts w:ascii="Arial" w:cs="Arial" w:eastAsia="Arial" w:hAnsi="Arial"/>
          <w:sz w:val="15"/>
          <w:szCs w:val="15"/>
          <w:color w:val="D52B1E"/>
        </w:rPr>
        <w:t>lilly.com/leadership/governance</w:t>
      </w:r>
      <w:r>
        <w:rPr>
          <w:rFonts w:ascii="Arial" w:cs="Arial" w:eastAsia="Arial" w:hAnsi="Arial"/>
          <w:sz w:val="15"/>
          <w:szCs w:val="15"/>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5"/>
          <w:szCs w:val="15"/>
          <w:color w:val="auto"/>
        </w:rPr>
        <w:t>- The board approves the company’s code of ethics, which is set out in:</w:t>
      </w:r>
    </w:p>
    <w:p>
      <w:pPr>
        <w:spacing w:after="0" w:line="59" w:lineRule="exact"/>
        <w:rPr>
          <w:sz w:val="20"/>
          <w:szCs w:val="20"/>
          <w:color w:val="auto"/>
        </w:rPr>
      </w:pPr>
    </w:p>
    <w:p>
      <w:pPr>
        <w:jc w:val="both"/>
        <w:ind w:left="420" w:right="120" w:hanging="209"/>
        <w:spacing w:after="0" w:line="257" w:lineRule="auto"/>
        <w:rPr>
          <w:sz w:val="20"/>
          <w:szCs w:val="20"/>
          <w:color w:val="auto"/>
        </w:rPr>
      </w:pPr>
      <w:r>
        <w:rPr>
          <w:rFonts w:ascii="Arial" w:cs="Arial" w:eastAsia="Arial" w:hAnsi="Arial"/>
          <w:sz w:val="16"/>
          <w:szCs w:val="16"/>
          <w:color w:val="00A1DE"/>
        </w:rPr>
        <w:t>The Red Book</w:t>
      </w:r>
      <w:r>
        <w:rPr>
          <w:rFonts w:ascii="Arial" w:cs="Arial" w:eastAsia="Arial" w:hAnsi="Arial"/>
          <w:sz w:val="16"/>
          <w:szCs w:val="16"/>
          <w:color w:val="000000"/>
        </w:rPr>
        <w:t>: A code of ethical and legal business conduct applicable to all employees worldwide and to our board. The Red Book is reviewed and approved</w:t>
      </w:r>
      <w:r>
        <w:rPr>
          <w:rFonts w:ascii="Arial" w:cs="Arial" w:eastAsia="Arial" w:hAnsi="Arial"/>
          <w:sz w:val="16"/>
          <w:szCs w:val="16"/>
          <w:color w:val="00A1DE"/>
        </w:rPr>
        <w:t xml:space="preserve"> </w:t>
      </w:r>
      <w:r>
        <w:rPr>
          <w:rFonts w:ascii="Arial" w:cs="Arial" w:eastAsia="Arial" w:hAnsi="Arial"/>
          <w:sz w:val="16"/>
          <w:szCs w:val="16"/>
          <w:color w:val="000000"/>
        </w:rPr>
        <w:t>annually by the board. In 2022, we revised The Red Book training to update our Global Conduct in the Workplace procedure to continue to help ensure that we maintain a respectful, safe, inclusive, and professional workplace.</w:t>
      </w:r>
    </w:p>
    <w:p>
      <w:pPr>
        <w:spacing w:after="0" w:line="110" w:lineRule="exact"/>
        <w:rPr>
          <w:sz w:val="20"/>
          <w:szCs w:val="20"/>
          <w:color w:val="auto"/>
        </w:rPr>
      </w:pPr>
    </w:p>
    <w:p>
      <w:pPr>
        <w:ind w:left="420" w:right="340" w:hanging="209"/>
        <w:spacing w:after="0" w:line="271" w:lineRule="auto"/>
        <w:rPr>
          <w:sz w:val="20"/>
          <w:szCs w:val="20"/>
          <w:color w:val="auto"/>
        </w:rPr>
      </w:pPr>
      <w:r>
        <w:rPr>
          <w:rFonts w:ascii="Arial" w:cs="Arial" w:eastAsia="Arial" w:hAnsi="Arial"/>
          <w:sz w:val="16"/>
          <w:szCs w:val="16"/>
          <w:color w:val="00A1DE"/>
        </w:rPr>
        <w:t xml:space="preserve">Code of Ethical Conduct for Lilly Financial Management: </w:t>
      </w:r>
      <w:r>
        <w:rPr>
          <w:rFonts w:ascii="Arial" w:cs="Arial" w:eastAsia="Arial" w:hAnsi="Arial"/>
          <w:sz w:val="16"/>
          <w:szCs w:val="16"/>
          <w:color w:val="000000"/>
        </w:rPr>
        <w:t>A supplemental code for our CEO and all members of financial management in recognition of their</w:t>
      </w:r>
      <w:r>
        <w:rPr>
          <w:rFonts w:ascii="Arial" w:cs="Arial" w:eastAsia="Arial" w:hAnsi="Arial"/>
          <w:sz w:val="16"/>
          <w:szCs w:val="16"/>
          <w:color w:val="00A1DE"/>
        </w:rPr>
        <w:t xml:space="preserve"> </w:t>
      </w:r>
      <w:r>
        <w:rPr>
          <w:rFonts w:ascii="Arial" w:cs="Arial" w:eastAsia="Arial" w:hAnsi="Arial"/>
          <w:sz w:val="16"/>
          <w:szCs w:val="16"/>
          <w:color w:val="000000"/>
        </w:rPr>
        <w:t>unique responsibilities to ensure proper accounting, financial reporting, internal controls, and financial stewardship.</w:t>
      </w:r>
    </w:p>
    <w:p>
      <w:pPr>
        <w:spacing w:after="0" w:line="98" w:lineRule="exact"/>
        <w:rPr>
          <w:sz w:val="20"/>
          <w:szCs w:val="20"/>
          <w:color w:val="auto"/>
        </w:rPr>
      </w:pPr>
    </w:p>
    <w:p>
      <w:pPr>
        <w:ind w:left="200" w:right="500"/>
        <w:spacing w:after="0" w:line="300" w:lineRule="auto"/>
        <w:rPr>
          <w:sz w:val="20"/>
          <w:szCs w:val="20"/>
          <w:color w:val="auto"/>
        </w:rPr>
      </w:pPr>
      <w:r>
        <w:rPr>
          <w:rFonts w:ascii="Arial" w:cs="Arial" w:eastAsia="Arial" w:hAnsi="Arial"/>
          <w:sz w:val="14"/>
          <w:szCs w:val="14"/>
          <w:color w:val="auto"/>
        </w:rPr>
        <w:t xml:space="preserve">These documents are available at </w:t>
      </w:r>
      <w:r>
        <w:rPr>
          <w:rFonts w:ascii="Arial" w:cs="Arial" w:eastAsia="Arial" w:hAnsi="Arial"/>
          <w:sz w:val="14"/>
          <w:szCs w:val="14"/>
          <w:color w:val="D52B1E"/>
        </w:rPr>
        <w:t>lilly.com/operating-responsibly/ethics-compliance</w:t>
      </w:r>
      <w:r>
        <w:rPr>
          <w:rFonts w:ascii="Arial" w:cs="Arial" w:eastAsia="Arial" w:hAnsi="Arial"/>
          <w:sz w:val="14"/>
          <w:szCs w:val="14"/>
          <w:color w:val="auto"/>
        </w:rPr>
        <w:t xml:space="preserve"> and </w:t>
      </w:r>
      <w:r>
        <w:rPr>
          <w:rFonts w:ascii="Arial" w:cs="Arial" w:eastAsia="Arial" w:hAnsi="Arial"/>
          <w:sz w:val="14"/>
          <w:szCs w:val="14"/>
          <w:color w:val="D52B1E"/>
        </w:rPr>
        <w:t>lilly.com/operating-responsibly/ethics-compliance/financial-management-ethical-conduct</w:t>
      </w:r>
      <w:r>
        <w:rPr>
          <w:rFonts w:ascii="Arial" w:cs="Arial" w:eastAsia="Arial" w:hAnsi="Arial"/>
          <w:sz w:val="14"/>
          <w:szCs w:val="14"/>
          <w:color w:val="000000"/>
        </w:rPr>
        <w:t>. In the event of any amendments to, or waivers from, a provision of the code affecting the CEO, chief financial officer, chief</w:t>
      </w:r>
      <w:r>
        <w:rPr>
          <w:rFonts w:ascii="Arial" w:cs="Arial" w:eastAsia="Arial" w:hAnsi="Arial"/>
          <w:sz w:val="14"/>
          <w:szCs w:val="14"/>
          <w:color w:val="D52B1E"/>
        </w:rPr>
        <w:t xml:space="preserve"> </w:t>
      </w:r>
      <w:r>
        <w:rPr>
          <w:rFonts w:ascii="Arial" w:cs="Arial" w:eastAsia="Arial" w:hAnsi="Arial"/>
          <w:sz w:val="14"/>
          <w:szCs w:val="14"/>
          <w:color w:val="000000"/>
        </w:rPr>
        <w:t>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915" w:right="359" w:bottom="1440" w:gutter="0" w:footer="0" w:header="0"/>
        </w:sectPr>
      </w:pPr>
    </w:p>
    <w:bookmarkStart w:id="38" w:name="page39"/>
    <w:bookmarkEnd w:id="38"/>
    <w:p>
      <w:pPr>
        <w:ind w:left="94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459740</wp:posOffset>
            </wp:positionV>
            <wp:extent cx="459740" cy="4076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9740" cy="407670"/>
                    </a:xfrm>
                    <a:prstGeom prst="rect">
                      <a:avLst/>
                    </a:prstGeom>
                    <a:noFill/>
                  </pic:spPr>
                </pic:pic>
              </a:graphicData>
            </a:graphic>
          </wp:anchor>
        </w:drawing>
        <w:t>CEO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-44450</wp:posOffset>
            </wp:positionV>
            <wp:extent cx="297434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74340" cy="7620"/>
                    </a:xfrm>
                    <a:prstGeom prst="rect">
                      <a:avLst/>
                    </a:prstGeom>
                    <a:noFill/>
                  </pic:spPr>
                </pic:pic>
              </a:graphicData>
            </a:graphic>
          </wp:anchor>
        </w:drawing>
      </w:r>
    </w:p>
    <w:p>
      <w:pPr>
        <w:spacing w:after="0" w:line="303" w:lineRule="exact"/>
        <w:rPr>
          <w:sz w:val="20"/>
          <w:szCs w:val="20"/>
          <w:color w:val="auto"/>
        </w:rPr>
      </w:pPr>
    </w:p>
    <w:p>
      <w:pPr>
        <w:ind w:right="20" w:firstLine="841"/>
        <w:spacing w:after="0" w:line="271" w:lineRule="auto"/>
        <w:rPr>
          <w:sz w:val="20"/>
          <w:szCs w:val="20"/>
          <w:color w:val="auto"/>
        </w:rPr>
      </w:pPr>
      <w:r>
        <w:rPr>
          <w:rFonts w:ascii="Arial" w:cs="Arial" w:eastAsia="Arial" w:hAnsi="Arial"/>
          <w:sz w:val="16"/>
          <w:szCs w:val="16"/>
          <w:color w:val="auto"/>
        </w:rPr>
        <w:t>At least annually, the Talent and Compensation Committee, board, and CEO review the company’s succession plans for the CEO and other key senior leadership positions. The independent directors also meet without the CEO to discuss CEO succession planning.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During these reviews, the CEO and directors discuss:</w:t>
      </w:r>
    </w:p>
    <w:p>
      <w:pPr>
        <w:spacing w:after="0" w:line="50" w:lineRule="exact"/>
        <w:rPr>
          <w:sz w:val="20"/>
          <w:szCs w:val="20"/>
          <w:color w:val="auto"/>
        </w:rPr>
      </w:pPr>
    </w:p>
    <w:p>
      <w:pPr>
        <w:ind w:left="620" w:hanging="276"/>
        <w:spacing w:after="0"/>
        <w:tabs>
          <w:tab w:leader="none" w:pos="620" w:val="left"/>
        </w:tabs>
        <w:numPr>
          <w:ilvl w:val="0"/>
          <w:numId w:val="96"/>
        </w:numPr>
        <w:rPr>
          <w:rFonts w:ascii="Arial" w:cs="Arial" w:eastAsia="Arial" w:hAnsi="Arial"/>
          <w:sz w:val="14"/>
          <w:szCs w:val="14"/>
          <w:color w:val="auto"/>
        </w:rPr>
      </w:pPr>
      <w:r>
        <w:rPr>
          <w:rFonts w:ascii="Arial" w:cs="Arial" w:eastAsia="Arial" w:hAnsi="Arial"/>
          <w:sz w:val="16"/>
          <w:szCs w:val="16"/>
          <w:color w:val="auto"/>
        </w:rPr>
        <w:t>future candidates for the CEO and other senior leadership positions;</w:t>
      </w:r>
    </w:p>
    <w:p>
      <w:pPr>
        <w:spacing w:after="0" w:line="49" w:lineRule="exact"/>
        <w:rPr>
          <w:rFonts w:ascii="Arial" w:cs="Arial" w:eastAsia="Arial" w:hAnsi="Arial"/>
          <w:sz w:val="14"/>
          <w:szCs w:val="14"/>
          <w:color w:val="auto"/>
        </w:rPr>
      </w:pPr>
    </w:p>
    <w:p>
      <w:pPr>
        <w:ind w:left="620" w:hanging="276"/>
        <w:spacing w:after="0"/>
        <w:tabs>
          <w:tab w:leader="none" w:pos="620" w:val="left"/>
        </w:tabs>
        <w:numPr>
          <w:ilvl w:val="0"/>
          <w:numId w:val="96"/>
        </w:numPr>
        <w:rPr>
          <w:rFonts w:ascii="Arial" w:cs="Arial" w:eastAsia="Arial" w:hAnsi="Arial"/>
          <w:sz w:val="14"/>
          <w:szCs w:val="14"/>
          <w:color w:val="auto"/>
        </w:rPr>
      </w:pPr>
      <w:r>
        <w:rPr>
          <w:rFonts w:ascii="Arial" w:cs="Arial" w:eastAsia="Arial" w:hAnsi="Arial"/>
          <w:sz w:val="16"/>
          <w:szCs w:val="16"/>
          <w:color w:val="auto"/>
        </w:rPr>
        <w:t>succession timing; and</w:t>
      </w:r>
    </w:p>
    <w:p>
      <w:pPr>
        <w:spacing w:after="0" w:line="49" w:lineRule="exact"/>
        <w:rPr>
          <w:rFonts w:ascii="Arial" w:cs="Arial" w:eastAsia="Arial" w:hAnsi="Arial"/>
          <w:sz w:val="14"/>
          <w:szCs w:val="14"/>
          <w:color w:val="auto"/>
        </w:rPr>
      </w:pPr>
    </w:p>
    <w:p>
      <w:pPr>
        <w:ind w:left="620" w:hanging="276"/>
        <w:spacing w:after="0"/>
        <w:tabs>
          <w:tab w:leader="none" w:pos="620" w:val="left"/>
        </w:tabs>
        <w:numPr>
          <w:ilvl w:val="0"/>
          <w:numId w:val="96"/>
        </w:numPr>
        <w:rPr>
          <w:rFonts w:ascii="Arial" w:cs="Arial" w:eastAsia="Arial" w:hAnsi="Arial"/>
          <w:sz w:val="14"/>
          <w:szCs w:val="14"/>
          <w:color w:val="auto"/>
        </w:rPr>
      </w:pPr>
      <w:r>
        <w:rPr>
          <w:rFonts w:ascii="Arial" w:cs="Arial" w:eastAsia="Arial" w:hAnsi="Arial"/>
          <w:sz w:val="16"/>
          <w:szCs w:val="16"/>
          <w:color w:val="auto"/>
        </w:rPr>
        <w:t>development plans for potential candidates.</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independent directors and the CEO maintain a confidential plan for the timely and efficient transfer of the CEO’s responsibilities in the event of an emergency or his sudden departure, incapacitation, or death.</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59740" cy="4076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3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-44450</wp:posOffset>
            </wp:positionV>
            <wp:extent cx="22771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77110" cy="7620"/>
                    </a:xfrm>
                    <a:prstGeom prst="rect">
                      <a:avLst/>
                    </a:prstGeom>
                    <a:noFill/>
                  </pic:spPr>
                </pic:pic>
              </a:graphicData>
            </a:graphic>
          </wp:anchor>
        </w:drawing>
      </w:r>
    </w:p>
    <w:p>
      <w:pPr>
        <w:spacing w:after="0" w:line="291" w:lineRule="exact"/>
        <w:rPr>
          <w:sz w:val="20"/>
          <w:szCs w:val="20"/>
          <w:color w:val="auto"/>
        </w:rPr>
      </w:pPr>
    </w:p>
    <w:p>
      <w:pPr>
        <w:ind w:right="20" w:firstLine="841"/>
        <w:spacing w:after="0" w:line="250" w:lineRule="auto"/>
        <w:rPr>
          <w:sz w:val="20"/>
          <w:szCs w:val="20"/>
          <w:color w:val="auto"/>
        </w:rPr>
      </w:pPr>
      <w:r>
        <w:rPr>
          <w:rFonts w:ascii="Arial" w:cs="Arial" w:eastAsia="Arial" w:hAnsi="Arial"/>
          <w:sz w:val="16"/>
          <w:szCs w:val="16"/>
          <w:color w:val="auto"/>
        </w:rPr>
        <w:t>Our approach to ESG governance includes board oversight, management accountability, corporate policies and management systems, and stated public policies and positions on key ESG topics. Our full board is engaged in strategic ESG oversight, receives regular updates on ESG matters, reviews our long-term environmental goals, and weighs in on significant strategic investments, including those related to ESG.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w:t>
      </w:r>
    </w:p>
    <w:p>
      <w:pPr>
        <w:spacing w:after="0" w:line="116"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In addition, we have formed an ESG Governance Committee that includes senior leaders across many of our business functions. The committee reports to our senior leadership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59740" cy="4076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9740" cy="407670"/>
                    </a:xfrm>
                    <a:prstGeom prst="rect">
                      <a:avLst/>
                    </a:prstGeom>
                    <a:noFill/>
                  </pic:spPr>
                </pic:pic>
              </a:graphicData>
            </a:graphic>
          </wp:anchor>
        </w:drawing>
      </w:r>
    </w:p>
    <w:p>
      <w:pPr>
        <w:spacing w:after="0" w:line="3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-44450</wp:posOffset>
            </wp:positionV>
            <wp:extent cx="285559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55595" cy="7620"/>
                    </a:xfrm>
                    <a:prstGeom prst="rect">
                      <a:avLst/>
                    </a:prstGeom>
                    <a:noFill/>
                  </pic:spPr>
                </pic:pic>
              </a:graphicData>
            </a:graphic>
          </wp:anchor>
        </w:drawing>
      </w:r>
    </w:p>
    <w:p>
      <w:pPr>
        <w:spacing w:after="0" w:line="303" w:lineRule="exact"/>
        <w:rPr>
          <w:sz w:val="20"/>
          <w:szCs w:val="20"/>
          <w:color w:val="auto"/>
        </w:rPr>
      </w:pPr>
    </w:p>
    <w:p>
      <w:pPr>
        <w:ind w:right="60" w:firstLine="841"/>
        <w:spacing w:after="0" w:line="250" w:lineRule="auto"/>
        <w:rPr>
          <w:sz w:val="20"/>
          <w:szCs w:val="20"/>
          <w:color w:val="auto"/>
        </w:rPr>
      </w:pPr>
      <w:r>
        <w:rPr>
          <w:rFonts w:ascii="Arial" w:cs="Arial" w:eastAsia="Arial" w:hAnsi="Arial"/>
          <w:sz w:val="16"/>
          <w:szCs w:val="16"/>
          <w:color w:val="auto"/>
        </w:rPr>
        <w:t>The board exercises active oversight over our overall talent management process, including human capital management strategies, corporate culture, and DEI programs. The board also oversees the work of its committees in developing corporate policies and frameworks designed to attract, retain, engage, and develop a workforce that aligns with our values and mission. The Talent and Compensation Committee advises the board and management on and is responsible for oversight of human capital management, DEI efforts, and employee compensation and benefits matters, and annually reviews our leadership development and succession planning practices.</w:t>
      </w:r>
    </w:p>
    <w:p>
      <w:pPr>
        <w:spacing w:after="0" w:line="11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board also oversees human capital management by regularly engaging with management and facilitating a system of reporting that highlights the importance of DEI to Lilly. For example, as part of our commitment to DEI, our board considers the contributions related to DEI of our CEO and other executive committee members when determining their compensation. Our board also oversees the activities of our CEO and executive committee in setting expectations for inclusive leadership and holding leaders accountable for building diverse and inclusive teams. Our CEO receives regular reports from Lilly’s executive vice president for human resources and diversity. In addition, our chief DEI officer is a senior vice president who also has responsibility for all aspects of talent management in the company, which enables full integration of DEI into our talent systems. The senior vice president of DEI and talent management reports to the executive vice president for human resources and diversity, who is a member of our executive committee. We believe this system of oversight and reporting by the board and our key executives is critical to our success in fostering an inclusive, supportive, and rewarding workplace.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915" w:right="379" w:bottom="1440" w:gutter="0" w:footer="0" w:header="0"/>
        </w:sectPr>
      </w:pPr>
    </w:p>
    <w:bookmarkStart w:id="39" w:name="page40"/>
    <w:bookmarkEnd w:id="39"/>
    <w:p>
      <w:pPr>
        <w:ind w:left="94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459740</wp:posOffset>
            </wp:positionV>
            <wp:extent cx="459740" cy="4076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59740" cy="407670"/>
                    </a:xfrm>
                    <a:prstGeom prst="rect">
                      <a:avLst/>
                    </a:prstGeom>
                    <a:noFill/>
                  </pic:spPr>
                </pic:pic>
              </a:graphicData>
            </a:graphic>
          </wp:anchor>
        </w:drawing>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-44450</wp:posOffset>
            </wp:positionV>
            <wp:extent cx="356806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68065" cy="7620"/>
                    </a:xfrm>
                    <a:prstGeom prst="rect">
                      <a:avLst/>
                    </a:prstGeom>
                    <a:noFill/>
                  </pic:spPr>
                </pic:pic>
              </a:graphicData>
            </a:graphic>
          </wp:anchor>
        </w:drawing>
      </w:r>
    </w:p>
    <w:p>
      <w:pPr>
        <w:spacing w:after="0" w:line="303" w:lineRule="exact"/>
        <w:rPr>
          <w:sz w:val="20"/>
          <w:szCs w:val="20"/>
          <w:color w:val="auto"/>
        </w:rPr>
      </w:pPr>
    </w:p>
    <w:p>
      <w:pPr>
        <w:ind w:right="200" w:firstLine="841"/>
        <w:spacing w:after="0" w:line="257" w:lineRule="auto"/>
        <w:rPr>
          <w:sz w:val="20"/>
          <w:szCs w:val="20"/>
          <w:color w:val="auto"/>
        </w:rPr>
      </w:pPr>
      <w:r>
        <w:rPr>
          <w:rFonts w:ascii="Arial" w:cs="Arial" w:eastAsia="Arial" w:hAnsi="Arial"/>
          <w:sz w:val="16"/>
          <w:szCs w:val="16"/>
          <w:color w:val="auto"/>
        </w:rPr>
        <w:t>Our board and Audit Committee receive regular presentations on cybersecurity and information technology from our management as part of their oversight of enterprise-level risks. In addition to regular presentations, management promptly updates our board regarding significant threats or incidents as they arise, as well as changes to the broader cybersecurity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459740" cy="5118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9740" cy="5118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-44450</wp:posOffset>
            </wp:positionV>
            <wp:extent cx="337502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75025" cy="7620"/>
                    </a:xfrm>
                    <a:prstGeom prst="rect">
                      <a:avLst/>
                    </a:prstGeom>
                    <a:noFill/>
                  </pic:spPr>
                </pic:pic>
              </a:graphicData>
            </a:graphic>
          </wp:anchor>
        </w:drawing>
      </w:r>
    </w:p>
    <w:p>
      <w:pPr>
        <w:spacing w:after="0" w:line="373" w:lineRule="exact"/>
        <w:rPr>
          <w:sz w:val="20"/>
          <w:szCs w:val="20"/>
          <w:color w:val="auto"/>
        </w:rPr>
      </w:pPr>
    </w:p>
    <w:p>
      <w:pPr>
        <w:ind w:firstLine="841"/>
        <w:spacing w:after="0" w:line="291" w:lineRule="auto"/>
        <w:rPr>
          <w:sz w:val="20"/>
          <w:szCs w:val="20"/>
          <w:color w:val="auto"/>
        </w:rPr>
      </w:pPr>
      <w:r>
        <w:rPr>
          <w:rFonts w:ascii="Arial" w:cs="Arial" w:eastAsia="Arial" w:hAnsi="Arial"/>
          <w:sz w:val="14"/>
          <w:szCs w:val="14"/>
          <w:color w:val="auto"/>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our executive vice president, corporate affairs, and communications,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Social and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Overview</w:t>
      </w:r>
    </w:p>
    <w:p>
      <w:pPr>
        <w:spacing w:after="0" w:line="54"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Our purpose is to unite caring with discovery to create medicines that make life better for people around the world. This purpose guides our business and ESG strategy.</w:t>
      </w:r>
    </w:p>
    <w:p>
      <w:pPr>
        <w:spacing w:after="0" w:line="9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have undertaken a detailed review of our sustainability efforts, how we communicate progress toward our ESG goals, and our broader ESG strategy. In 2021, we adopted additional prevalent reporting frameworks, established new 2030 sustainability goals, and held an ESG stakeholder day to share our strategy and progress. In 2021, we also issued Lilly’s first sustainability bond, which will help fund projects intended to contribute to our ESG objectives.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Reporting Frameworks: </w:t>
      </w:r>
      <w:r>
        <w:rPr>
          <w:rFonts w:ascii="Arial" w:cs="Arial" w:eastAsia="Arial" w:hAnsi="Arial"/>
          <w:sz w:val="16"/>
          <w:szCs w:val="16"/>
          <w:color w:val="auto"/>
        </w:rPr>
        <w:t>We have adopted and communicate our progress toward our ESG objectives related with the respect to the:</w:t>
      </w:r>
    </w:p>
    <w:p>
      <w:pPr>
        <w:spacing w:after="0" w:line="145" w:lineRule="exact"/>
        <w:rPr>
          <w:sz w:val="20"/>
          <w:szCs w:val="20"/>
          <w:color w:val="auto"/>
        </w:rPr>
      </w:pPr>
    </w:p>
    <w:p>
      <w:pPr>
        <w:ind w:left="540" w:hanging="266"/>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Sustainability Accounting Standards Board (SASB) for Biotechnology and Pharmaceuticals,</w:t>
      </w:r>
    </w:p>
    <w:p>
      <w:pPr>
        <w:spacing w:after="0" w:line="16" w:lineRule="exact"/>
        <w:rPr>
          <w:rFonts w:ascii="Arial" w:cs="Arial" w:eastAsia="Arial" w:hAnsi="Arial"/>
          <w:sz w:val="16"/>
          <w:szCs w:val="16"/>
          <w:color w:val="auto"/>
        </w:rPr>
      </w:pPr>
    </w:p>
    <w:p>
      <w:pPr>
        <w:ind w:left="540" w:hanging="266"/>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Task Force on Climate-Related Financial Disclosures, and</w:t>
      </w:r>
    </w:p>
    <w:p>
      <w:pPr>
        <w:spacing w:after="0" w:line="2" w:lineRule="exact"/>
        <w:rPr>
          <w:rFonts w:ascii="Arial" w:cs="Arial" w:eastAsia="Arial" w:hAnsi="Arial"/>
          <w:sz w:val="16"/>
          <w:szCs w:val="16"/>
          <w:color w:val="auto"/>
        </w:rPr>
      </w:pPr>
    </w:p>
    <w:p>
      <w:pPr>
        <w:ind w:left="540" w:hanging="266"/>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United Nations Sustainable Development Goals.</w:t>
      </w:r>
    </w:p>
    <w:p>
      <w:pPr>
        <w:spacing w:after="0" w:line="127"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b w:val="1"/>
          <w:bCs w:val="1"/>
          <w:color w:val="auto"/>
        </w:rPr>
        <w:t xml:space="preserve">Additional information </w:t>
      </w:r>
      <w:r>
        <w:rPr>
          <w:rFonts w:ascii="Arial" w:cs="Arial" w:eastAsia="Arial" w:hAnsi="Arial"/>
          <w:sz w:val="16"/>
          <w:szCs w:val="16"/>
          <w:color w:val="auto"/>
        </w:rPr>
        <w:t>on our ESG efforts is available in our ESG report on our website. The information on our website is not, and shall not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this proxy statement or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501459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14595" cy="7620"/>
                    </a:xfrm>
                    <a:prstGeom prst="rect">
                      <a:avLst/>
                    </a:prstGeom>
                    <a:noFill/>
                  </pic:spPr>
                </pic:pic>
              </a:graphicData>
            </a:graphic>
          </wp:anchor>
        </w:drawing>
      </w:r>
    </w:p>
    <w:p>
      <w:pPr>
        <w:spacing w:after="0" w:line="197"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Highlights of 2022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76835</wp:posOffset>
            </wp:positionV>
            <wp:extent cx="501459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14595" cy="762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We made progress toward our ESG goals in 2022 by, among other things:</w:t>
      </w:r>
    </w:p>
    <w:p>
      <w:pPr>
        <w:spacing w:after="0" w:line="143" w:lineRule="exact"/>
        <w:rPr>
          <w:sz w:val="20"/>
          <w:szCs w:val="20"/>
          <w:color w:val="auto"/>
        </w:rPr>
      </w:pPr>
    </w:p>
    <w:p>
      <w:pPr>
        <w:ind w:left="560" w:right="560" w:hanging="286"/>
        <w:spacing w:after="0" w:line="271" w:lineRule="auto"/>
        <w:tabs>
          <w:tab w:leader="none" w:pos="550" w:val="left"/>
        </w:tabs>
        <w:numPr>
          <w:ilvl w:val="0"/>
          <w:numId w:val="98"/>
        </w:numPr>
        <w:rPr>
          <w:rFonts w:ascii="Arial" w:cs="Arial" w:eastAsia="Arial" w:hAnsi="Arial"/>
          <w:sz w:val="14"/>
          <w:szCs w:val="14"/>
          <w:color w:val="auto"/>
        </w:rPr>
      </w:pPr>
      <w:r>
        <w:rPr>
          <w:rFonts w:ascii="Arial" w:cs="Arial" w:eastAsia="Arial" w:hAnsi="Arial"/>
          <w:sz w:val="16"/>
          <w:szCs w:val="16"/>
          <w:color w:val="auto"/>
        </w:rPr>
        <w:t>Establishing a collaboration to deliver high-quality, affordable human and analogue insulin to at least one million people living with type 1 and type 2 diabetes in low- to middle-income countries, most of which are in Africa.</w:t>
      </w:r>
    </w:p>
    <w:p>
      <w:pPr>
        <w:spacing w:after="0" w:line="98" w:lineRule="exact"/>
        <w:rPr>
          <w:rFonts w:ascii="Arial" w:cs="Arial" w:eastAsia="Arial" w:hAnsi="Arial"/>
          <w:sz w:val="14"/>
          <w:szCs w:val="14"/>
          <w:color w:val="auto"/>
        </w:rPr>
      </w:pPr>
    </w:p>
    <w:p>
      <w:pPr>
        <w:ind w:left="560" w:right="180" w:hanging="286"/>
        <w:spacing w:after="0" w:line="271" w:lineRule="auto"/>
        <w:tabs>
          <w:tab w:leader="none" w:pos="550" w:val="left"/>
        </w:tabs>
        <w:numPr>
          <w:ilvl w:val="0"/>
          <w:numId w:val="98"/>
        </w:numPr>
        <w:rPr>
          <w:rFonts w:ascii="Arial" w:cs="Arial" w:eastAsia="Arial" w:hAnsi="Arial"/>
          <w:sz w:val="14"/>
          <w:szCs w:val="14"/>
          <w:color w:val="auto"/>
        </w:rPr>
      </w:pPr>
      <w:r>
        <w:rPr>
          <w:rFonts w:ascii="Arial" w:cs="Arial" w:eastAsia="Arial" w:hAnsi="Arial"/>
          <w:sz w:val="16"/>
          <w:szCs w:val="16"/>
          <w:color w:val="auto"/>
        </w:rPr>
        <w:t>Installing a new solar parking canopy at our facility in Fegersheim, France capable of producing approximately 4,200 megawatt-hours of electricity a year as part of our 2030 goal to be carbon neutral in our own operations.</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6"/>
          <w:szCs w:val="16"/>
          <w:color w:val="auto"/>
        </w:rPr>
        <w:t>Publishing the first allocation report for our sustainability bond.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40" w:name="page41"/>
    <w:bookmarkEnd w:id="40"/>
    <w:p>
      <w:pPr>
        <w:ind w:left="94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459740</wp:posOffset>
            </wp:positionV>
            <wp:extent cx="459740" cy="4076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9740" cy="407670"/>
                    </a:xfrm>
                    <a:prstGeom prst="rect">
                      <a:avLst/>
                    </a:prstGeom>
                    <a:noFill/>
                  </pic:spPr>
                </pic:pic>
              </a:graphicData>
            </a:graphic>
          </wp:anchor>
        </w:drawing>
        <w:t>Increase Access to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-44450</wp:posOffset>
            </wp:positionV>
            <wp:extent cx="278193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781935" cy="7620"/>
                    </a:xfrm>
                    <a:prstGeom prst="rect">
                      <a:avLst/>
                    </a:prstGeom>
                    <a:noFill/>
                  </pic:spPr>
                </pic:pic>
              </a:graphicData>
            </a:graphic>
          </wp:anchor>
        </w:drawing>
      </w:r>
    </w:p>
    <w:p>
      <w:pPr>
        <w:spacing w:after="0" w:line="303" w:lineRule="exact"/>
        <w:rPr>
          <w:sz w:val="20"/>
          <w:szCs w:val="20"/>
          <w:color w:val="auto"/>
        </w:rPr>
      </w:pPr>
    </w:p>
    <w:p>
      <w:pPr>
        <w:jc w:val="both"/>
        <w:ind w:right="60" w:firstLine="841"/>
        <w:spacing w:after="0" w:line="311" w:lineRule="auto"/>
        <w:rPr>
          <w:sz w:val="20"/>
          <w:szCs w:val="20"/>
          <w:color w:val="auto"/>
        </w:rPr>
      </w:pPr>
      <w:r>
        <w:rPr>
          <w:rFonts w:ascii="Arial" w:cs="Arial" w:eastAsia="Arial" w:hAnsi="Arial"/>
          <w:sz w:val="14"/>
          <w:szCs w:val="14"/>
          <w:color w:val="auto"/>
        </w:rPr>
        <w:t>We are deeply committed to equitable and affordable access to our medicines so our breakthroughs can transform more lives. We are also committed to expanding our impact on society by addressing complex global health challenges, with a focus on communities with limited resources. Reaching across industry boundaries, we collaborate with partners to reach more people, and our collective work seeking to benefit individual patients and the global health system.</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offer a variety of affordability solutions through patient support programs and copay assistance across our major products, including medicines for diabetes, migraine, immunology diseases and cancer. For migraine and immunology, we have designed copay assistance programs to bring eligible patients’ monthly out-of-pocket costs to $25 or lower. For cancer treatment, we have created a Lilly Oncology Support Center that assists eligible patients in identifying affordability options related to our products in their treatment.</w:t>
      </w:r>
    </w:p>
    <w:p>
      <w:pPr>
        <w:spacing w:after="0" w:line="115"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For millions of people with diabetes, insulin is a life-saving medicine. Over the last century, this medical miracle has improved and extended countless lives around the world. Lilly takes its role as a leading diabetes company seriously — and we believe that includes affordable access to treatments. Today, anyone in the United States is eligible to obtain their monthly prescription of Lilly insulin for $35 or less — regardless of the number of vials or pens — whether they are uninsured or use commercial insurance, Medicaid or a participating Medicare Part D plan.</w:t>
      </w:r>
    </w:p>
    <w:p>
      <w:pPr>
        <w:spacing w:after="0" w:line="115" w:lineRule="exact"/>
        <w:rPr>
          <w:sz w:val="20"/>
          <w:szCs w:val="20"/>
          <w:color w:val="auto"/>
        </w:rPr>
      </w:pPr>
    </w:p>
    <w:p>
      <w:pPr>
        <w:ind w:right="240"/>
        <w:spacing w:after="0" w:line="311" w:lineRule="auto"/>
        <w:rPr>
          <w:sz w:val="20"/>
          <w:szCs w:val="20"/>
          <w:color w:val="auto"/>
        </w:rPr>
      </w:pPr>
      <w:r>
        <w:rPr>
          <w:rFonts w:ascii="Arial" w:cs="Arial" w:eastAsia="Arial" w:hAnsi="Arial"/>
          <w:sz w:val="14"/>
          <w:szCs w:val="14"/>
          <w:color w:val="auto"/>
        </w:rPr>
        <w:t>As a global company, we are particularly aware of the social and economic circumstances in many developing countries that may make access to medicines difficult. In response, Lilly is researching and implementing alternative business models, recognizing particular access challenges in lower-income countries. We also support efforts to decrease the final price of medicines to patients, such as minimizing taxes and limiting markups applied in the supply chain.</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Through investments in people, medicines and health systems, we aim to improve access to quality health care for 30 million people living in settings with limited resources annually by 2030. We call this global effort Lilly 30x30. To achieve our goal, we are leveraging the company’s resources and working with leading health organizations to increase access to Lilly medicines and address complex global health challenges. Our Lilly 30x30 goal is intended to advance health equity across three areas of impact: our pipeline and external pipelines we help support, programs to increase access to Lilly medicines, and partnerships. In each of these areas, we are working to develop high-impact, scalable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467360" cy="4076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7360" cy="407670"/>
                    </a:xfrm>
                    <a:prstGeom prst="rect">
                      <a:avLst/>
                    </a:prstGeom>
                    <a:noFill/>
                  </pic:spPr>
                </pic:pic>
              </a:graphicData>
            </a:graphic>
          </wp:anchor>
        </w:drawing>
      </w:r>
    </w:p>
    <w:p>
      <w:pPr>
        <w:spacing w:after="0" w:line="32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Improve Lives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2347595</wp:posOffset>
            </wp:positionH>
            <wp:positionV relativeFrom="paragraph">
              <wp:posOffset>-44450</wp:posOffset>
            </wp:positionV>
            <wp:extent cx="261112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11120" cy="7620"/>
                    </a:xfrm>
                    <a:prstGeom prst="rect">
                      <a:avLst/>
                    </a:prstGeom>
                    <a:noFill/>
                  </pic:spPr>
                </pic:pic>
              </a:graphicData>
            </a:graphic>
          </wp:anchor>
        </w:drawing>
      </w:r>
    </w:p>
    <w:p>
      <w:pPr>
        <w:spacing w:after="0" w:line="291" w:lineRule="exact"/>
        <w:rPr>
          <w:sz w:val="20"/>
          <w:szCs w:val="20"/>
          <w:color w:val="auto"/>
        </w:rPr>
      </w:pPr>
    </w:p>
    <w:p>
      <w:pPr>
        <w:ind w:right="160" w:firstLine="841"/>
        <w:spacing w:after="0" w:line="257" w:lineRule="auto"/>
        <w:rPr>
          <w:sz w:val="20"/>
          <w:szCs w:val="20"/>
          <w:color w:val="auto"/>
        </w:rPr>
      </w:pPr>
      <w:r>
        <w:rPr>
          <w:rFonts w:ascii="Arial" w:cs="Arial" w:eastAsia="Arial" w:hAnsi="Arial"/>
          <w:sz w:val="16"/>
          <w:szCs w:val="16"/>
          <w:color w:val="auto"/>
        </w:rPr>
        <w:t>Beyond our medicines, we invest our time, expertise, and resources to drive positive social impact with a focus on health. We focus on action and advocacy designed to build stronger communities where people and companies can prosper and thrive. We collaborate with organizations that have proven track records of social impact. We also encourage our employees to volunteer and give in meaningful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467360" cy="4076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7360" cy="407670"/>
                    </a:xfrm>
                    <a:prstGeom prst="rect">
                      <a:avLst/>
                    </a:prstGeom>
                    <a:noFill/>
                  </pic:spPr>
                </pic:pic>
              </a:graphicData>
            </a:graphic>
          </wp:anchor>
        </w:drawing>
      </w:r>
    </w:p>
    <w:p>
      <w:pPr>
        <w:spacing w:after="0" w:line="31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Empower a Diverse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-44450</wp:posOffset>
            </wp:positionV>
            <wp:extent cx="272986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29865" cy="7620"/>
                    </a:xfrm>
                    <a:prstGeom prst="rect">
                      <a:avLst/>
                    </a:prstGeom>
                    <a:noFill/>
                  </pic:spPr>
                </pic:pic>
              </a:graphicData>
            </a:graphic>
          </wp:anchor>
        </w:drawing>
      </w:r>
    </w:p>
    <w:p>
      <w:pPr>
        <w:spacing w:after="0" w:line="303" w:lineRule="exact"/>
        <w:rPr>
          <w:sz w:val="20"/>
          <w:szCs w:val="20"/>
          <w:color w:val="auto"/>
        </w:rPr>
      </w:pPr>
    </w:p>
    <w:p>
      <w:pPr>
        <w:ind w:right="140" w:firstLine="841"/>
        <w:spacing w:after="0" w:line="252" w:lineRule="auto"/>
        <w:rPr>
          <w:sz w:val="20"/>
          <w:szCs w:val="20"/>
          <w:color w:val="auto"/>
        </w:rPr>
      </w:pPr>
      <w:r>
        <w:rPr>
          <w:rFonts w:ascii="Arial" w:cs="Arial" w:eastAsia="Arial" w:hAnsi="Arial"/>
          <w:sz w:val="16"/>
          <w:szCs w:val="16"/>
          <w:color w:val="auto"/>
        </w:rPr>
        <w:t>DEI is at the core of how we do business. Our long-standing values of integrity, excellence, and respect for people foster an environment where team members are encouraged to speak up, share ideas, and be fully engaged in our work, while bringing their full authentic selves to work every day. By doing so, we help innovate, accelerate, and deliver life-changing medicines that make a difference for people around the world. See below under “</w:t>
      </w:r>
      <w:r>
        <w:rPr>
          <w:rFonts w:ascii="Arial" w:cs="Arial" w:eastAsia="Arial" w:hAnsi="Arial"/>
          <w:sz w:val="16"/>
          <w:szCs w:val="16"/>
          <w:u w:val="single" w:color="auto"/>
          <w:color w:val="0000FF"/>
        </w:rPr>
        <w:t>—Human Capital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Management</w:t>
      </w:r>
      <w:r>
        <w:rPr>
          <w:rFonts w:ascii="Arial" w:cs="Arial" w:eastAsia="Arial" w:hAnsi="Arial"/>
          <w:sz w:val="16"/>
          <w:szCs w:val="16"/>
          <w:color w:val="000000"/>
        </w:rPr>
        <w:t>” for additional information regarding our DEI efforts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67360" cy="4076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7360" cy="407670"/>
                    </a:xfrm>
                    <a:prstGeom prst="rect">
                      <a:avLst/>
                    </a:prstGeom>
                    <a:noFill/>
                  </pic:spPr>
                </pic:pic>
              </a:graphicData>
            </a:graphic>
          </wp:anchor>
        </w:drawing>
      </w:r>
    </w:p>
    <w:p>
      <w:pPr>
        <w:spacing w:after="0" w:line="32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Operate Ethically and Responsibly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-44450</wp:posOffset>
            </wp:positionV>
            <wp:extent cx="253682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36825" cy="7620"/>
                    </a:xfrm>
                    <a:prstGeom prst="rect">
                      <a:avLst/>
                    </a:prstGeom>
                    <a:noFill/>
                  </pic:spPr>
                </pic:pic>
              </a:graphicData>
            </a:graphic>
          </wp:anchor>
        </w:drawing>
      </w:r>
    </w:p>
    <w:p>
      <w:pPr>
        <w:spacing w:after="0" w:line="303" w:lineRule="exact"/>
        <w:rPr>
          <w:sz w:val="20"/>
          <w:szCs w:val="20"/>
          <w:color w:val="auto"/>
        </w:rPr>
      </w:pPr>
    </w:p>
    <w:p>
      <w:pPr>
        <w:ind w:right="40" w:firstLine="841"/>
        <w:spacing w:after="0" w:line="271" w:lineRule="auto"/>
        <w:rPr>
          <w:sz w:val="20"/>
          <w:szCs w:val="20"/>
          <w:color w:val="auto"/>
        </w:rPr>
      </w:pPr>
      <w:r>
        <w:rPr>
          <w:rFonts w:ascii="Arial" w:cs="Arial" w:eastAsia="Arial" w:hAnsi="Arial"/>
          <w:sz w:val="16"/>
          <w:szCs w:val="16"/>
          <w:color w:val="auto"/>
        </w:rPr>
        <w:t>We strive to earn and maintain the trust of people we serve by acting ethically and responsibly. We set high standards for our products, operations and performance, and we show caring and respect for those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915" w:right="359" w:bottom="1440" w:gutter="0" w:footer="0" w:header="0"/>
        </w:sectPr>
      </w:pPr>
    </w:p>
    <w:bookmarkStart w:id="41" w:name="page42"/>
    <w:bookmarkEnd w:id="41"/>
    <w:p>
      <w:pPr>
        <w:ind w:right="180"/>
        <w:spacing w:after="0" w:line="271" w:lineRule="auto"/>
        <w:rPr>
          <w:sz w:val="20"/>
          <w:szCs w:val="20"/>
          <w:color w:val="auto"/>
        </w:rPr>
      </w:pPr>
      <w:r>
        <w:rPr>
          <w:rFonts w:ascii="Arial" w:cs="Arial" w:eastAsia="Arial" w:hAnsi="Arial"/>
          <w:sz w:val="16"/>
          <w:szCs w:val="16"/>
          <w:color w:val="auto"/>
        </w:rPr>
        <w:t>touched by our work. Our actions are grounded in our company’s core values of integrity, excellence, and respect for people. See “</w:t>
      </w:r>
      <w:r>
        <w:rPr>
          <w:rFonts w:ascii="Arial" w:cs="Arial" w:eastAsia="Arial" w:hAnsi="Arial"/>
          <w:sz w:val="16"/>
          <w:szCs w:val="16"/>
          <w:u w:val="single" w:color="auto"/>
          <w:color w:val="0000FF"/>
        </w:rPr>
        <w:t>Key Areas of Oversight by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Board and Its Committees—Governance</w:t>
      </w:r>
      <w:r>
        <w:rPr>
          <w:rFonts w:ascii="Arial" w:cs="Arial" w:eastAsia="Arial" w:hAnsi="Arial"/>
          <w:sz w:val="16"/>
          <w:szCs w:val="16"/>
          <w:color w:val="000000"/>
        </w:rPr>
        <w: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67360" cy="4076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67360" cy="407670"/>
                    </a:xfrm>
                    <a:prstGeom prst="rect">
                      <a:avLst/>
                    </a:prstGeom>
                    <a:noFill/>
                  </pic:spPr>
                </pic:pic>
              </a:graphicData>
            </a:graphic>
          </wp:anchor>
        </w:drawing>
      </w:r>
    </w:p>
    <w:p>
      <w:pPr>
        <w:spacing w:after="0" w:line="3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D52B1E"/>
        </w:rPr>
        <w:t>Minimize our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-44450</wp:posOffset>
            </wp:positionV>
            <wp:extent cx="248475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303" w:lineRule="exact"/>
        <w:rPr>
          <w:sz w:val="20"/>
          <w:szCs w:val="20"/>
          <w:color w:val="auto"/>
        </w:rPr>
      </w:pPr>
    </w:p>
    <w:p>
      <w:pPr>
        <w:ind w:firstLine="841"/>
        <w:spacing w:after="0" w:line="257" w:lineRule="auto"/>
        <w:rPr>
          <w:sz w:val="20"/>
          <w:szCs w:val="20"/>
          <w:color w:val="auto"/>
        </w:rPr>
      </w:pPr>
      <w:r>
        <w:rPr>
          <w:rFonts w:ascii="Arial" w:cs="Arial" w:eastAsia="Arial" w:hAnsi="Arial"/>
          <w:sz w:val="16"/>
          <w:szCs w:val="16"/>
          <w:color w:val="auto"/>
        </w:rPr>
        <w:t>We believe that making life better means protecting and preserving the world in which we live. While making medicines requires the use of valuable resources, including energy, water, and raw materials, we remain committed to improving our environmental impact across our product life cycles and supply chain. We have set 2030 sustainability goals to reduce our emissions and waste and to continue using water responsibly and efficiently.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Overview</w:t>
      </w:r>
    </w:p>
    <w:p>
      <w:pPr>
        <w:spacing w:after="0" w:line="54"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At Lilly,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501459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14595" cy="7620"/>
                    </a:xfrm>
                    <a:prstGeom prst="rect">
                      <a:avLst/>
                    </a:prstGeom>
                    <a:noFill/>
                  </pic:spPr>
                </pic:pic>
              </a:graphicData>
            </a:graphic>
          </wp:anchor>
        </w:drawing>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Measuring Progress on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01459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014595" cy="7620"/>
                    </a:xfrm>
                    <a:prstGeom prst="rect">
                      <a:avLst/>
                    </a:prstGeom>
                    <a:noFill/>
                  </pic:spPr>
                </pic:pic>
              </a:graphicData>
            </a:graphic>
          </wp:anchor>
        </w:drawing>
      </w:r>
    </w:p>
    <w:p>
      <w:pPr>
        <w:spacing w:after="0" w:line="249" w:lineRule="exact"/>
        <w:rPr>
          <w:sz w:val="20"/>
          <w:szCs w:val="20"/>
          <w:color w:val="auto"/>
        </w:rPr>
      </w:pPr>
    </w:p>
    <w:p>
      <w:pPr>
        <w:jc w:val="both"/>
        <w:ind w:right="240"/>
        <w:spacing w:after="0" w:line="242" w:lineRule="auto"/>
        <w:rPr>
          <w:sz w:val="20"/>
          <w:szCs w:val="20"/>
          <w:color w:val="auto"/>
        </w:rPr>
      </w:pPr>
      <w:r>
        <w:rPr>
          <w:rFonts w:ascii="Arial" w:cs="Arial" w:eastAsia="Arial" w:hAnsi="Arial"/>
          <w:sz w:val="16"/>
          <w:szCs w:val="16"/>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we believe that diverse representation at all levels makes Lilly a stronger and more innovative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452755" cy="4076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2755" cy="407670"/>
                    </a:xfrm>
                    <a:prstGeom prst="rect">
                      <a:avLst/>
                    </a:prstGeom>
                    <a:noFill/>
                  </pic:spPr>
                </pic:pic>
              </a:graphicData>
            </a:graphic>
          </wp:anchor>
        </w:drawing>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D52B1E"/>
        </w:rPr>
        <w:t>Employee Journeys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-44450</wp:posOffset>
            </wp:positionV>
            <wp:extent cx="330073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00730" cy="7620"/>
                    </a:xfrm>
                    <a:prstGeom prst="rect">
                      <a:avLst/>
                    </a:prstGeom>
                    <a:noFill/>
                  </pic:spPr>
                </pic:pic>
              </a:graphicData>
            </a:graphic>
          </wp:anchor>
        </w:drawing>
      </w:r>
    </w:p>
    <w:p>
      <w:pPr>
        <w:spacing w:after="0" w:line="303" w:lineRule="exact"/>
        <w:rPr>
          <w:sz w:val="20"/>
          <w:szCs w:val="20"/>
          <w:color w:val="auto"/>
        </w:rPr>
      </w:pPr>
    </w:p>
    <w:p>
      <w:pPr>
        <w:ind w:right="20" w:firstLine="841"/>
        <w:spacing w:after="0" w:line="288" w:lineRule="auto"/>
        <w:rPr>
          <w:sz w:val="20"/>
          <w:szCs w:val="20"/>
          <w:color w:val="auto"/>
        </w:rPr>
      </w:pPr>
      <w:r>
        <w:rPr>
          <w:rFonts w:ascii="Arial" w:cs="Arial" w:eastAsia="Arial" w:hAnsi="Arial"/>
          <w:sz w:val="14"/>
          <w:szCs w:val="14"/>
          <w:color w:val="auto"/>
        </w:rPr>
        <w:t>We believe that fostering DEI begins with understanding, and we have approached DEI with the same rigor as our other business-critical priorities. Our Employee Journeys research has yielded important insights about the experiences of women, Black/African American, Latinx, Asian, and LGBTQ+ employees at Lilly. In response to insights from our Employee Journeys research, we developed, among others, an education and awareness program to help build cultural literacy and foster an understanding of employee expectations for feeling psychologically safe at work. More than 3,500 leaders and more than 13,000 employees have participated in required training to gain greater awareness of how unconscious bias and microaggressions can harm team cohesiveness and hurt employee engagement. Our Employee Journeys research has also resulted in growing energy around DEI, with a company-wide network of DEI champions, initiatives, and teams across business areas—and an expanding appreciation of the value of different perspectives. The results of this research are reviewed by our senior leadership, and we deploy actions and activities in response to these insights to improve our workplace and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452755" cy="422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2755" cy="42291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D52B1E"/>
        </w:rPr>
        <w:t>Racial Justice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-44450</wp:posOffset>
            </wp:positionV>
            <wp:extent cx="292290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22905" cy="7620"/>
                    </a:xfrm>
                    <a:prstGeom prst="rect">
                      <a:avLst/>
                    </a:prstGeom>
                    <a:noFill/>
                  </pic:spPr>
                </pic:pic>
              </a:graphicData>
            </a:graphic>
          </wp:anchor>
        </w:drawing>
      </w:r>
    </w:p>
    <w:p>
      <w:pPr>
        <w:spacing w:after="0" w:line="303" w:lineRule="exact"/>
        <w:rPr>
          <w:sz w:val="20"/>
          <w:szCs w:val="20"/>
          <w:color w:val="auto"/>
        </w:rPr>
      </w:pPr>
    </w:p>
    <w:p>
      <w:pPr>
        <w:ind w:firstLine="841"/>
        <w:spacing w:after="0" w:line="249" w:lineRule="auto"/>
        <w:rPr>
          <w:sz w:val="20"/>
          <w:szCs w:val="20"/>
          <w:color w:val="auto"/>
        </w:rPr>
      </w:pPr>
      <w:r>
        <w:rPr>
          <w:rFonts w:ascii="Arial" w:cs="Arial" w:eastAsia="Arial" w:hAnsi="Arial"/>
          <w:sz w:val="16"/>
          <w:szCs w:val="16"/>
          <w:color w:val="auto"/>
        </w:rPr>
        <w:t>In 2020, Lilly and the Lilly Foundation launched the Racial Justice Commitment, with Lilly pledging 25,000 volunteer hours over five years and the Lilly Foundation committing $25 million over five years to help decrease the burden of racial injustice and its effects on communities of color. The Racial Justice Commitment aims to drive change across five areas: internal people development, health equity, social impact, diversity partners, and family sustaining jobs, through the use of financial and people resources. From 2020 through 2022, we have made progress in these efforts, including nearly tripling our spend with Black-owned businesses, committing over $98 million to minority-led venture capital firms, serving over 30,000 volunteer hours to advance racial justice initiatives, and expanding our Skills First Program at Lilly for individuals without four-year college degrees.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42" w:name="page43"/>
    <w:bookmarkEnd w:id="42"/>
    <w:p>
      <w:pPr>
        <w:ind w:left="920"/>
        <w:spacing w:after="0"/>
        <w:rPr>
          <w:sz w:val="20"/>
          <w:szCs w:val="20"/>
          <w:color w:val="auto"/>
        </w:rPr>
      </w:pPr>
      <w:r>
        <w:rPr>
          <w:rFonts w:ascii="Arial" w:cs="Arial" w:eastAsia="Arial" w:hAnsi="Arial"/>
          <w:sz w:val="17"/>
          <w:szCs w:val="17"/>
          <w:b w:val="1"/>
          <w:bCs w:val="1"/>
          <w:color w:val="D52B1E"/>
        </w:rPr>
        <w:drawing>
          <wp:anchor simplePos="0" relativeHeight="251657728" behindDoc="1" locked="0" layoutInCell="0" allowOverlap="1">
            <wp:simplePos x="0" y="0"/>
            <wp:positionH relativeFrom="page">
              <wp:posOffset>198755</wp:posOffset>
            </wp:positionH>
            <wp:positionV relativeFrom="page">
              <wp:posOffset>548640</wp:posOffset>
            </wp:positionV>
            <wp:extent cx="452755" cy="422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2755" cy="422910"/>
                    </a:xfrm>
                    <a:prstGeom prst="rect">
                      <a:avLst/>
                    </a:prstGeom>
                    <a:noFill/>
                  </pic:spPr>
                </pic:pic>
              </a:graphicData>
            </a:graphic>
          </wp:anchor>
        </w:drawing>
        <w:t>Workforce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-44450</wp:posOffset>
            </wp:positionV>
            <wp:extent cx="330073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00730" cy="7620"/>
                    </a:xfrm>
                    <a:prstGeom prst="rect">
                      <a:avLst/>
                    </a:prstGeom>
                    <a:noFill/>
                  </pic:spPr>
                </pic:pic>
              </a:graphicData>
            </a:graphic>
          </wp:anchor>
        </w:drawing>
      </w:r>
    </w:p>
    <w:p>
      <w:pPr>
        <w:spacing w:after="0" w:line="315" w:lineRule="exact"/>
        <w:rPr>
          <w:sz w:val="20"/>
          <w:szCs w:val="20"/>
          <w:color w:val="auto"/>
        </w:rPr>
      </w:pPr>
    </w:p>
    <w:p>
      <w:pPr>
        <w:ind w:firstLine="841"/>
        <w:spacing w:after="0" w:line="285" w:lineRule="auto"/>
        <w:rPr>
          <w:sz w:val="20"/>
          <w:szCs w:val="20"/>
          <w:color w:val="auto"/>
        </w:rPr>
      </w:pPr>
      <w:r>
        <w:rPr>
          <w:rFonts w:ascii="Arial" w:cs="Arial" w:eastAsia="Arial" w:hAnsi="Arial"/>
          <w:sz w:val="14"/>
          <w:szCs w:val="14"/>
          <w:color w:val="auto"/>
        </w:rPr>
        <w:t>Since 2017, we have committed to increasing women, Black/African American, Latinx, and Asian representation in leadership roles, and we actively monitor our progress. From the end of 2018 through the end of 2022, we increased the percentage of women in management globally from 42 percent to 49 percent. For MGM in the United States, over the same period, we increased management representation from 19 percent to 25 percent. Across all levels of our workforce, from the end of 2018 through the end of 2022, we have seen increased representation for MGMs in the United States and women globally.</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335"/>
        </w:trPr>
        <w:tc>
          <w:tcPr>
            <w:tcW w:w="1500" w:type="dxa"/>
            <w:vAlign w:val="bottom"/>
          </w:tcPr>
          <w:p>
            <w:pPr>
              <w:jc w:val="center"/>
              <w:spacing w:after="0"/>
              <w:rPr>
                <w:sz w:val="20"/>
                <w:szCs w:val="20"/>
                <w:color w:val="auto"/>
              </w:rPr>
            </w:pPr>
            <w:r>
              <w:rPr>
                <w:rFonts w:ascii="Arial" w:cs="Arial" w:eastAsia="Arial" w:hAnsi="Arial"/>
                <w:sz w:val="28"/>
                <w:szCs w:val="28"/>
                <w:color w:val="D52B1E"/>
              </w:rPr>
              <w:t>5</w:t>
            </w:r>
          </w:p>
        </w:tc>
        <w:tc>
          <w:tcPr>
            <w:tcW w:w="1680" w:type="dxa"/>
            <w:vAlign w:val="bottom"/>
          </w:tcPr>
          <w:p>
            <w:pPr>
              <w:jc w:val="center"/>
              <w:spacing w:after="0"/>
              <w:rPr>
                <w:sz w:val="20"/>
                <w:szCs w:val="20"/>
                <w:color w:val="auto"/>
              </w:rPr>
            </w:pPr>
            <w:r>
              <w:rPr>
                <w:rFonts w:ascii="Arial" w:cs="Arial" w:eastAsia="Arial" w:hAnsi="Arial"/>
                <w:sz w:val="28"/>
                <w:szCs w:val="28"/>
                <w:color w:val="D52B1E"/>
              </w:rPr>
              <w:t>3</w:t>
            </w:r>
          </w:p>
        </w:tc>
        <w:tc>
          <w:tcPr>
            <w:tcW w:w="1480" w:type="dxa"/>
            <w:vAlign w:val="bottom"/>
          </w:tcPr>
          <w:p>
            <w:pPr>
              <w:jc w:val="center"/>
              <w:ind w:right="7"/>
              <w:spacing w:after="0"/>
              <w:rPr>
                <w:sz w:val="20"/>
                <w:szCs w:val="20"/>
                <w:color w:val="auto"/>
              </w:rPr>
            </w:pPr>
            <w:r>
              <w:rPr>
                <w:rFonts w:ascii="Arial" w:cs="Arial" w:eastAsia="Arial" w:hAnsi="Arial"/>
                <w:sz w:val="28"/>
                <w:szCs w:val="28"/>
                <w:color w:val="D52B1E"/>
                <w:w w:val="89"/>
              </w:rPr>
              <w:t>5</w:t>
            </w:r>
          </w:p>
        </w:tc>
        <w:tc>
          <w:tcPr>
            <w:tcW w:w="1360" w:type="dxa"/>
            <w:vAlign w:val="bottom"/>
          </w:tcPr>
          <w:p>
            <w:pPr>
              <w:jc w:val="center"/>
              <w:ind w:left="107"/>
              <w:spacing w:after="0"/>
              <w:rPr>
                <w:sz w:val="20"/>
                <w:szCs w:val="20"/>
                <w:color w:val="auto"/>
              </w:rPr>
            </w:pPr>
            <w:r>
              <w:rPr>
                <w:rFonts w:ascii="Arial" w:cs="Arial" w:eastAsia="Arial" w:hAnsi="Arial"/>
                <w:sz w:val="28"/>
                <w:szCs w:val="28"/>
                <w:color w:val="D52B1E"/>
              </w:rPr>
              <w:t>6</w:t>
            </w:r>
          </w:p>
        </w:tc>
      </w:tr>
      <w:tr>
        <w:trPr>
          <w:trHeight w:val="242"/>
        </w:trPr>
        <w:tc>
          <w:tcPr>
            <w:tcW w:w="1500" w:type="dxa"/>
            <w:vAlign w:val="bottom"/>
          </w:tcPr>
          <w:p>
            <w:pPr>
              <w:jc w:val="center"/>
              <w:spacing w:after="0"/>
              <w:rPr>
                <w:sz w:val="20"/>
                <w:szCs w:val="20"/>
                <w:color w:val="auto"/>
              </w:rPr>
            </w:pPr>
            <w:r>
              <w:rPr>
                <w:rFonts w:ascii="Arial" w:cs="Arial" w:eastAsia="Arial" w:hAnsi="Arial"/>
                <w:sz w:val="19"/>
                <w:szCs w:val="19"/>
                <w:b w:val="1"/>
                <w:bCs w:val="1"/>
                <w:color w:val="auto"/>
                <w:w w:val="99"/>
              </w:rPr>
              <w:t>Women</w:t>
            </w:r>
          </w:p>
        </w:tc>
        <w:tc>
          <w:tcPr>
            <w:tcW w:w="1680" w:type="dxa"/>
            <w:vAlign w:val="bottom"/>
          </w:tcPr>
          <w:p>
            <w:pPr>
              <w:jc w:val="center"/>
              <w:spacing w:after="0"/>
              <w:rPr>
                <w:sz w:val="20"/>
                <w:szCs w:val="20"/>
                <w:color w:val="auto"/>
              </w:rPr>
            </w:pPr>
            <w:r>
              <w:rPr>
                <w:rFonts w:ascii="Arial" w:cs="Arial" w:eastAsia="Arial" w:hAnsi="Arial"/>
                <w:sz w:val="19"/>
                <w:szCs w:val="19"/>
                <w:b w:val="1"/>
                <w:bCs w:val="1"/>
                <w:color w:val="auto"/>
                <w:w w:val="98"/>
              </w:rPr>
              <w:t>MGMs</w:t>
            </w:r>
          </w:p>
        </w:tc>
        <w:tc>
          <w:tcPr>
            <w:tcW w:w="1480" w:type="dxa"/>
            <w:vAlign w:val="bottom"/>
          </w:tcPr>
          <w:p>
            <w:pPr>
              <w:jc w:val="center"/>
              <w:ind w:right="7"/>
              <w:spacing w:after="0"/>
              <w:rPr>
                <w:sz w:val="20"/>
                <w:szCs w:val="20"/>
                <w:color w:val="auto"/>
              </w:rPr>
            </w:pPr>
            <w:r>
              <w:rPr>
                <w:rFonts w:ascii="Arial" w:cs="Arial" w:eastAsia="Arial" w:hAnsi="Arial"/>
                <w:sz w:val="19"/>
                <w:szCs w:val="19"/>
                <w:b w:val="1"/>
                <w:bCs w:val="1"/>
                <w:color w:val="auto"/>
                <w:w w:val="96"/>
              </w:rPr>
              <w:t>Women</w:t>
            </w:r>
          </w:p>
        </w:tc>
        <w:tc>
          <w:tcPr>
            <w:tcW w:w="1360" w:type="dxa"/>
            <w:vAlign w:val="bottom"/>
          </w:tcPr>
          <w:p>
            <w:pPr>
              <w:jc w:val="center"/>
              <w:ind w:left="107"/>
              <w:spacing w:after="0"/>
              <w:rPr>
                <w:sz w:val="20"/>
                <w:szCs w:val="20"/>
                <w:color w:val="auto"/>
              </w:rPr>
            </w:pPr>
            <w:r>
              <w:rPr>
                <w:rFonts w:ascii="Arial" w:cs="Arial" w:eastAsia="Arial" w:hAnsi="Arial"/>
                <w:sz w:val="19"/>
                <w:szCs w:val="19"/>
                <w:b w:val="1"/>
                <w:bCs w:val="1"/>
                <w:color w:val="auto"/>
                <w:w w:val="98"/>
              </w:rPr>
              <w:t>MGMs</w:t>
            </w:r>
          </w:p>
        </w:tc>
      </w:tr>
      <w:tr>
        <w:trPr>
          <w:trHeight w:val="155"/>
        </w:trPr>
        <w:tc>
          <w:tcPr>
            <w:tcW w:w="1500" w:type="dxa"/>
            <w:vAlign w:val="bottom"/>
          </w:tcPr>
          <w:p>
            <w:pPr>
              <w:jc w:val="center"/>
              <w:spacing w:after="0" w:line="155" w:lineRule="exact"/>
              <w:rPr>
                <w:sz w:val="20"/>
                <w:szCs w:val="20"/>
                <w:color w:val="auto"/>
              </w:rPr>
            </w:pPr>
            <w:r>
              <w:rPr>
                <w:rFonts w:ascii="Arial" w:cs="Arial" w:eastAsia="Arial" w:hAnsi="Arial"/>
                <w:sz w:val="16"/>
                <w:szCs w:val="16"/>
                <w:color w:val="auto"/>
                <w:w w:val="97"/>
              </w:rPr>
              <w:t>out of 15 current</w:t>
            </w:r>
          </w:p>
        </w:tc>
        <w:tc>
          <w:tcPr>
            <w:tcW w:w="1680" w:type="dxa"/>
            <w:vAlign w:val="bottom"/>
          </w:tcPr>
          <w:p>
            <w:pPr>
              <w:jc w:val="center"/>
              <w:spacing w:after="0" w:line="155" w:lineRule="exact"/>
              <w:rPr>
                <w:sz w:val="20"/>
                <w:szCs w:val="20"/>
                <w:color w:val="auto"/>
              </w:rPr>
            </w:pPr>
            <w:r>
              <w:rPr>
                <w:rFonts w:ascii="Arial" w:cs="Arial" w:eastAsia="Arial" w:hAnsi="Arial"/>
                <w:sz w:val="16"/>
                <w:szCs w:val="16"/>
                <w:color w:val="auto"/>
                <w:w w:val="96"/>
              </w:rPr>
              <w:t>out of 15 current</w:t>
            </w:r>
          </w:p>
        </w:tc>
        <w:tc>
          <w:tcPr>
            <w:tcW w:w="1480" w:type="dxa"/>
            <w:vAlign w:val="bottom"/>
          </w:tcPr>
          <w:p>
            <w:pPr>
              <w:jc w:val="center"/>
              <w:ind w:right="7"/>
              <w:spacing w:after="0" w:line="155" w:lineRule="exact"/>
              <w:rPr>
                <w:sz w:val="20"/>
                <w:szCs w:val="20"/>
                <w:color w:val="auto"/>
              </w:rPr>
            </w:pPr>
            <w:r>
              <w:rPr>
                <w:rFonts w:ascii="Arial" w:cs="Arial" w:eastAsia="Arial" w:hAnsi="Arial"/>
                <w:sz w:val="16"/>
                <w:szCs w:val="16"/>
                <w:color w:val="auto"/>
                <w:w w:val="97"/>
              </w:rPr>
              <w:t>out of 13 current</w:t>
            </w:r>
          </w:p>
        </w:tc>
        <w:tc>
          <w:tcPr>
            <w:tcW w:w="1360" w:type="dxa"/>
            <w:vAlign w:val="bottom"/>
          </w:tcPr>
          <w:p>
            <w:pPr>
              <w:jc w:val="center"/>
              <w:ind w:left="107"/>
              <w:spacing w:after="0" w:line="155" w:lineRule="exact"/>
              <w:rPr>
                <w:sz w:val="20"/>
                <w:szCs w:val="20"/>
                <w:color w:val="auto"/>
              </w:rPr>
            </w:pPr>
            <w:r>
              <w:rPr>
                <w:rFonts w:ascii="Arial" w:cs="Arial" w:eastAsia="Arial" w:hAnsi="Arial"/>
                <w:sz w:val="16"/>
                <w:szCs w:val="16"/>
                <w:color w:val="auto"/>
                <w:w w:val="96"/>
              </w:rPr>
              <w:t>out of 13 current</w:t>
            </w:r>
          </w:p>
        </w:tc>
      </w:tr>
      <w:tr>
        <w:trPr>
          <w:trHeight w:val="152"/>
        </w:trPr>
        <w:tc>
          <w:tcPr>
            <w:tcW w:w="150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8"/>
              </w:rPr>
              <w:t>executive</w:t>
            </w:r>
          </w:p>
        </w:tc>
        <w:tc>
          <w:tcPr>
            <w:tcW w:w="168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6"/>
              </w:rPr>
              <w:t>executive committee</w:t>
            </w:r>
          </w:p>
        </w:tc>
        <w:tc>
          <w:tcPr>
            <w:tcW w:w="1480" w:type="dxa"/>
            <w:vAlign w:val="bottom"/>
          </w:tcPr>
          <w:p>
            <w:pPr>
              <w:jc w:val="center"/>
              <w:ind w:right="7"/>
              <w:spacing w:after="0" w:line="152" w:lineRule="exact"/>
              <w:rPr>
                <w:sz w:val="20"/>
                <w:szCs w:val="20"/>
                <w:color w:val="auto"/>
              </w:rPr>
            </w:pPr>
            <w:r>
              <w:rPr>
                <w:rFonts w:ascii="Arial" w:cs="Arial" w:eastAsia="Arial" w:hAnsi="Arial"/>
                <w:sz w:val="16"/>
                <w:szCs w:val="16"/>
                <w:b w:val="1"/>
                <w:bCs w:val="1"/>
                <w:color w:val="auto"/>
                <w:w w:val="96"/>
              </w:rPr>
              <w:t xml:space="preserve">directors </w:t>
            </w:r>
            <w:r>
              <w:rPr>
                <w:rFonts w:ascii="Arial" w:cs="Arial" w:eastAsia="Arial" w:hAnsi="Arial"/>
                <w:sz w:val="16"/>
                <w:szCs w:val="16"/>
                <w:color w:val="auto"/>
                <w:w w:val="96"/>
              </w:rPr>
              <w:t>on our</w:t>
            </w:r>
          </w:p>
        </w:tc>
        <w:tc>
          <w:tcPr>
            <w:tcW w:w="1360" w:type="dxa"/>
            <w:vAlign w:val="bottom"/>
          </w:tcPr>
          <w:p>
            <w:pPr>
              <w:jc w:val="center"/>
              <w:ind w:left="107"/>
              <w:spacing w:after="0" w:line="152" w:lineRule="exact"/>
              <w:rPr>
                <w:sz w:val="20"/>
                <w:szCs w:val="20"/>
                <w:color w:val="auto"/>
              </w:rPr>
            </w:pPr>
            <w:r>
              <w:rPr>
                <w:rFonts w:ascii="Arial" w:cs="Arial" w:eastAsia="Arial" w:hAnsi="Arial"/>
                <w:sz w:val="16"/>
                <w:szCs w:val="16"/>
                <w:b w:val="1"/>
                <w:bCs w:val="1"/>
                <w:color w:val="auto"/>
                <w:w w:val="98"/>
              </w:rPr>
              <w:t xml:space="preserve">directors </w:t>
            </w:r>
            <w:r>
              <w:rPr>
                <w:rFonts w:ascii="Arial" w:cs="Arial" w:eastAsia="Arial" w:hAnsi="Arial"/>
                <w:sz w:val="16"/>
                <w:szCs w:val="16"/>
                <w:color w:val="auto"/>
                <w:w w:val="98"/>
              </w:rPr>
              <w:t>on our</w:t>
            </w:r>
          </w:p>
        </w:tc>
      </w:tr>
      <w:tr>
        <w:trPr>
          <w:trHeight w:val="215"/>
        </w:trPr>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7"/>
              </w:rPr>
              <w:t xml:space="preserve">committee </w:t>
            </w:r>
            <w:r>
              <w:rPr>
                <w:rFonts w:ascii="Arial" w:cs="Arial" w:eastAsia="Arial" w:hAnsi="Arial"/>
                <w:sz w:val="16"/>
                <w:szCs w:val="16"/>
                <w:color w:val="auto"/>
                <w:w w:val="97"/>
              </w:rPr>
              <w:t>members</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members</w:t>
            </w:r>
          </w:p>
        </w:tc>
        <w:tc>
          <w:tcPr>
            <w:tcW w:w="1480" w:type="dxa"/>
            <w:vAlign w:val="bottom"/>
          </w:tcPr>
          <w:p>
            <w:pPr>
              <w:jc w:val="center"/>
              <w:spacing w:after="0"/>
              <w:rPr>
                <w:sz w:val="20"/>
                <w:szCs w:val="20"/>
                <w:color w:val="auto"/>
              </w:rPr>
            </w:pPr>
            <w:r>
              <w:rPr>
                <w:rFonts w:ascii="Arial" w:cs="Arial" w:eastAsia="Arial" w:hAnsi="Arial"/>
                <w:sz w:val="16"/>
                <w:szCs w:val="16"/>
                <w:color w:val="auto"/>
                <w:w w:val="97"/>
              </w:rPr>
              <w:t>board</w:t>
            </w:r>
          </w:p>
        </w:tc>
        <w:tc>
          <w:tcPr>
            <w:tcW w:w="1360" w:type="dxa"/>
            <w:vAlign w:val="bottom"/>
          </w:tcPr>
          <w:p>
            <w:pPr>
              <w:jc w:val="center"/>
              <w:ind w:left="107"/>
              <w:spacing w:after="0"/>
              <w:rPr>
                <w:sz w:val="20"/>
                <w:szCs w:val="20"/>
                <w:color w:val="auto"/>
              </w:rPr>
            </w:pPr>
            <w:r>
              <w:rPr>
                <w:rFonts w:ascii="Arial" w:cs="Arial" w:eastAsia="Arial" w:hAnsi="Arial"/>
                <w:sz w:val="16"/>
                <w:szCs w:val="16"/>
                <w:color w:val="auto"/>
                <w:w w:val="97"/>
              </w:rPr>
              <w:t>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984750" cy="2959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984750" cy="295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D52B1E"/>
        </w:rPr>
        <w:t>Spotlight on Level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4992370" cy="779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92370" cy="779145"/>
                    </a:xfrm>
                    <a:prstGeom prst="rect">
                      <a:avLst/>
                    </a:prstGeom>
                    <a:noFill/>
                  </pic:spPr>
                </pic:pic>
              </a:graphicData>
            </a:graphic>
          </wp:anchor>
        </w:drawing>
      </w:r>
    </w:p>
    <w:p>
      <w:pPr>
        <w:spacing w:after="0" w:line="62" w:lineRule="exact"/>
        <w:rPr>
          <w:sz w:val="20"/>
          <w:szCs w:val="20"/>
          <w:color w:val="auto"/>
        </w:rPr>
      </w:pPr>
    </w:p>
    <w:p>
      <w:pPr>
        <w:ind w:left="240" w:right="3540"/>
        <w:spacing w:after="0" w:line="250" w:lineRule="auto"/>
        <w:rPr>
          <w:sz w:val="20"/>
          <w:szCs w:val="20"/>
          <w:color w:val="auto"/>
        </w:rPr>
      </w:pPr>
      <w:r>
        <w:rPr>
          <w:rFonts w:ascii="Arial" w:cs="Arial" w:eastAsia="Arial" w:hAnsi="Arial"/>
          <w:sz w:val="16"/>
          <w:szCs w:val="16"/>
          <w:color w:val="auto"/>
        </w:rPr>
        <w:t>In 2022 Lilly hosted our biggest ever Global DEI conference, ‘Level Up’, with approximately 6,000 employees attending virtually and in person. The conference brought together employees and leaders across the company to embrace the rich dimensions of difference that exist across Team Lilly and to help become advocates for equity and inclusion through a variety of interactive workshops and external speakers.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Recognition</w:t>
      </w:r>
    </w:p>
    <w:p>
      <w:pPr>
        <w:spacing w:after="0" w:line="54" w:lineRule="exact"/>
        <w:rPr>
          <w:sz w:val="20"/>
          <w:szCs w:val="20"/>
          <w:color w:val="auto"/>
        </w:rPr>
      </w:pPr>
    </w:p>
    <w:p>
      <w:pPr>
        <w:ind w:right="560"/>
        <w:spacing w:after="0" w:line="271" w:lineRule="auto"/>
        <w:rPr>
          <w:sz w:val="20"/>
          <w:szCs w:val="20"/>
          <w:color w:val="auto"/>
        </w:rPr>
      </w:pPr>
      <w:r>
        <w:rPr>
          <w:rFonts w:ascii="Arial" w:cs="Arial" w:eastAsia="Arial" w:hAnsi="Arial"/>
          <w:sz w:val="16"/>
          <w:szCs w:val="16"/>
          <w:color w:val="auto"/>
        </w:rPr>
        <w:t>At Lilly we strive to be leaders in DEI and workplace benefits, and we are honored when we receive recognition for our efforts to improve the lives of our employees. Below are some of our accolades for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7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D52B1E"/>
              </w:rPr>
              <w:t>DiversityInc:</w:t>
            </w:r>
          </w:p>
        </w:tc>
        <w:tc>
          <w:tcPr>
            <w:tcW w:w="1940" w:type="dxa"/>
            <w:vAlign w:val="bottom"/>
            <w:tcBorders>
              <w:right w:val="single" w:sz="8" w:color="auto"/>
            </w:tcBorders>
          </w:tcPr>
          <w:p>
            <w:pPr>
              <w:ind w:left="220"/>
              <w:spacing w:after="0"/>
              <w:rPr>
                <w:sz w:val="20"/>
                <w:szCs w:val="20"/>
                <w:color w:val="auto"/>
              </w:rPr>
            </w:pPr>
            <w:r>
              <w:rPr>
                <w:rFonts w:ascii="Arial" w:cs="Arial" w:eastAsia="Arial" w:hAnsi="Arial"/>
                <w:sz w:val="16"/>
                <w:szCs w:val="16"/>
                <w:b w:val="1"/>
                <w:bCs w:val="1"/>
                <w:color w:val="D52B1E"/>
              </w:rPr>
              <w:t>DiversityInc:</w:t>
            </w:r>
          </w:p>
        </w:tc>
        <w:tc>
          <w:tcPr>
            <w:tcW w:w="1760" w:type="dxa"/>
            <w:vAlign w:val="bottom"/>
            <w:tcBorders>
              <w:right w:val="single" w:sz="8" w:color="auto"/>
            </w:tcBorders>
          </w:tcPr>
          <w:p>
            <w:pPr>
              <w:ind w:left="220"/>
              <w:spacing w:after="0"/>
              <w:rPr>
                <w:sz w:val="20"/>
                <w:szCs w:val="20"/>
                <w:color w:val="auto"/>
              </w:rPr>
            </w:pPr>
            <w:r>
              <w:rPr>
                <w:rFonts w:ascii="Arial" w:cs="Arial" w:eastAsia="Arial" w:hAnsi="Arial"/>
                <w:sz w:val="16"/>
                <w:szCs w:val="16"/>
                <w:b w:val="1"/>
                <w:bCs w:val="1"/>
                <w:color w:val="D52B1E"/>
              </w:rPr>
              <w:t>DiversityInc:</w:t>
            </w:r>
          </w:p>
        </w:tc>
        <w:tc>
          <w:tcPr>
            <w:tcW w:w="2440" w:type="dxa"/>
            <w:vAlign w:val="bottom"/>
          </w:tcPr>
          <w:p>
            <w:pPr>
              <w:ind w:left="220"/>
              <w:spacing w:after="0"/>
              <w:rPr>
                <w:sz w:val="20"/>
                <w:szCs w:val="20"/>
                <w:color w:val="auto"/>
              </w:rPr>
            </w:pPr>
            <w:r>
              <w:rPr>
                <w:rFonts w:ascii="Arial" w:cs="Arial" w:eastAsia="Arial" w:hAnsi="Arial"/>
                <w:sz w:val="16"/>
                <w:szCs w:val="16"/>
                <w:b w:val="1"/>
                <w:bCs w:val="1"/>
                <w:color w:val="D52B1E"/>
              </w:rPr>
              <w:t>DiversityInc:</w:t>
            </w:r>
          </w:p>
        </w:tc>
      </w:tr>
      <w:tr>
        <w:trPr>
          <w:trHeight w:val="187"/>
        </w:trPr>
        <w:tc>
          <w:tcPr>
            <w:tcW w:w="1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Top 50 Companies</w:t>
            </w:r>
          </w:p>
        </w:tc>
        <w:tc>
          <w:tcPr>
            <w:tcW w:w="19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Top Companies for</w:t>
            </w:r>
          </w:p>
        </w:tc>
        <w:tc>
          <w:tcPr>
            <w:tcW w:w="17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Top Companies</w:t>
            </w:r>
          </w:p>
        </w:tc>
        <w:tc>
          <w:tcPr>
            <w:tcW w:w="2440" w:type="dxa"/>
            <w:vAlign w:val="bottom"/>
          </w:tcPr>
          <w:p>
            <w:pPr>
              <w:ind w:left="220"/>
              <w:spacing w:after="0"/>
              <w:rPr>
                <w:sz w:val="20"/>
                <w:szCs w:val="20"/>
                <w:color w:val="auto"/>
              </w:rPr>
            </w:pPr>
            <w:r>
              <w:rPr>
                <w:rFonts w:ascii="Arial" w:cs="Arial" w:eastAsia="Arial" w:hAnsi="Arial"/>
                <w:sz w:val="16"/>
                <w:szCs w:val="16"/>
                <w:color w:val="auto"/>
              </w:rPr>
              <w:t>Top Companies for ESG: No.</w:t>
            </w:r>
          </w:p>
        </w:tc>
      </w:tr>
      <w:tr>
        <w:trPr>
          <w:trHeight w:val="187"/>
        </w:trPr>
        <w:tc>
          <w:tcPr>
            <w:tcW w:w="1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 Diversity: No. 5</w:t>
            </w:r>
          </w:p>
        </w:tc>
        <w:tc>
          <w:tcPr>
            <w:tcW w:w="19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Board of Directors:</w:t>
            </w:r>
          </w:p>
        </w:tc>
        <w:tc>
          <w:tcPr>
            <w:tcW w:w="17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for Supplier</w:t>
            </w:r>
          </w:p>
        </w:tc>
        <w:tc>
          <w:tcPr>
            <w:tcW w:w="2440" w:type="dxa"/>
            <w:vAlign w:val="bottom"/>
          </w:tcPr>
          <w:p>
            <w:pPr>
              <w:ind w:left="220"/>
              <w:spacing w:after="0"/>
              <w:rPr>
                <w:sz w:val="20"/>
                <w:szCs w:val="20"/>
                <w:color w:val="auto"/>
              </w:rPr>
            </w:pPr>
            <w:r>
              <w:rPr>
                <w:rFonts w:ascii="Arial" w:cs="Arial" w:eastAsia="Arial" w:hAnsi="Arial"/>
                <w:sz w:val="16"/>
                <w:szCs w:val="16"/>
                <w:color w:val="auto"/>
              </w:rPr>
              <w:t>15</w:t>
            </w:r>
          </w:p>
        </w:tc>
      </w:tr>
      <w:tr>
        <w:trPr>
          <w:trHeight w:val="205"/>
        </w:trPr>
        <w:tc>
          <w:tcPr>
            <w:tcW w:w="17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No. 2</w:t>
            </w:r>
          </w:p>
        </w:tc>
        <w:tc>
          <w:tcPr>
            <w:tcW w:w="17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Diversity: No. 8</w:t>
            </w:r>
          </w:p>
        </w:tc>
        <w:tc>
          <w:tcPr>
            <w:tcW w:w="2440" w:type="dxa"/>
            <w:vAlign w:val="bottom"/>
          </w:tcPr>
          <w:p>
            <w:pPr>
              <w:spacing w:after="0"/>
              <w:rPr>
                <w:sz w:val="17"/>
                <w:szCs w:val="17"/>
                <w:color w:val="auto"/>
              </w:rPr>
            </w:pPr>
          </w:p>
        </w:tc>
      </w:tr>
      <w:tr>
        <w:trPr>
          <w:trHeight w:val="160"/>
        </w:trPr>
        <w:tc>
          <w:tcPr>
            <w:tcW w:w="170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2440" w:type="dxa"/>
            <w:vAlign w:val="bottom"/>
          </w:tcPr>
          <w:p>
            <w:pPr>
              <w:spacing w:after="0"/>
              <w:rPr>
                <w:sz w:val="13"/>
                <w:szCs w:val="13"/>
                <w:color w:val="auto"/>
              </w:rPr>
            </w:pPr>
          </w:p>
        </w:tc>
      </w:tr>
      <w:tr>
        <w:trPr>
          <w:trHeight w:val="93"/>
        </w:trPr>
        <w:tc>
          <w:tcPr>
            <w:tcW w:w="17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20" w:top="1067" w:right="5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6"/>
                <w:szCs w:val="16"/>
                <w:b w:val="1"/>
                <w:bCs w:val="1"/>
                <w:color w:val="D52B1E"/>
              </w:rPr>
              <w:t>Ethisphere:</w:t>
            </w:r>
          </w:p>
        </w:tc>
        <w:tc>
          <w:tcPr>
            <w:tcW w:w="20" w:type="dxa"/>
            <w:vAlign w:val="bottom"/>
            <w:shd w:val="clear" w:color="auto" w:fill="000000"/>
          </w:tcPr>
          <w:p>
            <w:pPr>
              <w:spacing w:after="0"/>
              <w:rPr>
                <w:sz w:val="17"/>
                <w:szCs w:val="17"/>
                <w:color w:val="auto"/>
              </w:rPr>
            </w:pPr>
          </w:p>
        </w:tc>
        <w:tc>
          <w:tcPr>
            <w:tcW w:w="1940" w:type="dxa"/>
            <w:vAlign w:val="bottom"/>
          </w:tcPr>
          <w:p>
            <w:pPr>
              <w:ind w:left="220"/>
              <w:spacing w:after="0"/>
              <w:rPr>
                <w:sz w:val="20"/>
                <w:szCs w:val="20"/>
                <w:color w:val="auto"/>
              </w:rPr>
            </w:pPr>
            <w:r>
              <w:rPr>
                <w:rFonts w:ascii="Arial" w:cs="Arial" w:eastAsia="Arial" w:hAnsi="Arial"/>
                <w:sz w:val="16"/>
                <w:szCs w:val="16"/>
                <w:b w:val="1"/>
                <w:bCs w:val="1"/>
                <w:color w:val="D52B1E"/>
              </w:rPr>
              <w:t>Forbes:</w:t>
            </w:r>
          </w:p>
        </w:tc>
        <w:tc>
          <w:tcPr>
            <w:tcW w:w="20" w:type="dxa"/>
            <w:vAlign w:val="bottom"/>
            <w:shd w:val="clear" w:color="auto" w:fill="000000"/>
          </w:tcPr>
          <w:p>
            <w:pPr>
              <w:spacing w:after="0"/>
              <w:rPr>
                <w:sz w:val="17"/>
                <w:szCs w:val="17"/>
                <w:color w:val="auto"/>
              </w:rPr>
            </w:pPr>
          </w:p>
        </w:tc>
        <w:tc>
          <w:tcPr>
            <w:tcW w:w="1720" w:type="dxa"/>
            <w:vAlign w:val="bottom"/>
          </w:tcPr>
          <w:p>
            <w:pPr>
              <w:ind w:left="220"/>
              <w:spacing w:after="0"/>
              <w:rPr>
                <w:sz w:val="20"/>
                <w:szCs w:val="20"/>
                <w:color w:val="auto"/>
              </w:rPr>
            </w:pPr>
            <w:r>
              <w:rPr>
                <w:rFonts w:ascii="Arial" w:cs="Arial" w:eastAsia="Arial" w:hAnsi="Arial"/>
                <w:sz w:val="16"/>
                <w:szCs w:val="16"/>
                <w:b w:val="1"/>
                <w:bCs w:val="1"/>
                <w:color w:val="D52B1E"/>
              </w:rPr>
              <w:t>Zero Project:</w:t>
            </w:r>
          </w:p>
        </w:tc>
        <w:tc>
          <w:tcPr>
            <w:tcW w:w="20" w:type="dxa"/>
            <w:vAlign w:val="bottom"/>
            <w:shd w:val="clear" w:color="auto" w:fill="000000"/>
          </w:tcPr>
          <w:p>
            <w:pPr>
              <w:spacing w:after="0"/>
              <w:rPr>
                <w:sz w:val="17"/>
                <w:szCs w:val="17"/>
                <w:color w:val="auto"/>
              </w:rPr>
            </w:pPr>
          </w:p>
        </w:tc>
        <w:tc>
          <w:tcPr>
            <w:tcW w:w="2440" w:type="dxa"/>
            <w:vAlign w:val="bottom"/>
          </w:tcPr>
          <w:p>
            <w:pPr>
              <w:ind w:left="220"/>
              <w:spacing w:after="0"/>
              <w:rPr>
                <w:sz w:val="20"/>
                <w:szCs w:val="20"/>
                <w:color w:val="auto"/>
              </w:rPr>
            </w:pPr>
            <w:r>
              <w:rPr>
                <w:rFonts w:ascii="Arial" w:cs="Arial" w:eastAsia="Arial" w:hAnsi="Arial"/>
                <w:sz w:val="16"/>
                <w:szCs w:val="16"/>
                <w:b w:val="1"/>
                <w:bCs w:val="1"/>
                <w:color w:val="D52B1E"/>
              </w:rPr>
              <w:t>Disability:IN</w:t>
            </w:r>
          </w:p>
        </w:tc>
        <w:tc>
          <w:tcPr>
            <w:tcW w:w="0" w:type="dxa"/>
            <w:vAlign w:val="bottom"/>
          </w:tcPr>
          <w:p>
            <w:pPr>
              <w:spacing w:after="0"/>
              <w:rPr>
                <w:sz w:val="1"/>
                <w:szCs w:val="1"/>
                <w:color w:val="auto"/>
              </w:rPr>
            </w:pPr>
          </w:p>
        </w:tc>
      </w:tr>
      <w:tr>
        <w:trPr>
          <w:trHeight w:val="167"/>
        </w:trPr>
        <w:tc>
          <w:tcPr>
            <w:tcW w:w="1680" w:type="dxa"/>
            <w:vAlign w:val="bottom"/>
          </w:tcPr>
          <w:p>
            <w:pPr>
              <w:spacing w:after="0" w:line="167" w:lineRule="exact"/>
              <w:rPr>
                <w:sz w:val="20"/>
                <w:szCs w:val="20"/>
                <w:color w:val="auto"/>
              </w:rPr>
            </w:pPr>
            <w:r>
              <w:rPr>
                <w:rFonts w:ascii="Arial" w:cs="Arial" w:eastAsia="Arial" w:hAnsi="Arial"/>
                <w:sz w:val="16"/>
                <w:szCs w:val="16"/>
                <w:color w:val="auto"/>
              </w:rPr>
              <w:t>World’s Most Ethical</w:t>
            </w:r>
          </w:p>
        </w:tc>
        <w:tc>
          <w:tcPr>
            <w:tcW w:w="20" w:type="dxa"/>
            <w:vAlign w:val="bottom"/>
            <w:shd w:val="clear" w:color="auto" w:fill="000000"/>
          </w:tcPr>
          <w:p>
            <w:pPr>
              <w:spacing w:after="0"/>
              <w:rPr>
                <w:sz w:val="14"/>
                <w:szCs w:val="14"/>
                <w:color w:val="auto"/>
              </w:rPr>
            </w:pPr>
          </w:p>
        </w:tc>
        <w:tc>
          <w:tcPr>
            <w:tcW w:w="1940" w:type="dxa"/>
            <w:vAlign w:val="bottom"/>
          </w:tcPr>
          <w:p>
            <w:pPr>
              <w:ind w:left="220"/>
              <w:spacing w:after="0" w:line="167" w:lineRule="exact"/>
              <w:rPr>
                <w:sz w:val="20"/>
                <w:szCs w:val="20"/>
                <w:color w:val="auto"/>
              </w:rPr>
            </w:pPr>
            <w:r>
              <w:rPr>
                <w:rFonts w:ascii="Arial" w:cs="Arial" w:eastAsia="Arial" w:hAnsi="Arial"/>
                <w:sz w:val="16"/>
                <w:szCs w:val="16"/>
                <w:color w:val="auto"/>
              </w:rPr>
              <w:t>America’s Best</w:t>
            </w:r>
          </w:p>
        </w:tc>
        <w:tc>
          <w:tcPr>
            <w:tcW w:w="20" w:type="dxa"/>
            <w:vAlign w:val="bottom"/>
            <w:shd w:val="clear" w:color="auto" w:fill="000000"/>
          </w:tcPr>
          <w:p>
            <w:pPr>
              <w:spacing w:after="0"/>
              <w:rPr>
                <w:sz w:val="14"/>
                <w:szCs w:val="14"/>
                <w:color w:val="auto"/>
              </w:rPr>
            </w:pPr>
          </w:p>
        </w:tc>
        <w:tc>
          <w:tcPr>
            <w:tcW w:w="1720" w:type="dxa"/>
            <w:vAlign w:val="bottom"/>
          </w:tcPr>
          <w:p>
            <w:pPr>
              <w:ind w:left="220"/>
              <w:spacing w:after="0" w:line="167" w:lineRule="exact"/>
              <w:rPr>
                <w:sz w:val="20"/>
                <w:szCs w:val="20"/>
                <w:color w:val="auto"/>
              </w:rPr>
            </w:pPr>
            <w:r>
              <w:rPr>
                <w:rFonts w:ascii="Arial" w:cs="Arial" w:eastAsia="Arial" w:hAnsi="Arial"/>
                <w:sz w:val="16"/>
                <w:szCs w:val="16"/>
                <w:color w:val="auto"/>
              </w:rPr>
              <w:t>Zero Project</w:t>
            </w:r>
          </w:p>
        </w:tc>
        <w:tc>
          <w:tcPr>
            <w:tcW w:w="20" w:type="dxa"/>
            <w:vAlign w:val="bottom"/>
            <w:shd w:val="clear" w:color="auto" w:fill="000000"/>
          </w:tcPr>
          <w:p>
            <w:pPr>
              <w:spacing w:after="0"/>
              <w:rPr>
                <w:sz w:val="14"/>
                <w:szCs w:val="14"/>
                <w:color w:val="auto"/>
              </w:rPr>
            </w:pPr>
          </w:p>
        </w:tc>
        <w:tc>
          <w:tcPr>
            <w:tcW w:w="2440" w:type="dxa"/>
            <w:vAlign w:val="bottom"/>
          </w:tcPr>
          <w:p>
            <w:pPr>
              <w:ind w:left="220"/>
              <w:spacing w:after="0" w:line="167" w:lineRule="exact"/>
              <w:rPr>
                <w:sz w:val="20"/>
                <w:szCs w:val="20"/>
                <w:color w:val="auto"/>
              </w:rPr>
            </w:pPr>
            <w:r>
              <w:rPr>
                <w:rFonts w:ascii="Arial" w:cs="Arial" w:eastAsia="Arial" w:hAnsi="Arial"/>
                <w:sz w:val="16"/>
                <w:szCs w:val="16"/>
                <w:color w:val="auto"/>
              </w:rPr>
              <w:t>Disability Equity Index Best</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20"/>
                <w:szCs w:val="20"/>
                <w:color w:val="auto"/>
              </w:rPr>
            </w:pPr>
            <w:r>
              <w:rPr>
                <w:rFonts w:ascii="Arial" w:cs="Arial" w:eastAsia="Arial" w:hAnsi="Arial"/>
                <w:sz w:val="16"/>
                <w:szCs w:val="16"/>
                <w:color w:val="auto"/>
              </w:rPr>
              <w:t>Companies</w:t>
            </w:r>
          </w:p>
        </w:tc>
        <w:tc>
          <w:tcPr>
            <w:tcW w:w="20" w:type="dxa"/>
            <w:vAlign w:val="bottom"/>
            <w:shd w:val="clear" w:color="auto" w:fill="000000"/>
          </w:tcPr>
          <w:p>
            <w:pPr>
              <w:spacing w:after="0"/>
              <w:rPr>
                <w:sz w:val="16"/>
                <w:szCs w:val="16"/>
                <w:color w:val="auto"/>
              </w:rPr>
            </w:pPr>
          </w:p>
        </w:tc>
        <w:tc>
          <w:tcPr>
            <w:tcW w:w="1940" w:type="dxa"/>
            <w:vAlign w:val="bottom"/>
          </w:tcPr>
          <w:p>
            <w:pPr>
              <w:ind w:left="220"/>
              <w:spacing w:after="0"/>
              <w:rPr>
                <w:sz w:val="20"/>
                <w:szCs w:val="20"/>
                <w:color w:val="auto"/>
              </w:rPr>
            </w:pPr>
            <w:r>
              <w:rPr>
                <w:rFonts w:ascii="Arial" w:cs="Arial" w:eastAsia="Arial" w:hAnsi="Arial"/>
                <w:sz w:val="16"/>
                <w:szCs w:val="16"/>
                <w:color w:val="auto"/>
              </w:rPr>
              <w:t>Employers for</w:t>
            </w:r>
          </w:p>
        </w:tc>
        <w:tc>
          <w:tcPr>
            <w:tcW w:w="20" w:type="dxa"/>
            <w:vAlign w:val="bottom"/>
            <w:shd w:val="clear" w:color="auto" w:fill="000000"/>
          </w:tcPr>
          <w:p>
            <w:pPr>
              <w:spacing w:after="0"/>
              <w:rPr>
                <w:sz w:val="16"/>
                <w:szCs w:val="16"/>
                <w:color w:val="auto"/>
              </w:rPr>
            </w:pPr>
          </w:p>
        </w:tc>
        <w:tc>
          <w:tcPr>
            <w:tcW w:w="1720" w:type="dxa"/>
            <w:vAlign w:val="bottom"/>
          </w:tcPr>
          <w:p>
            <w:pPr>
              <w:ind w:left="220"/>
              <w:spacing w:after="0"/>
              <w:rPr>
                <w:sz w:val="20"/>
                <w:szCs w:val="20"/>
                <w:color w:val="auto"/>
              </w:rPr>
            </w:pPr>
            <w:r>
              <w:rPr>
                <w:rFonts w:ascii="Arial" w:cs="Arial" w:eastAsia="Arial" w:hAnsi="Arial"/>
                <w:sz w:val="16"/>
                <w:szCs w:val="16"/>
                <w:color w:val="auto"/>
              </w:rPr>
              <w:t>Award for Access</w:t>
            </w:r>
          </w:p>
        </w:tc>
        <w:tc>
          <w:tcPr>
            <w:tcW w:w="20" w:type="dxa"/>
            <w:vAlign w:val="bottom"/>
            <w:shd w:val="clear" w:color="auto" w:fill="000000"/>
          </w:tcPr>
          <w:p>
            <w:pPr>
              <w:spacing w:after="0"/>
              <w:rPr>
                <w:sz w:val="16"/>
                <w:szCs w:val="16"/>
                <w:color w:val="auto"/>
              </w:rPr>
            </w:pPr>
          </w:p>
        </w:tc>
        <w:tc>
          <w:tcPr>
            <w:tcW w:w="2440" w:type="dxa"/>
            <w:vAlign w:val="bottom"/>
          </w:tcPr>
          <w:p>
            <w:pPr>
              <w:ind w:left="220"/>
              <w:spacing w:after="0"/>
              <w:rPr>
                <w:sz w:val="20"/>
                <w:szCs w:val="20"/>
                <w:color w:val="auto"/>
              </w:rPr>
            </w:pPr>
            <w:r>
              <w:rPr>
                <w:rFonts w:ascii="Arial" w:cs="Arial" w:eastAsia="Arial" w:hAnsi="Arial"/>
                <w:sz w:val="16"/>
                <w:szCs w:val="16"/>
                <w:color w:val="auto"/>
              </w:rPr>
              <w:t>Places to Work — Perfect</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940" w:type="dxa"/>
            <w:vAlign w:val="bottom"/>
          </w:tcPr>
          <w:p>
            <w:pPr>
              <w:ind w:left="220"/>
              <w:spacing w:after="0"/>
              <w:rPr>
                <w:sz w:val="20"/>
                <w:szCs w:val="20"/>
                <w:color w:val="auto"/>
              </w:rPr>
            </w:pPr>
            <w:r>
              <w:rPr>
                <w:rFonts w:ascii="Arial" w:cs="Arial" w:eastAsia="Arial" w:hAnsi="Arial"/>
                <w:sz w:val="16"/>
                <w:szCs w:val="16"/>
                <w:color w:val="auto"/>
              </w:rPr>
              <w:t>Women</w:t>
            </w:r>
          </w:p>
        </w:tc>
        <w:tc>
          <w:tcPr>
            <w:tcW w:w="20" w:type="dxa"/>
            <w:vAlign w:val="bottom"/>
            <w:shd w:val="clear" w:color="auto" w:fill="000000"/>
          </w:tcPr>
          <w:p>
            <w:pPr>
              <w:spacing w:after="0"/>
              <w:rPr>
                <w:sz w:val="16"/>
                <w:szCs w:val="16"/>
                <w:color w:val="auto"/>
              </w:rPr>
            </w:pPr>
          </w:p>
        </w:tc>
        <w:tc>
          <w:tcPr>
            <w:tcW w:w="1720" w:type="dxa"/>
            <w:vAlign w:val="bottom"/>
            <w:vMerge w:val="restart"/>
          </w:tcPr>
          <w:p>
            <w:pPr>
              <w:ind w:left="220"/>
              <w:spacing w:after="0"/>
              <w:rPr>
                <w:sz w:val="20"/>
                <w:szCs w:val="20"/>
                <w:color w:val="auto"/>
              </w:rPr>
            </w:pPr>
            <w:r>
              <w:rPr>
                <w:rFonts w:ascii="Arial" w:cs="Arial" w:eastAsia="Arial" w:hAnsi="Arial"/>
                <w:sz w:val="16"/>
                <w:szCs w:val="16"/>
                <w:color w:val="auto"/>
              </w:rPr>
              <w:t>Lilly</w:t>
            </w:r>
          </w:p>
        </w:tc>
        <w:tc>
          <w:tcPr>
            <w:tcW w:w="20" w:type="dxa"/>
            <w:vAlign w:val="bottom"/>
            <w:shd w:val="clear" w:color="auto" w:fill="000000"/>
          </w:tcPr>
          <w:p>
            <w:pPr>
              <w:spacing w:after="0"/>
              <w:rPr>
                <w:sz w:val="16"/>
                <w:szCs w:val="16"/>
                <w:color w:val="auto"/>
              </w:rPr>
            </w:pPr>
          </w:p>
        </w:tc>
        <w:tc>
          <w:tcPr>
            <w:tcW w:w="2440" w:type="dxa"/>
            <w:vAlign w:val="bottom"/>
            <w:vMerge w:val="restart"/>
          </w:tcPr>
          <w:p>
            <w:pPr>
              <w:ind w:left="220"/>
              <w:spacing w:after="0"/>
              <w:rPr>
                <w:sz w:val="20"/>
                <w:szCs w:val="20"/>
                <w:color w:val="auto"/>
              </w:rPr>
            </w:pPr>
            <w:r>
              <w:rPr>
                <w:rFonts w:ascii="Arial" w:cs="Arial" w:eastAsia="Arial" w:hAnsi="Arial"/>
                <w:sz w:val="16"/>
                <w:szCs w:val="16"/>
                <w:color w:val="auto"/>
              </w:rPr>
              <w:t>Score</w:t>
            </w:r>
          </w:p>
        </w:tc>
        <w:tc>
          <w:tcPr>
            <w:tcW w:w="0" w:type="dxa"/>
            <w:vAlign w:val="bottom"/>
          </w:tcPr>
          <w:p>
            <w:pPr>
              <w:spacing w:after="0"/>
              <w:rPr>
                <w:sz w:val="1"/>
                <w:szCs w:val="1"/>
                <w:color w:val="auto"/>
              </w:rPr>
            </w:pPr>
          </w:p>
        </w:tc>
      </w:tr>
      <w:tr>
        <w:trPr>
          <w:trHeight w:val="50"/>
        </w:trPr>
        <w:tc>
          <w:tcPr>
            <w:tcW w:w="168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94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72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16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6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D52B1E"/>
              </w:rPr>
              <w:t>Human Rights</w:t>
            </w:r>
          </w:p>
        </w:tc>
        <w:tc>
          <w:tcPr>
            <w:tcW w:w="20" w:type="dxa"/>
            <w:vAlign w:val="bottom"/>
          </w:tcPr>
          <w:p>
            <w:pPr>
              <w:spacing w:after="0"/>
              <w:rPr>
                <w:sz w:val="5"/>
                <w:szCs w:val="5"/>
                <w:color w:val="auto"/>
              </w:rPr>
            </w:pPr>
          </w:p>
        </w:tc>
        <w:tc>
          <w:tcPr>
            <w:tcW w:w="1940" w:type="dxa"/>
            <w:vAlign w:val="bottom"/>
            <w:vMerge w:val="restart"/>
          </w:tcPr>
          <w:p>
            <w:pPr>
              <w:ind w:left="220"/>
              <w:spacing w:after="0"/>
              <w:rPr>
                <w:sz w:val="20"/>
                <w:szCs w:val="20"/>
                <w:color w:val="auto"/>
              </w:rPr>
            </w:pPr>
            <w:r>
              <w:rPr>
                <w:rFonts w:ascii="Arial" w:cs="Arial" w:eastAsia="Arial" w:hAnsi="Arial"/>
                <w:sz w:val="16"/>
                <w:szCs w:val="16"/>
                <w:b w:val="1"/>
                <w:bCs w:val="1"/>
                <w:color w:val="D52B1E"/>
              </w:rPr>
              <w:t>Fortune and IDEA</w:t>
            </w:r>
          </w:p>
        </w:tc>
        <w:tc>
          <w:tcPr>
            <w:tcW w:w="20" w:type="dxa"/>
            <w:vAlign w:val="bottom"/>
          </w:tcPr>
          <w:p>
            <w:pPr>
              <w:spacing w:after="0"/>
              <w:rPr>
                <w:sz w:val="5"/>
                <w:szCs w:val="5"/>
                <w:color w:val="auto"/>
              </w:rPr>
            </w:pPr>
          </w:p>
        </w:tc>
        <w:tc>
          <w:tcPr>
            <w:tcW w:w="1720" w:type="dxa"/>
            <w:vAlign w:val="bottom"/>
            <w:vMerge w:val="restart"/>
          </w:tcPr>
          <w:p>
            <w:pPr>
              <w:ind w:left="220"/>
              <w:spacing w:after="0"/>
              <w:rPr>
                <w:sz w:val="20"/>
                <w:szCs w:val="20"/>
                <w:color w:val="auto"/>
              </w:rPr>
            </w:pPr>
            <w:r>
              <w:rPr>
                <w:rFonts w:ascii="Arial" w:cs="Arial" w:eastAsia="Arial" w:hAnsi="Arial"/>
                <w:sz w:val="16"/>
                <w:szCs w:val="16"/>
                <w:b w:val="1"/>
                <w:bCs w:val="1"/>
                <w:color w:val="D52B1E"/>
              </w:rPr>
              <w:t>Seramount:</w:t>
            </w:r>
          </w:p>
        </w:tc>
        <w:tc>
          <w:tcPr>
            <w:tcW w:w="20" w:type="dxa"/>
            <w:vAlign w:val="bottom"/>
          </w:tcPr>
          <w:p>
            <w:pPr>
              <w:spacing w:after="0"/>
              <w:rPr>
                <w:sz w:val="5"/>
                <w:szCs w:val="5"/>
                <w:color w:val="auto"/>
              </w:rPr>
            </w:pPr>
          </w:p>
        </w:tc>
        <w:tc>
          <w:tcPr>
            <w:tcW w:w="2440" w:type="dxa"/>
            <w:vAlign w:val="bottom"/>
            <w:vMerge w:val="restart"/>
          </w:tcPr>
          <w:p>
            <w:pPr>
              <w:ind w:left="220"/>
              <w:spacing w:after="0"/>
              <w:rPr>
                <w:sz w:val="20"/>
                <w:szCs w:val="20"/>
                <w:color w:val="auto"/>
              </w:rPr>
            </w:pPr>
            <w:r>
              <w:rPr>
                <w:rFonts w:ascii="Arial" w:cs="Arial" w:eastAsia="Arial" w:hAnsi="Arial"/>
                <w:sz w:val="16"/>
                <w:szCs w:val="16"/>
                <w:b w:val="1"/>
                <w:bCs w:val="1"/>
                <w:color w:val="D52B1E"/>
              </w:rPr>
              <w:t>Seramount:</w:t>
            </w:r>
          </w:p>
        </w:tc>
        <w:tc>
          <w:tcPr>
            <w:tcW w:w="0" w:type="dxa"/>
            <w:vAlign w:val="bottom"/>
          </w:tcPr>
          <w:p>
            <w:pPr>
              <w:spacing w:after="0"/>
              <w:rPr>
                <w:sz w:val="1"/>
                <w:szCs w:val="1"/>
                <w:color w:val="auto"/>
              </w:rPr>
            </w:pPr>
          </w:p>
        </w:tc>
      </w:tr>
      <w:tr>
        <w:trPr>
          <w:trHeight w:val="207"/>
        </w:trPr>
        <w:tc>
          <w:tcPr>
            <w:tcW w:w="16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D52B1E"/>
              </w:rPr>
              <w:t>Campaign</w:t>
            </w:r>
          </w:p>
        </w:tc>
        <w:tc>
          <w:tcPr>
            <w:tcW w:w="20" w:type="dxa"/>
            <w:vAlign w:val="bottom"/>
            <w:shd w:val="clear" w:color="auto" w:fill="000000"/>
          </w:tcPr>
          <w:p>
            <w:pPr>
              <w:spacing w:after="0"/>
              <w:rPr>
                <w:sz w:val="16"/>
                <w:szCs w:val="16"/>
                <w:color w:val="auto"/>
              </w:rPr>
            </w:pPr>
          </w:p>
        </w:tc>
        <w:tc>
          <w:tcPr>
            <w:tcW w:w="1940" w:type="dxa"/>
            <w:vAlign w:val="bottom"/>
          </w:tcPr>
          <w:p>
            <w:pPr>
              <w:ind w:left="220"/>
              <w:spacing w:after="0"/>
              <w:rPr>
                <w:sz w:val="20"/>
                <w:szCs w:val="20"/>
                <w:color w:val="auto"/>
              </w:rPr>
            </w:pPr>
            <w:r>
              <w:rPr>
                <w:rFonts w:ascii="Arial" w:cs="Arial" w:eastAsia="Arial" w:hAnsi="Arial"/>
                <w:sz w:val="16"/>
                <w:szCs w:val="16"/>
                <w:b w:val="1"/>
                <w:bCs w:val="1"/>
                <w:color w:val="D52B1E"/>
              </w:rPr>
              <w:t>Pharma:</w:t>
            </w:r>
          </w:p>
        </w:tc>
        <w:tc>
          <w:tcPr>
            <w:tcW w:w="20" w:type="dxa"/>
            <w:vAlign w:val="bottom"/>
            <w:shd w:val="clear" w:color="auto" w:fill="000000"/>
          </w:tcPr>
          <w:p>
            <w:pPr>
              <w:spacing w:after="0"/>
              <w:rPr>
                <w:sz w:val="16"/>
                <w:szCs w:val="16"/>
                <w:color w:val="auto"/>
              </w:rPr>
            </w:pPr>
          </w:p>
        </w:tc>
        <w:tc>
          <w:tcPr>
            <w:tcW w:w="1720" w:type="dxa"/>
            <w:vAlign w:val="bottom"/>
          </w:tcPr>
          <w:p>
            <w:pPr>
              <w:ind w:left="220"/>
              <w:spacing w:after="0"/>
              <w:rPr>
                <w:sz w:val="20"/>
                <w:szCs w:val="20"/>
                <w:color w:val="auto"/>
              </w:rPr>
            </w:pPr>
            <w:r>
              <w:rPr>
                <w:rFonts w:ascii="Arial" w:cs="Arial" w:eastAsia="Arial" w:hAnsi="Arial"/>
                <w:sz w:val="16"/>
                <w:szCs w:val="16"/>
                <w:color w:val="auto"/>
              </w:rPr>
              <w:t>Top Companies</w:t>
            </w:r>
          </w:p>
        </w:tc>
        <w:tc>
          <w:tcPr>
            <w:tcW w:w="20" w:type="dxa"/>
            <w:vAlign w:val="bottom"/>
            <w:shd w:val="clear" w:color="auto" w:fill="000000"/>
          </w:tcPr>
          <w:p>
            <w:pPr>
              <w:spacing w:after="0"/>
              <w:rPr>
                <w:sz w:val="16"/>
                <w:szCs w:val="16"/>
                <w:color w:val="auto"/>
              </w:rPr>
            </w:pPr>
          </w:p>
        </w:tc>
        <w:tc>
          <w:tcPr>
            <w:tcW w:w="2440" w:type="dxa"/>
            <w:vAlign w:val="bottom"/>
          </w:tcPr>
          <w:p>
            <w:pPr>
              <w:ind w:left="220"/>
              <w:spacing w:after="0"/>
              <w:rPr>
                <w:sz w:val="20"/>
                <w:szCs w:val="20"/>
                <w:color w:val="auto"/>
              </w:rPr>
            </w:pPr>
            <w:r>
              <w:rPr>
                <w:rFonts w:ascii="Arial" w:cs="Arial" w:eastAsia="Arial" w:hAnsi="Arial"/>
                <w:sz w:val="16"/>
                <w:szCs w:val="16"/>
                <w:color w:val="auto"/>
              </w:rPr>
              <w:t>Best Companies for</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D52B1E"/>
              </w:rPr>
              <w:t>Foundation:</w:t>
            </w:r>
          </w:p>
        </w:tc>
        <w:tc>
          <w:tcPr>
            <w:tcW w:w="20" w:type="dxa"/>
            <w:vAlign w:val="bottom"/>
            <w:shd w:val="clear" w:color="auto" w:fill="000000"/>
          </w:tcPr>
          <w:p>
            <w:pPr>
              <w:spacing w:after="0"/>
              <w:rPr>
                <w:sz w:val="16"/>
                <w:szCs w:val="16"/>
                <w:color w:val="auto"/>
              </w:rPr>
            </w:pPr>
          </w:p>
        </w:tc>
        <w:tc>
          <w:tcPr>
            <w:tcW w:w="1940" w:type="dxa"/>
            <w:vAlign w:val="bottom"/>
          </w:tcPr>
          <w:p>
            <w:pPr>
              <w:ind w:left="220"/>
              <w:spacing w:after="0"/>
              <w:rPr>
                <w:sz w:val="20"/>
                <w:szCs w:val="20"/>
                <w:color w:val="auto"/>
              </w:rPr>
            </w:pPr>
            <w:r>
              <w:rPr>
                <w:rFonts w:ascii="Arial" w:cs="Arial" w:eastAsia="Arial" w:hAnsi="Arial"/>
                <w:sz w:val="16"/>
                <w:szCs w:val="16"/>
                <w:color w:val="auto"/>
              </w:rPr>
              <w:t>Pharmaceutical</w:t>
            </w:r>
          </w:p>
        </w:tc>
        <w:tc>
          <w:tcPr>
            <w:tcW w:w="20" w:type="dxa"/>
            <w:vAlign w:val="bottom"/>
            <w:shd w:val="clear" w:color="auto" w:fill="000000"/>
          </w:tcPr>
          <w:p>
            <w:pPr>
              <w:spacing w:after="0"/>
              <w:rPr>
                <w:sz w:val="16"/>
                <w:szCs w:val="16"/>
                <w:color w:val="auto"/>
              </w:rPr>
            </w:pPr>
          </w:p>
        </w:tc>
        <w:tc>
          <w:tcPr>
            <w:tcW w:w="1720" w:type="dxa"/>
            <w:vAlign w:val="bottom"/>
          </w:tcPr>
          <w:p>
            <w:pPr>
              <w:ind w:left="220"/>
              <w:spacing w:after="0"/>
              <w:rPr>
                <w:sz w:val="20"/>
                <w:szCs w:val="20"/>
                <w:color w:val="auto"/>
              </w:rPr>
            </w:pPr>
            <w:r>
              <w:rPr>
                <w:rFonts w:ascii="Arial" w:cs="Arial" w:eastAsia="Arial" w:hAnsi="Arial"/>
                <w:sz w:val="16"/>
                <w:szCs w:val="16"/>
                <w:color w:val="auto"/>
              </w:rPr>
              <w:t>for Executive</w:t>
            </w:r>
          </w:p>
        </w:tc>
        <w:tc>
          <w:tcPr>
            <w:tcW w:w="20" w:type="dxa"/>
            <w:vAlign w:val="bottom"/>
            <w:shd w:val="clear" w:color="auto" w:fill="000000"/>
          </w:tcPr>
          <w:p>
            <w:pPr>
              <w:spacing w:after="0"/>
              <w:rPr>
                <w:sz w:val="16"/>
                <w:szCs w:val="16"/>
                <w:color w:val="auto"/>
              </w:rPr>
            </w:pPr>
          </w:p>
        </w:tc>
        <w:tc>
          <w:tcPr>
            <w:tcW w:w="2440" w:type="dxa"/>
            <w:vAlign w:val="bottom"/>
          </w:tcPr>
          <w:p>
            <w:pPr>
              <w:ind w:left="220"/>
              <w:spacing w:after="0"/>
              <w:rPr>
                <w:sz w:val="20"/>
                <w:szCs w:val="20"/>
                <w:color w:val="auto"/>
              </w:rPr>
            </w:pPr>
            <w:r>
              <w:rPr>
                <w:rFonts w:ascii="Arial" w:cs="Arial" w:eastAsia="Arial" w:hAnsi="Arial"/>
                <w:sz w:val="16"/>
                <w:szCs w:val="16"/>
                <w:color w:val="auto"/>
              </w:rPr>
              <w:t>Multicultural Women, Best</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20"/>
                <w:szCs w:val="20"/>
                <w:color w:val="auto"/>
              </w:rPr>
            </w:pPr>
            <w:r>
              <w:rPr>
                <w:rFonts w:ascii="Arial" w:cs="Arial" w:eastAsia="Arial" w:hAnsi="Arial"/>
                <w:sz w:val="16"/>
                <w:szCs w:val="16"/>
                <w:color w:val="auto"/>
              </w:rPr>
              <w:t>Corporate Equality</w:t>
            </w:r>
          </w:p>
        </w:tc>
        <w:tc>
          <w:tcPr>
            <w:tcW w:w="20" w:type="dxa"/>
            <w:vAlign w:val="bottom"/>
            <w:shd w:val="clear" w:color="auto" w:fill="000000"/>
          </w:tcPr>
          <w:p>
            <w:pPr>
              <w:spacing w:after="0"/>
              <w:rPr>
                <w:sz w:val="16"/>
                <w:szCs w:val="16"/>
                <w:color w:val="auto"/>
              </w:rPr>
            </w:pPr>
          </w:p>
        </w:tc>
        <w:tc>
          <w:tcPr>
            <w:tcW w:w="1940" w:type="dxa"/>
            <w:vAlign w:val="bottom"/>
          </w:tcPr>
          <w:p>
            <w:pPr>
              <w:ind w:left="220"/>
              <w:spacing w:after="0"/>
              <w:rPr>
                <w:sz w:val="20"/>
                <w:szCs w:val="20"/>
                <w:color w:val="auto"/>
              </w:rPr>
            </w:pPr>
            <w:r>
              <w:rPr>
                <w:rFonts w:ascii="Arial" w:cs="Arial" w:eastAsia="Arial" w:hAnsi="Arial"/>
                <w:sz w:val="16"/>
                <w:szCs w:val="16"/>
                <w:color w:val="auto"/>
              </w:rPr>
              <w:t>Innovation Index: No.</w:t>
            </w:r>
          </w:p>
        </w:tc>
        <w:tc>
          <w:tcPr>
            <w:tcW w:w="20" w:type="dxa"/>
            <w:vAlign w:val="bottom"/>
            <w:shd w:val="clear" w:color="auto" w:fill="000000"/>
          </w:tcPr>
          <w:p>
            <w:pPr>
              <w:spacing w:after="0"/>
              <w:rPr>
                <w:sz w:val="16"/>
                <w:szCs w:val="16"/>
                <w:color w:val="auto"/>
              </w:rPr>
            </w:pPr>
          </w:p>
        </w:tc>
        <w:tc>
          <w:tcPr>
            <w:tcW w:w="1720" w:type="dxa"/>
            <w:vAlign w:val="bottom"/>
          </w:tcPr>
          <w:p>
            <w:pPr>
              <w:ind w:left="220"/>
              <w:spacing w:after="0"/>
              <w:rPr>
                <w:sz w:val="20"/>
                <w:szCs w:val="20"/>
                <w:color w:val="auto"/>
              </w:rPr>
            </w:pPr>
            <w:r>
              <w:rPr>
                <w:rFonts w:ascii="Arial" w:cs="Arial" w:eastAsia="Arial" w:hAnsi="Arial"/>
                <w:sz w:val="16"/>
                <w:szCs w:val="16"/>
                <w:color w:val="auto"/>
              </w:rPr>
              <w:t>Women</w:t>
            </w:r>
          </w:p>
        </w:tc>
        <w:tc>
          <w:tcPr>
            <w:tcW w:w="20" w:type="dxa"/>
            <w:vAlign w:val="bottom"/>
            <w:shd w:val="clear" w:color="auto" w:fill="000000"/>
          </w:tcPr>
          <w:p>
            <w:pPr>
              <w:spacing w:after="0"/>
              <w:rPr>
                <w:sz w:val="16"/>
                <w:szCs w:val="16"/>
                <w:color w:val="auto"/>
              </w:rPr>
            </w:pPr>
          </w:p>
        </w:tc>
        <w:tc>
          <w:tcPr>
            <w:tcW w:w="2440" w:type="dxa"/>
            <w:vAlign w:val="bottom"/>
          </w:tcPr>
          <w:p>
            <w:pPr>
              <w:ind w:left="220"/>
              <w:spacing w:after="0"/>
              <w:rPr>
                <w:sz w:val="20"/>
                <w:szCs w:val="20"/>
                <w:color w:val="auto"/>
              </w:rPr>
            </w:pPr>
            <w:r>
              <w:rPr>
                <w:rFonts w:ascii="Arial" w:cs="Arial" w:eastAsia="Arial" w:hAnsi="Arial"/>
                <w:sz w:val="16"/>
                <w:szCs w:val="16"/>
                <w:color w:val="auto"/>
              </w:rPr>
              <w:t>Companies for Dads, 70% and</w:t>
            </w:r>
          </w:p>
        </w:tc>
        <w:tc>
          <w:tcPr>
            <w:tcW w:w="0" w:type="dxa"/>
            <w:vAlign w:val="bottom"/>
          </w:tcPr>
          <w:p>
            <w:pPr>
              <w:spacing w:after="0"/>
              <w:rPr>
                <w:sz w:val="1"/>
                <w:szCs w:val="1"/>
                <w:color w:val="auto"/>
              </w:rPr>
            </w:pPr>
          </w:p>
        </w:tc>
      </w:tr>
      <w:tr>
        <w:trPr>
          <w:trHeight w:val="199"/>
        </w:trPr>
        <w:tc>
          <w:tcPr>
            <w:tcW w:w="1680" w:type="dxa"/>
            <w:vAlign w:val="bottom"/>
          </w:tcPr>
          <w:p>
            <w:pPr>
              <w:spacing w:after="0"/>
              <w:rPr>
                <w:sz w:val="20"/>
                <w:szCs w:val="20"/>
                <w:color w:val="auto"/>
              </w:rPr>
            </w:pPr>
            <w:r>
              <w:rPr>
                <w:rFonts w:ascii="Arial" w:cs="Arial" w:eastAsia="Arial" w:hAnsi="Arial"/>
                <w:sz w:val="16"/>
                <w:szCs w:val="16"/>
                <w:color w:val="auto"/>
              </w:rPr>
              <w:t>Index — Perfect</w:t>
            </w:r>
          </w:p>
        </w:tc>
        <w:tc>
          <w:tcPr>
            <w:tcW w:w="20" w:type="dxa"/>
            <w:vAlign w:val="bottom"/>
            <w:shd w:val="clear" w:color="auto" w:fill="000000"/>
          </w:tcPr>
          <w:p>
            <w:pPr>
              <w:spacing w:after="0"/>
              <w:rPr>
                <w:sz w:val="17"/>
                <w:szCs w:val="17"/>
                <w:color w:val="auto"/>
              </w:rPr>
            </w:pPr>
          </w:p>
        </w:tc>
        <w:tc>
          <w:tcPr>
            <w:tcW w:w="1940" w:type="dxa"/>
            <w:vAlign w:val="bottom"/>
          </w:tcPr>
          <w:p>
            <w:pPr>
              <w:ind w:left="220"/>
              <w:spacing w:after="0"/>
              <w:rPr>
                <w:sz w:val="20"/>
                <w:szCs w:val="20"/>
                <w:color w:val="auto"/>
              </w:rPr>
            </w:pPr>
            <w:r>
              <w:rPr>
                <w:rFonts w:ascii="Arial" w:cs="Arial" w:eastAsia="Arial" w:hAnsi="Arial"/>
                <w:sz w:val="16"/>
                <w:szCs w:val="16"/>
                <w:color w:val="auto"/>
              </w:rPr>
              <w:t>19</w:t>
            </w:r>
          </w:p>
        </w:tc>
        <w:tc>
          <w:tcPr>
            <w:tcW w:w="20" w:type="dxa"/>
            <w:vAlign w:val="bottom"/>
            <w:shd w:val="clear" w:color="auto" w:fill="000000"/>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440" w:type="dxa"/>
            <w:vAlign w:val="bottom"/>
          </w:tcPr>
          <w:p>
            <w:pPr>
              <w:ind w:left="220"/>
              <w:spacing w:after="0"/>
              <w:rPr>
                <w:sz w:val="20"/>
                <w:szCs w:val="20"/>
                <w:color w:val="auto"/>
              </w:rPr>
            </w:pPr>
            <w:r>
              <w:rPr>
                <w:rFonts w:ascii="Arial" w:cs="Arial" w:eastAsia="Arial" w:hAnsi="Arial"/>
                <w:sz w:val="16"/>
                <w:szCs w:val="16"/>
                <w:color w:val="auto"/>
              </w:rPr>
              <w:t>Higher Inclusion Index</w:t>
            </w:r>
          </w:p>
        </w:tc>
        <w:tc>
          <w:tcPr>
            <w:tcW w:w="0" w:type="dxa"/>
            <w:vAlign w:val="bottom"/>
          </w:tcPr>
          <w:p>
            <w:pPr>
              <w:spacing w:after="0"/>
              <w:rPr>
                <w:sz w:val="1"/>
                <w:szCs w:val="1"/>
                <w:color w:val="auto"/>
              </w:rPr>
            </w:pPr>
          </w:p>
        </w:tc>
      </w:tr>
      <w:tr>
        <w:trPr>
          <w:trHeight w:val="205"/>
        </w:trPr>
        <w:tc>
          <w:tcPr>
            <w:tcW w:w="1680" w:type="dxa"/>
            <w:vAlign w:val="bottom"/>
          </w:tcPr>
          <w:p>
            <w:pPr>
              <w:spacing w:after="0"/>
              <w:rPr>
                <w:sz w:val="20"/>
                <w:szCs w:val="20"/>
                <w:color w:val="auto"/>
              </w:rPr>
            </w:pPr>
            <w:r>
              <w:rPr>
                <w:rFonts w:ascii="Arial" w:cs="Arial" w:eastAsia="Arial" w:hAnsi="Arial"/>
                <w:sz w:val="16"/>
                <w:szCs w:val="16"/>
                <w:color w:val="auto"/>
              </w:rPr>
              <w:t>Score</w:t>
            </w:r>
          </w:p>
        </w:tc>
        <w:tc>
          <w:tcPr>
            <w:tcW w:w="20" w:type="dxa"/>
            <w:vAlign w:val="bottom"/>
            <w:shd w:val="clear" w:color="auto" w:fill="000000"/>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6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Employee Development</w:t>
      </w:r>
    </w:p>
    <w:p>
      <w:pPr>
        <w:spacing w:after="0" w:line="5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color w:val="auto"/>
        </w:rPr>
        <w:t xml:space="preserve">Hiring: </w:t>
      </w:r>
      <w:r>
        <w:rPr>
          <w:rFonts w:ascii="Arial" w:cs="Arial" w:eastAsia="Arial" w:hAnsi="Arial"/>
          <w:sz w:val="16"/>
          <w:szCs w:val="16"/>
          <w:color w:val="auto"/>
        </w:rPr>
        <w:t>We believe attracting and retaining the best, diverse talent begins with the hiring process. We therefore require hiring managers to consider a diverse pool</w:t>
      </w:r>
      <w:r>
        <w:rPr>
          <w:rFonts w:ascii="Arial" w:cs="Arial" w:eastAsia="Arial" w:hAnsi="Arial"/>
          <w:sz w:val="16"/>
          <w:szCs w:val="16"/>
          <w:b w:val="1"/>
          <w:bCs w:val="1"/>
          <w:color w:val="auto"/>
        </w:rPr>
        <w:t xml:space="preserve"> </w:t>
      </w:r>
      <w:r>
        <w:rPr>
          <w:rFonts w:ascii="Arial" w:cs="Arial" w:eastAsia="Arial" w:hAnsi="Arial"/>
          <w:sz w:val="16"/>
          <w:szCs w:val="16"/>
          <w:color w:val="auto"/>
        </w:rPr>
        <w:t>of candidates, and we strive to provide a diverse panel of interviewers for open positions. We believe that hiring in this way helps ensure that people from all backgrounds have equal opportunity to advance their careers.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color w:val="auto"/>
        </w:rPr>
        <w:t xml:space="preserve">Onboarding: </w:t>
      </w:r>
      <w:r>
        <w:rPr>
          <w:rFonts w:ascii="Arial" w:cs="Arial" w:eastAsia="Arial" w:hAnsi="Arial"/>
          <w:sz w:val="16"/>
          <w:szCs w:val="16"/>
          <w:color w:val="auto"/>
        </w:rPr>
        <w:t>In early 2022, we launched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Discover</w:t>
      </w:r>
      <w:r>
        <w:rPr>
          <w:rFonts w:ascii="Arial" w:cs="Arial" w:eastAsia="Arial" w:hAnsi="Arial"/>
          <w:sz w:val="16"/>
          <w:szCs w:val="16"/>
          <w:color w:val="auto"/>
        </w:rPr>
        <w:t>, a 12-month new employee onboarding program with multiple touchpoints designed to foster integration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Lilly culture, to accelerate learning in their new roles and to create connections to further a sense of belonging at Lilly. </w:t>
      </w:r>
      <w:r>
        <w:rPr>
          <w:rFonts w:ascii="Arial" w:cs="Arial" w:eastAsia="Arial" w:hAnsi="Arial"/>
          <w:sz w:val="16"/>
          <w:szCs w:val="16"/>
          <w:i w:val="1"/>
          <w:iCs w:val="1"/>
          <w:color w:val="auto"/>
        </w:rPr>
        <w:t>Discover</w:t>
      </w:r>
      <w:r>
        <w:rPr>
          <w:rFonts w:ascii="Arial" w:cs="Arial" w:eastAsia="Arial" w:hAnsi="Arial"/>
          <w:sz w:val="16"/>
          <w:szCs w:val="16"/>
          <w:color w:val="auto"/>
        </w:rPr>
        <w:t xml:space="preserve"> was shaped in part by external benchmarking, feedback from employees and learnings from onboarding remotely during the COVID-19 pandemic.</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Continuing Education: </w:t>
      </w:r>
      <w:r>
        <w:rPr>
          <w:rFonts w:ascii="Arial" w:cs="Arial" w:eastAsia="Arial" w:hAnsi="Arial"/>
          <w:sz w:val="16"/>
          <w:szCs w:val="16"/>
          <w:color w:val="auto"/>
        </w:rPr>
        <w:t>We offer training to enable our employees to perform their duties in our highly regulated industry. We also strive to cultivate a culture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promotes ongoing learning by encouraging employees to seek further education and growth experiences, helping them build rewarding careers. We have introduced online programming to facilitate access to our learning and development offerings in addition to our in-person programs. Many training courses are designed to improve accessibility for people with disabilities and other unique needs. Across Lilly, we are continuously working to design learning experiences to be more inclusive and effective. In addition, we have implemented development tools and resources for all employees, improved our talent programs and processes to provide broader access to information, and increased transparency regarding career development and advancement at Lilly.</w:t>
      </w:r>
    </w:p>
    <w:p>
      <w:pPr>
        <w:spacing w:after="0" w:line="116"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b w:val="1"/>
          <w:bCs w:val="1"/>
          <w:color w:val="auto"/>
        </w:rPr>
        <w:t xml:space="preserve">Employee Resource Groups (ERGs): </w:t>
      </w:r>
      <w:r>
        <w:rPr>
          <w:rFonts w:ascii="Arial" w:cs="Arial" w:eastAsia="Arial" w:hAnsi="Arial"/>
          <w:sz w:val="16"/>
          <w:szCs w:val="16"/>
          <w:color w:val="auto"/>
        </w:rPr>
        <w:t>Our ERGs are another important component of developing talent at Lilly. We currently have 11 ERGs representing groups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women, MGMs,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10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b w:val="1"/>
          <w:bCs w:val="1"/>
          <w:color w:val="auto"/>
        </w:rPr>
        <w:t xml:space="preserve">Make it Safe to Thrive: </w:t>
      </w:r>
      <w:r>
        <w:rPr>
          <w:rFonts w:ascii="Arial" w:cs="Arial" w:eastAsia="Arial" w:hAnsi="Arial"/>
          <w:sz w:val="16"/>
          <w:szCs w:val="16"/>
          <w:color w:val="auto"/>
        </w:rPr>
        <w:t>We have continued our efforts to create an inclusive workplace with the goal of ensuring that all employees feel safe to speak up and</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their ideas at work. Our Make it Safe to Thrive education and awareness program is designed to help employees and leaders understand how individual psychological safety can be created and enhanced and includes live and online training. In late 2022, we introduced a new version of Make it Safe to Thrive for leaders that continues to focus on psychological safety and creating an inclusive environment, but it provides leaders with the opportunity to work through challenging conversations and situations currently being navigated in the workplace.</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color w:val="auto"/>
        </w:rPr>
        <w:t xml:space="preserve">Cultural Foundation: </w:t>
      </w:r>
      <w:r>
        <w:rPr>
          <w:rFonts w:ascii="Arial" w:cs="Arial" w:eastAsia="Arial" w:hAnsi="Arial"/>
          <w:sz w:val="16"/>
          <w:szCs w:val="16"/>
          <w:color w:val="auto"/>
        </w:rPr>
        <w:t>Lilly is committed to fostering a culture of diversity and respect in the workplace—an environment free of discrimination, harassment,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retaliation of any kind. In 2022, as part of our annual review of The Red Book and related policies and procedures, we revised the Global Conduct in the Workplace procedure to continue to help ensure that we maintain a respectful, safe, inclusive, and professional workplace.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Compensation, Benefits, and Pay Equity</w:t>
      </w:r>
    </w:p>
    <w:p>
      <w:pPr>
        <w:spacing w:after="0" w:line="6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 We are committed to rewarding, supporting, and developing our employees who make it possible to fulfill our mission to unite caring with discovery to create medicines that make life better for people around the world.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sectPr>
      </w:pPr>
    </w:p>
    <w:bookmarkStart w:id="44" w:name="page45"/>
    <w:bookmarkEnd w:id="44"/>
    <w:p>
      <w:pPr>
        <w:spacing w:after="0" w:line="249" w:lineRule="auto"/>
        <w:rPr>
          <w:sz w:val="20"/>
          <w:szCs w:val="20"/>
          <w:color w:val="auto"/>
        </w:rPr>
      </w:pPr>
      <w:r>
        <w:rPr>
          <w:rFonts w:ascii="Arial" w:cs="Arial" w:eastAsia="Arial" w:hAnsi="Arial"/>
          <w:sz w:val="16"/>
          <w:szCs w:val="16"/>
          <w:color w:val="auto"/>
        </w:rPr>
        <w:t>We are also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While minimal, we have made pay adjustments as warranted based on these analyses. We believe that pay equity is critical to our success in supporting a global, diverse, and inclusive workforce.</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28"/>
          <w:szCs w:val="28"/>
          <w:color w:val="D52B1E"/>
        </w:rPr>
        <w:t>20</w:t>
      </w:r>
    </w:p>
    <w:p>
      <w:pPr>
        <w:spacing w:after="0" w:line="50" w:lineRule="exact"/>
        <w:rPr>
          <w:sz w:val="20"/>
          <w:szCs w:val="20"/>
          <w:color w:val="auto"/>
        </w:rPr>
      </w:pPr>
    </w:p>
    <w:p>
      <w:pPr>
        <w:jc w:val="center"/>
        <w:ind w:right="3480"/>
        <w:spacing w:after="0"/>
        <w:rPr>
          <w:sz w:val="20"/>
          <w:szCs w:val="20"/>
          <w:color w:val="auto"/>
        </w:rPr>
      </w:pPr>
      <w:r>
        <w:rPr>
          <w:rFonts w:ascii="Arial" w:cs="Arial" w:eastAsia="Arial" w:hAnsi="Arial"/>
          <w:sz w:val="19"/>
          <w:szCs w:val="19"/>
          <w:b w:val="1"/>
          <w:bCs w:val="1"/>
          <w:color w:val="auto"/>
        </w:rPr>
        <w:t>Years</w:t>
      </w:r>
    </w:p>
    <w:p>
      <w:pPr>
        <w:spacing w:after="0" w:line="74" w:lineRule="exact"/>
        <w:rPr>
          <w:sz w:val="20"/>
          <w:szCs w:val="20"/>
          <w:color w:val="auto"/>
        </w:rPr>
      </w:pPr>
    </w:p>
    <w:p>
      <w:pPr>
        <w:jc w:val="center"/>
        <w:ind w:right="3480"/>
        <w:spacing w:after="0"/>
        <w:rPr>
          <w:sz w:val="20"/>
          <w:szCs w:val="20"/>
          <w:color w:val="auto"/>
        </w:rPr>
      </w:pPr>
      <w:r>
        <w:rPr>
          <w:rFonts w:ascii="Arial" w:cs="Arial" w:eastAsia="Arial" w:hAnsi="Arial"/>
          <w:sz w:val="14"/>
          <w:szCs w:val="14"/>
          <w:color w:val="auto"/>
        </w:rPr>
        <w:t>of pay equity studies</w:t>
      </w:r>
    </w:p>
    <w:p>
      <w:pPr>
        <w:spacing w:after="0" w:line="5" w:lineRule="exact"/>
        <w:rPr>
          <w:sz w:val="20"/>
          <w:szCs w:val="20"/>
          <w:color w:val="auto"/>
        </w:rPr>
      </w:pPr>
    </w:p>
    <w:p>
      <w:pPr>
        <w:jc w:val="center"/>
        <w:ind w:right="3480"/>
        <w:spacing w:after="0"/>
        <w:rPr>
          <w:sz w:val="20"/>
          <w:szCs w:val="20"/>
          <w:color w:val="auto"/>
        </w:rPr>
      </w:pPr>
      <w:r>
        <w:rPr>
          <w:rFonts w:ascii="Arial" w:cs="Arial" w:eastAsia="Arial" w:hAnsi="Arial"/>
          <w:sz w:val="16"/>
          <w:szCs w:val="16"/>
          <w:color w:val="auto"/>
        </w:rPr>
        <w:t>in the U.S.</w:t>
      </w:r>
    </w:p>
    <w:p>
      <w:pPr>
        <w:spacing w:after="0" w:line="329" w:lineRule="exact"/>
        <w:rPr>
          <w:sz w:val="20"/>
          <w:szCs w:val="20"/>
          <w:color w:val="auto"/>
        </w:rPr>
      </w:pPr>
    </w:p>
    <w:p>
      <w:pPr>
        <w:sectPr>
          <w:pgSz w:w="11900" w:h="16838" w:orient="portrait"/>
          <w:cols w:equalWidth="0" w:num="2">
            <w:col w:w="6040" w:space="300"/>
            <w:col w:w="4900"/>
          </w:cols>
          <w:pgMar w:left="320" w:top="732" w:right="3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Employee Health and Safety</w:t>
      </w:r>
    </w:p>
    <w:p>
      <w:pPr>
        <w:spacing w:after="0" w:line="5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As the COVID-19 pandemic has evolved, we have continued to take various measures (as necessary) to protect and support the health and safety of our employees globally. We believe a holistic approach and dedication to safety helps us be our best as we deliver on our company purpose to improve lives around the world.</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Political and Policy Participation</w:t>
      </w:r>
    </w:p>
    <w:p>
      <w:pPr>
        <w:spacing w:after="0" w:line="1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a biopharmaceutical company that develops treatments for serious diseases, we believe it is important for our company to be a responsible participant in global political and public policy debates. Our engagement in the political arena helps ensure that patients have access to needed medications. Through public policy engagement, we provide a way for all our locations globally to offer Lilly’s perspective on the political environment in a manner that supports access to innovative medicines and a way to engage on issues specific to local business environments.</w:t>
      </w:r>
    </w:p>
    <w:p>
      <w:pPr>
        <w:spacing w:after="0" w:line="11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discussed in “</w:t>
      </w:r>
      <w:r>
        <w:rPr>
          <w:rFonts w:ascii="Arial" w:cs="Arial" w:eastAsia="Arial" w:hAnsi="Arial"/>
          <w:sz w:val="16"/>
          <w:szCs w:val="16"/>
          <w:u w:val="single" w:color="auto"/>
          <w:color w:val="0000FF"/>
        </w:rPr>
        <w:t>Governance—How We Operate an Effective Board—Governance Practices—Board Oversight</w:t>
      </w:r>
      <w:r>
        <w:rPr>
          <w:rFonts w:ascii="Arial" w:cs="Arial" w:eastAsia="Arial" w:hAnsi="Arial"/>
          <w:sz w:val="16"/>
          <w:szCs w:val="16"/>
          <w:color w:val="auto"/>
        </w:rPr>
        <w:t>”, the board exercises governance oversight of our political expenditures and lobbying activities. 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we have reviewed and enhanced the information available on our corporate website and plan to continue to engage with stakeholders on this topic.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Board Alignment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Conflicts of Interest and Transactions with Related Persons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Conflicts of Interest</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1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Review and Approval of Transactions with Related Persons</w:t>
      </w:r>
    </w:p>
    <w:p>
      <w:pPr>
        <w:spacing w:after="0" w:line="5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45" w:name="page46"/>
    <w:bookmarkEnd w:id="45"/>
    <w:p>
      <w:pPr>
        <w:ind w:right="160"/>
        <w:spacing w:after="0" w:line="257" w:lineRule="auto"/>
        <w:rPr>
          <w:sz w:val="20"/>
          <w:szCs w:val="20"/>
          <w:color w:val="auto"/>
        </w:rPr>
      </w:pPr>
      <w:r>
        <w:rPr>
          <w:rFonts w:ascii="Arial" w:cs="Arial" w:eastAsia="Arial" w:hAnsi="Arial"/>
          <w:sz w:val="16"/>
          <w:szCs w:val="16"/>
          <w:color w:val="auto"/>
        </w:rPr>
        <w:t>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Policy:</w:t>
      </w:r>
    </w:p>
    <w:p>
      <w:pPr>
        <w:spacing w:after="0" w:line="14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spacing w:after="0" w:line="22" w:lineRule="exact"/>
        <w:rPr>
          <w:sz w:val="20"/>
          <w:szCs w:val="20"/>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company’s business rationale for entering into the transaction;</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purpose of, and potential benefits to the company of, the transaction;</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alternatives to entering into a related person transaction;</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whether the transaction is on terms comparable to those available to third parties, or in the case of employment relationships, to employees generally;</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3"/>
          <w:szCs w:val="13"/>
          <w:color w:val="auto"/>
        </w:rPr>
      </w:pPr>
      <w:r>
        <w:rPr>
          <w:rFonts w:ascii="Arial" w:cs="Arial" w:eastAsia="Arial" w:hAnsi="Arial"/>
          <w:sz w:val="14"/>
          <w:szCs w:val="14"/>
          <w:color w:val="auto"/>
        </w:rPr>
        <w:t>the potential for the transaction to lead to an actual or apparent conflict of interest and any safeguards imposed to prevent such actual or apparent conflicts;</w:t>
      </w:r>
    </w:p>
    <w:p>
      <w:pPr>
        <w:spacing w:after="0" w:line="166" w:lineRule="exact"/>
        <w:rPr>
          <w:rFonts w:ascii="Arial" w:cs="Arial" w:eastAsia="Arial" w:hAnsi="Arial"/>
          <w:sz w:val="13"/>
          <w:szCs w:val="13"/>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overall fairness of the transaction to the company;</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approximate dollar value of the amount involved in the transaction, particularly as it relates to the related person;</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6"/>
          <w:szCs w:val="16"/>
          <w:color w:val="auto"/>
        </w:rPr>
        <w:t>the related person’s interest in the transaction; and</w:t>
      </w:r>
    </w:p>
    <w:p>
      <w:pPr>
        <w:spacing w:after="0" w:line="143" w:lineRule="exact"/>
        <w:rPr>
          <w:rFonts w:ascii="Arial" w:cs="Arial" w:eastAsia="Arial" w:hAnsi="Arial"/>
          <w:sz w:val="14"/>
          <w:szCs w:val="14"/>
          <w:color w:val="auto"/>
        </w:rPr>
      </w:pPr>
    </w:p>
    <w:p>
      <w:pPr>
        <w:ind w:left="560" w:right="120" w:hanging="286"/>
        <w:spacing w:after="0" w:line="271" w:lineRule="auto"/>
        <w:tabs>
          <w:tab w:leader="none" w:pos="550" w:val="left"/>
        </w:tabs>
        <w:numPr>
          <w:ilvl w:val="0"/>
          <w:numId w:val="99"/>
        </w:numPr>
        <w:rPr>
          <w:rFonts w:ascii="Arial" w:cs="Arial" w:eastAsia="Arial" w:hAnsi="Arial"/>
          <w:sz w:val="14"/>
          <w:szCs w:val="14"/>
          <w:color w:val="auto"/>
        </w:rPr>
      </w:pPr>
      <w:r>
        <w:rPr>
          <w:rFonts w:ascii="Arial" w:cs="Arial" w:eastAsia="Arial" w:hAnsi="Arial"/>
          <w:sz w:val="16"/>
          <w:szCs w:val="16"/>
          <w:color w:val="auto"/>
        </w:rPr>
        <w:t>any other information regarding the transaction or the related person that would be material to the company’s shareholders in light of the circumstances of the particular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Procedures:</w:t>
      </w:r>
    </w:p>
    <w:p>
      <w:pPr>
        <w:spacing w:after="0" w:line="145" w:lineRule="exact"/>
        <w:rPr>
          <w:sz w:val="20"/>
          <w:szCs w:val="20"/>
          <w:color w:val="auto"/>
        </w:rPr>
      </w:pPr>
    </w:p>
    <w:p>
      <w:pPr>
        <w:jc w:val="both"/>
        <w:ind w:left="560" w:right="120" w:hanging="286"/>
        <w:spacing w:after="0" w:line="257" w:lineRule="auto"/>
        <w:tabs>
          <w:tab w:leader="none" w:pos="55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General Counsel and Secretary.</w:t>
      </w:r>
    </w:p>
    <w:p>
      <w:pPr>
        <w:spacing w:after="0" w:line="109" w:lineRule="exact"/>
        <w:rPr>
          <w:rFonts w:ascii="Arial" w:cs="Arial" w:eastAsia="Arial" w:hAnsi="Arial"/>
          <w:sz w:val="14"/>
          <w:szCs w:val="14"/>
          <w:color w:val="auto"/>
        </w:rPr>
      </w:pPr>
    </w:p>
    <w:p>
      <w:pPr>
        <w:ind w:left="560" w:right="260" w:hanging="286"/>
        <w:spacing w:after="0" w:line="257" w:lineRule="auto"/>
        <w:tabs>
          <w:tab w:leader="none" w:pos="55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spacing w:after="0" w:line="109" w:lineRule="exact"/>
        <w:rPr>
          <w:rFonts w:ascii="Arial" w:cs="Arial" w:eastAsia="Arial" w:hAnsi="Arial"/>
          <w:sz w:val="14"/>
          <w:szCs w:val="14"/>
          <w:color w:val="auto"/>
        </w:rPr>
      </w:pPr>
    </w:p>
    <w:p>
      <w:pPr>
        <w:ind w:left="540" w:hanging="266"/>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If a director is involved in the transaction, he or she will be recused from all discussions and decisions relating to the transaction.</w:t>
      </w:r>
    </w:p>
    <w:p>
      <w:pPr>
        <w:spacing w:after="0" w:line="143" w:lineRule="exact"/>
        <w:rPr>
          <w:rFonts w:ascii="Arial" w:cs="Arial" w:eastAsia="Arial" w:hAnsi="Arial"/>
          <w:sz w:val="14"/>
          <w:szCs w:val="14"/>
          <w:color w:val="auto"/>
        </w:rPr>
      </w:pPr>
    </w:p>
    <w:p>
      <w:pPr>
        <w:ind w:left="560" w:right="80" w:hanging="286"/>
        <w:spacing w:after="0" w:line="257" w:lineRule="auto"/>
        <w:tabs>
          <w:tab w:leader="none" w:pos="55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w:t>
      </w:r>
    </w:p>
    <w:p>
      <w:pPr>
        <w:spacing w:after="0" w:line="109" w:lineRule="exact"/>
        <w:rPr>
          <w:rFonts w:ascii="Arial" w:cs="Arial" w:eastAsia="Arial" w:hAnsi="Arial"/>
          <w:sz w:val="14"/>
          <w:szCs w:val="14"/>
          <w:color w:val="auto"/>
        </w:rPr>
      </w:pPr>
    </w:p>
    <w:p>
      <w:pPr>
        <w:ind w:left="560" w:right="660" w:hanging="286"/>
        <w:spacing w:after="0" w:line="271" w:lineRule="auto"/>
        <w:tabs>
          <w:tab w:leader="none" w:pos="55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The Directors and Corporate Governance Committee or such other independent body may impose such conditions as it deems appropriate on the company or the related person in connection with the approval of the related person transaction.</w:t>
      </w:r>
    </w:p>
    <w:p>
      <w:pPr>
        <w:spacing w:after="0" w:line="98" w:lineRule="exact"/>
        <w:rPr>
          <w:rFonts w:ascii="Arial" w:cs="Arial" w:eastAsia="Arial" w:hAnsi="Arial"/>
          <w:sz w:val="14"/>
          <w:szCs w:val="14"/>
          <w:color w:val="auto"/>
        </w:rPr>
      </w:pPr>
    </w:p>
    <w:p>
      <w:pPr>
        <w:ind w:left="560" w:right="120" w:hanging="286"/>
        <w:spacing w:after="0" w:line="271" w:lineRule="auto"/>
        <w:tabs>
          <w:tab w:leader="none" w:pos="550" w:val="left"/>
        </w:tabs>
        <w:numPr>
          <w:ilvl w:val="0"/>
          <w:numId w:val="100"/>
        </w:numPr>
        <w:rPr>
          <w:rFonts w:ascii="Arial" w:cs="Arial" w:eastAsia="Arial" w:hAnsi="Arial"/>
          <w:sz w:val="14"/>
          <w:szCs w:val="14"/>
          <w:color w:val="auto"/>
        </w:rPr>
      </w:pPr>
      <w:r>
        <w:rPr>
          <w:rFonts w:ascii="Arial" w:cs="Arial" w:eastAsia="Arial" w:hAnsi="Arial"/>
          <w:sz w:val="16"/>
          <w:szCs w:val="16"/>
          <w:color w:val="auto"/>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Directors and Corporate Governance Committee or another independent body of the board retains the right to review and ratify related person transactions. In addition, the Directors and Corporate Governance Committee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46" w:name="page47"/>
    <w:bookmarkEnd w:id="46"/>
    <w:p>
      <w:pPr>
        <w:ind w:right="540"/>
        <w:spacing w:after="0" w:line="271" w:lineRule="auto"/>
        <w:rPr>
          <w:sz w:val="20"/>
          <w:szCs w:val="20"/>
          <w:color w:val="auto"/>
        </w:rPr>
      </w:pPr>
      <w:r>
        <w:rPr>
          <w:rFonts w:ascii="Arial" w:cs="Arial" w:eastAsia="Arial" w:hAnsi="Arial"/>
          <w:sz w:val="16"/>
          <w:szCs w:val="16"/>
          <w:color w:val="auto"/>
        </w:rPr>
        <w:t>or such other independent body may take or cause to be taken additional actions including, but not limited to, immediate discontinuation or rescission of the transaction, or modification of the transaction.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In 2022, there were no related party transactions required to be reported pursuant to relevant SEC rules in this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and Director Assessment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shd w:val="clear" w:color="auto" w:fill="6D6D6D"/>
          </w:tcPr>
          <w:p>
            <w:pPr>
              <w:spacing w:after="0"/>
              <w:rPr>
                <w:sz w:val="20"/>
                <w:szCs w:val="20"/>
                <w:color w:val="auto"/>
              </w:rPr>
            </w:pPr>
            <w:r>
              <w:rPr>
                <w:rFonts w:ascii="Arial" w:cs="Arial" w:eastAsia="Arial" w:hAnsi="Arial"/>
                <w:sz w:val="13"/>
                <w:szCs w:val="13"/>
                <w:b w:val="1"/>
                <w:bCs w:val="1"/>
                <w:color w:val="FFFFFF"/>
              </w:rPr>
              <w:t>Reexamine</w:t>
            </w:r>
          </w:p>
        </w:tc>
        <w:tc>
          <w:tcPr>
            <w:tcW w:w="280" w:type="dxa"/>
            <w:vAlign w:val="bottom"/>
          </w:tcPr>
          <w:p>
            <w:pPr>
              <w:spacing w:after="0"/>
              <w:rPr>
                <w:sz w:val="13"/>
                <w:szCs w:val="13"/>
                <w:color w:val="auto"/>
              </w:rPr>
            </w:pPr>
          </w:p>
        </w:tc>
        <w:tc>
          <w:tcPr>
            <w:tcW w:w="1100" w:type="dxa"/>
            <w:vAlign w:val="bottom"/>
            <w:vMerge w:val="restart"/>
            <w:shd w:val="clear" w:color="auto" w:fill="D52B1E"/>
          </w:tcPr>
          <w:p>
            <w:pPr>
              <w:spacing w:after="0"/>
              <w:rPr>
                <w:sz w:val="20"/>
                <w:szCs w:val="20"/>
                <w:color w:val="auto"/>
              </w:rPr>
            </w:pPr>
            <w:r>
              <w:rPr>
                <w:rFonts w:ascii="Arial" w:cs="Arial" w:eastAsia="Arial" w:hAnsi="Arial"/>
                <w:sz w:val="13"/>
                <w:szCs w:val="13"/>
                <w:b w:val="1"/>
                <w:bCs w:val="1"/>
                <w:color w:val="FFFFFF"/>
              </w:rPr>
              <w:t>Questionnaire</w:t>
            </w:r>
          </w:p>
        </w:tc>
        <w:tc>
          <w:tcPr>
            <w:tcW w:w="260" w:type="dxa"/>
            <w:vAlign w:val="bottom"/>
          </w:tcPr>
          <w:p>
            <w:pPr>
              <w:spacing w:after="0"/>
              <w:rPr>
                <w:sz w:val="13"/>
                <w:szCs w:val="13"/>
                <w:color w:val="auto"/>
              </w:rPr>
            </w:pPr>
          </w:p>
        </w:tc>
        <w:tc>
          <w:tcPr>
            <w:tcW w:w="1100" w:type="dxa"/>
            <w:vAlign w:val="bottom"/>
            <w:vMerge w:val="restart"/>
            <w:shd w:val="clear" w:color="auto" w:fill="D52B1E"/>
          </w:tcPr>
          <w:p>
            <w:pPr>
              <w:ind w:left="20"/>
              <w:spacing w:after="0"/>
              <w:rPr>
                <w:sz w:val="20"/>
                <w:szCs w:val="20"/>
                <w:color w:val="auto"/>
              </w:rPr>
            </w:pPr>
            <w:r>
              <w:rPr>
                <w:rFonts w:ascii="Arial" w:cs="Arial" w:eastAsia="Arial" w:hAnsi="Arial"/>
                <w:sz w:val="13"/>
                <w:szCs w:val="13"/>
                <w:b w:val="1"/>
                <w:bCs w:val="1"/>
                <w:color w:val="FFFFFF"/>
              </w:rPr>
              <w:t>One-On-One</w:t>
            </w:r>
          </w:p>
        </w:tc>
        <w:tc>
          <w:tcPr>
            <w:tcW w:w="260" w:type="dxa"/>
            <w:vAlign w:val="bottom"/>
          </w:tcPr>
          <w:p>
            <w:pPr>
              <w:spacing w:after="0"/>
              <w:rPr>
                <w:sz w:val="13"/>
                <w:szCs w:val="13"/>
                <w:color w:val="auto"/>
              </w:rPr>
            </w:pPr>
          </w:p>
        </w:tc>
        <w:tc>
          <w:tcPr>
            <w:tcW w:w="1060" w:type="dxa"/>
            <w:vAlign w:val="bottom"/>
            <w:vMerge w:val="restart"/>
            <w:shd w:val="clear" w:color="auto" w:fill="00A1DE"/>
          </w:tcPr>
          <w:p>
            <w:pPr>
              <w:spacing w:after="0"/>
              <w:rPr>
                <w:sz w:val="20"/>
                <w:szCs w:val="20"/>
                <w:color w:val="auto"/>
              </w:rPr>
            </w:pPr>
            <w:r>
              <w:rPr>
                <w:rFonts w:ascii="Arial" w:cs="Arial" w:eastAsia="Arial" w:hAnsi="Arial"/>
                <w:sz w:val="13"/>
                <w:szCs w:val="13"/>
                <w:b w:val="1"/>
                <w:bCs w:val="1"/>
                <w:color w:val="FFFFFF"/>
              </w:rPr>
              <w:t>Evaluation</w:t>
            </w:r>
          </w:p>
        </w:tc>
        <w:tc>
          <w:tcPr>
            <w:tcW w:w="260" w:type="dxa"/>
            <w:vAlign w:val="bottom"/>
          </w:tcPr>
          <w:p>
            <w:pPr>
              <w:spacing w:after="0"/>
              <w:rPr>
                <w:sz w:val="13"/>
                <w:szCs w:val="13"/>
                <w:color w:val="auto"/>
              </w:rPr>
            </w:pPr>
          </w:p>
        </w:tc>
        <w:tc>
          <w:tcPr>
            <w:tcW w:w="1100" w:type="dxa"/>
            <w:vAlign w:val="bottom"/>
            <w:vMerge w:val="restart"/>
            <w:shd w:val="clear" w:color="auto" w:fill="00A1DE"/>
          </w:tcPr>
          <w:p>
            <w:pPr>
              <w:ind w:left="20"/>
              <w:spacing w:after="0"/>
              <w:rPr>
                <w:sz w:val="20"/>
                <w:szCs w:val="20"/>
                <w:color w:val="auto"/>
              </w:rPr>
            </w:pPr>
            <w:r>
              <w:rPr>
                <w:rFonts w:ascii="Arial" w:cs="Arial" w:eastAsia="Arial" w:hAnsi="Arial"/>
                <w:sz w:val="13"/>
                <w:szCs w:val="13"/>
                <w:b w:val="1"/>
                <w:bCs w:val="1"/>
                <w:color w:val="FFFFFF"/>
              </w:rPr>
              <w:t>Closed Session</w:t>
            </w:r>
          </w:p>
        </w:tc>
        <w:tc>
          <w:tcPr>
            <w:tcW w:w="260" w:type="dxa"/>
            <w:vAlign w:val="bottom"/>
          </w:tcPr>
          <w:p>
            <w:pPr>
              <w:spacing w:after="0"/>
              <w:rPr>
                <w:sz w:val="13"/>
                <w:szCs w:val="13"/>
                <w:color w:val="auto"/>
              </w:rPr>
            </w:pPr>
          </w:p>
        </w:tc>
        <w:tc>
          <w:tcPr>
            <w:tcW w:w="1080" w:type="dxa"/>
            <w:vAlign w:val="bottom"/>
            <w:vMerge w:val="restart"/>
            <w:shd w:val="clear" w:color="auto" w:fill="6D6D6D"/>
          </w:tcPr>
          <w:p>
            <w:pPr>
              <w:ind w:left="20"/>
              <w:spacing w:after="0"/>
              <w:rPr>
                <w:sz w:val="20"/>
                <w:szCs w:val="20"/>
                <w:color w:val="auto"/>
              </w:rPr>
            </w:pPr>
            <w:r>
              <w:rPr>
                <w:rFonts w:ascii="Arial" w:cs="Arial" w:eastAsia="Arial" w:hAnsi="Arial"/>
                <w:sz w:val="13"/>
                <w:szCs w:val="13"/>
                <w:b w:val="1"/>
                <w:bCs w:val="1"/>
                <w:color w:val="FFFFFF"/>
              </w:rPr>
              <w:t>Follow Through</w:t>
            </w:r>
          </w:p>
        </w:tc>
        <w:tc>
          <w:tcPr>
            <w:tcW w:w="0" w:type="dxa"/>
            <w:vAlign w:val="bottom"/>
          </w:tcPr>
          <w:p>
            <w:pPr>
              <w:spacing w:after="0"/>
              <w:rPr>
                <w:sz w:val="1"/>
                <w:szCs w:val="1"/>
                <w:color w:val="auto"/>
              </w:rPr>
            </w:pPr>
          </w:p>
        </w:tc>
      </w:tr>
      <w:tr>
        <w:trPr>
          <w:trHeight w:val="58"/>
        </w:trPr>
        <w:tc>
          <w:tcPr>
            <w:tcW w:w="1020" w:type="dxa"/>
            <w:vAlign w:val="bottom"/>
            <w:vMerge w:val="restart"/>
            <w:shd w:val="clear" w:color="auto" w:fill="6D6D6D"/>
          </w:tcPr>
          <w:p>
            <w:pPr>
              <w:spacing w:after="0" w:line="132" w:lineRule="exact"/>
              <w:rPr>
                <w:sz w:val="20"/>
                <w:szCs w:val="20"/>
                <w:color w:val="auto"/>
              </w:rPr>
            </w:pPr>
            <w:r>
              <w:rPr>
                <w:rFonts w:ascii="Arial" w:cs="Arial" w:eastAsia="Arial" w:hAnsi="Arial"/>
                <w:sz w:val="13"/>
                <w:szCs w:val="13"/>
                <w:b w:val="1"/>
                <w:bCs w:val="1"/>
                <w:color w:val="FFFFFF"/>
              </w:rPr>
              <w:t>Evaluation</w:t>
            </w:r>
          </w:p>
        </w:tc>
        <w:tc>
          <w:tcPr>
            <w:tcW w:w="280" w:type="dxa"/>
            <w:vAlign w:val="bottom"/>
          </w:tcPr>
          <w:p>
            <w:pPr>
              <w:spacing w:after="0"/>
              <w:rPr>
                <w:sz w:val="5"/>
                <w:szCs w:val="5"/>
                <w:color w:val="auto"/>
              </w:rPr>
            </w:pPr>
          </w:p>
        </w:tc>
        <w:tc>
          <w:tcPr>
            <w:tcW w:w="1100" w:type="dxa"/>
            <w:vAlign w:val="bottom"/>
            <w:vMerge w:val="continue"/>
            <w:shd w:val="clear" w:color="auto" w:fill="D52B1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shd w:val="clear" w:color="auto" w:fill="D52B1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continue"/>
            <w:shd w:val="clear" w:color="auto" w:fill="00A1D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shd w:val="clear" w:color="auto" w:fill="00A1D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continue"/>
            <w:shd w:val="clear" w:color="auto" w:fill="6D6D6D"/>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20" w:type="dxa"/>
            <w:vAlign w:val="bottom"/>
            <w:vMerge w:val="continue"/>
            <w:shd w:val="clear" w:color="auto" w:fill="6D6D6D"/>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continue"/>
            <w:shd w:val="clear" w:color="auto" w:fill="D52B1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restart"/>
            <w:shd w:val="clear" w:color="auto" w:fill="D52B1E"/>
          </w:tcPr>
          <w:p>
            <w:pPr>
              <w:ind w:left="20"/>
              <w:spacing w:after="0"/>
              <w:rPr>
                <w:sz w:val="20"/>
                <w:szCs w:val="20"/>
                <w:color w:val="auto"/>
              </w:rPr>
            </w:pPr>
            <w:r>
              <w:rPr>
                <w:rFonts w:ascii="Arial" w:cs="Arial" w:eastAsia="Arial" w:hAnsi="Arial"/>
                <w:sz w:val="13"/>
                <w:szCs w:val="13"/>
                <w:b w:val="1"/>
                <w:bCs w:val="1"/>
                <w:color w:val="FFFFFF"/>
              </w:rPr>
              <w:t>Discussions</w:t>
            </w:r>
          </w:p>
        </w:tc>
        <w:tc>
          <w:tcPr>
            <w:tcW w:w="260" w:type="dxa"/>
            <w:vAlign w:val="bottom"/>
          </w:tcPr>
          <w:p>
            <w:pPr>
              <w:spacing w:after="0"/>
              <w:rPr>
                <w:sz w:val="6"/>
                <w:szCs w:val="6"/>
                <w:color w:val="auto"/>
              </w:rPr>
            </w:pPr>
          </w:p>
        </w:tc>
        <w:tc>
          <w:tcPr>
            <w:tcW w:w="1060" w:type="dxa"/>
            <w:vAlign w:val="bottom"/>
            <w:vMerge w:val="restart"/>
            <w:shd w:val="clear" w:color="auto" w:fill="00A1DE"/>
          </w:tcPr>
          <w:p>
            <w:pPr>
              <w:spacing w:after="0"/>
              <w:rPr>
                <w:sz w:val="20"/>
                <w:szCs w:val="20"/>
                <w:color w:val="auto"/>
              </w:rPr>
            </w:pPr>
            <w:r>
              <w:rPr>
                <w:rFonts w:ascii="Arial" w:cs="Arial" w:eastAsia="Arial" w:hAnsi="Arial"/>
                <w:sz w:val="13"/>
                <w:szCs w:val="13"/>
                <w:b w:val="1"/>
                <w:bCs w:val="1"/>
                <w:color w:val="FFFFFF"/>
              </w:rPr>
              <w:t>Summary</w:t>
            </w:r>
          </w:p>
        </w:tc>
        <w:tc>
          <w:tcPr>
            <w:tcW w:w="260" w:type="dxa"/>
            <w:vAlign w:val="bottom"/>
          </w:tcPr>
          <w:p>
            <w:pPr>
              <w:spacing w:after="0"/>
              <w:rPr>
                <w:sz w:val="6"/>
                <w:szCs w:val="6"/>
                <w:color w:val="auto"/>
              </w:rPr>
            </w:pPr>
          </w:p>
        </w:tc>
        <w:tc>
          <w:tcPr>
            <w:tcW w:w="1100" w:type="dxa"/>
            <w:vAlign w:val="bottom"/>
            <w:vMerge w:val="restart"/>
            <w:shd w:val="clear" w:color="auto" w:fill="00A1DE"/>
          </w:tcPr>
          <w:p>
            <w:pPr>
              <w:ind w:left="20"/>
              <w:spacing w:after="0"/>
              <w:rPr>
                <w:sz w:val="20"/>
                <w:szCs w:val="20"/>
                <w:color w:val="auto"/>
              </w:rPr>
            </w:pPr>
            <w:r>
              <w:rPr>
                <w:rFonts w:ascii="Arial" w:cs="Arial" w:eastAsia="Arial" w:hAnsi="Arial"/>
                <w:sz w:val="13"/>
                <w:szCs w:val="13"/>
                <w:b w:val="1"/>
                <w:bCs w:val="1"/>
                <w:color w:val="FFFFFF"/>
              </w:rPr>
              <w:t>Discussions</w:t>
            </w:r>
          </w:p>
        </w:tc>
        <w:tc>
          <w:tcPr>
            <w:tcW w:w="260" w:type="dxa"/>
            <w:vAlign w:val="bottom"/>
          </w:tcPr>
          <w:p>
            <w:pPr>
              <w:spacing w:after="0"/>
              <w:rPr>
                <w:sz w:val="6"/>
                <w:szCs w:val="6"/>
                <w:color w:val="auto"/>
              </w:rPr>
            </w:pPr>
          </w:p>
        </w:tc>
        <w:tc>
          <w:tcPr>
            <w:tcW w:w="1080" w:type="dxa"/>
            <w:vAlign w:val="bottom"/>
            <w:vMerge w:val="continue"/>
            <w:shd w:val="clear" w:color="auto" w:fill="6D6D6D"/>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020" w:type="dxa"/>
            <w:vAlign w:val="bottom"/>
            <w:vMerge w:val="restart"/>
            <w:shd w:val="clear" w:color="auto" w:fill="6D6D6D"/>
          </w:tcPr>
          <w:p>
            <w:pPr>
              <w:spacing w:after="0"/>
              <w:rPr>
                <w:sz w:val="20"/>
                <w:szCs w:val="20"/>
                <w:color w:val="auto"/>
              </w:rPr>
            </w:pPr>
            <w:r>
              <w:rPr>
                <w:rFonts w:ascii="Arial" w:cs="Arial" w:eastAsia="Arial" w:hAnsi="Arial"/>
                <w:sz w:val="13"/>
                <w:szCs w:val="13"/>
                <w:b w:val="1"/>
                <w:bCs w:val="1"/>
                <w:color w:val="FFFFFF"/>
              </w:rPr>
              <w:t>Process</w:t>
            </w:r>
          </w:p>
        </w:tc>
        <w:tc>
          <w:tcPr>
            <w:tcW w:w="280" w:type="dxa"/>
            <w:vAlign w:val="bottom"/>
          </w:tcPr>
          <w:p>
            <w:pPr>
              <w:spacing w:after="0"/>
              <w:rPr>
                <w:sz w:val="9"/>
                <w:szCs w:val="9"/>
                <w:color w:val="auto"/>
              </w:rPr>
            </w:pPr>
          </w:p>
        </w:tc>
        <w:tc>
          <w:tcPr>
            <w:tcW w:w="1100" w:type="dxa"/>
            <w:vAlign w:val="bottom"/>
            <w:shd w:val="clear" w:color="auto" w:fill="D52B1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continue"/>
            <w:shd w:val="clear" w:color="auto" w:fill="D52B1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vMerge w:val="continue"/>
            <w:shd w:val="clear" w:color="auto" w:fill="00A1D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continue"/>
            <w:shd w:val="clear" w:color="auto" w:fill="00A1DE"/>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shd w:val="clear" w:color="auto" w:fill="6D6D6D"/>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20" w:type="dxa"/>
            <w:vAlign w:val="bottom"/>
            <w:vMerge w:val="continue"/>
            <w:shd w:val="clear" w:color="auto" w:fill="6D6D6D"/>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shd w:val="clear" w:color="auto" w:fill="D52B1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shd w:val="clear" w:color="auto" w:fill="D52B1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shd w:val="clear" w:color="auto" w:fill="00A1D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shd w:val="clear" w:color="auto" w:fill="00A1D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shd w:val="clear" w:color="auto" w:fill="6D6D6D"/>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020" w:type="dxa"/>
            <w:vAlign w:val="bottom"/>
            <w:shd w:val="clear" w:color="auto" w:fill="6D6D6D"/>
          </w:tcPr>
          <w:p>
            <w:pPr>
              <w:spacing w:after="0" w:line="133" w:lineRule="exact"/>
              <w:rPr>
                <w:sz w:val="20"/>
                <w:szCs w:val="20"/>
                <w:color w:val="auto"/>
              </w:rPr>
            </w:pPr>
            <w:r>
              <w:rPr>
                <w:rFonts w:ascii="Arial" w:cs="Arial" w:eastAsia="Arial" w:hAnsi="Arial"/>
                <w:sz w:val="12"/>
                <w:szCs w:val="12"/>
                <w:color w:val="FFFFFF"/>
              </w:rPr>
              <w:t>Our lead</w:t>
            </w:r>
          </w:p>
        </w:tc>
        <w:tc>
          <w:tcPr>
            <w:tcW w:w="280" w:type="dxa"/>
            <w:vAlign w:val="bottom"/>
          </w:tcPr>
          <w:p>
            <w:pPr>
              <w:spacing w:after="0"/>
              <w:rPr>
                <w:sz w:val="11"/>
                <w:szCs w:val="11"/>
                <w:color w:val="auto"/>
              </w:rPr>
            </w:pPr>
          </w:p>
        </w:tc>
        <w:tc>
          <w:tcPr>
            <w:tcW w:w="1100" w:type="dxa"/>
            <w:vAlign w:val="bottom"/>
            <w:shd w:val="clear" w:color="auto" w:fill="D52B1E"/>
          </w:tcPr>
          <w:p>
            <w:pPr>
              <w:spacing w:after="0" w:line="133" w:lineRule="exact"/>
              <w:rPr>
                <w:sz w:val="20"/>
                <w:szCs w:val="20"/>
                <w:color w:val="auto"/>
              </w:rPr>
            </w:pPr>
            <w:r>
              <w:rPr>
                <w:rFonts w:ascii="Arial" w:cs="Arial" w:eastAsia="Arial" w:hAnsi="Arial"/>
                <w:sz w:val="12"/>
                <w:szCs w:val="12"/>
                <w:color w:val="FFFFFF"/>
              </w:rPr>
              <w:t>Directors provided</w:t>
            </w:r>
          </w:p>
        </w:tc>
        <w:tc>
          <w:tcPr>
            <w:tcW w:w="260" w:type="dxa"/>
            <w:vAlign w:val="bottom"/>
          </w:tcPr>
          <w:p>
            <w:pPr>
              <w:spacing w:after="0"/>
              <w:rPr>
                <w:sz w:val="11"/>
                <w:szCs w:val="11"/>
                <w:color w:val="auto"/>
              </w:rPr>
            </w:pPr>
          </w:p>
        </w:tc>
        <w:tc>
          <w:tcPr>
            <w:tcW w:w="1100" w:type="dxa"/>
            <w:vAlign w:val="bottom"/>
            <w:shd w:val="clear" w:color="auto" w:fill="D52B1E"/>
          </w:tcPr>
          <w:p>
            <w:pPr>
              <w:ind w:left="20"/>
              <w:spacing w:after="0" w:line="133" w:lineRule="exact"/>
              <w:rPr>
                <w:sz w:val="20"/>
                <w:szCs w:val="20"/>
                <w:color w:val="auto"/>
              </w:rPr>
            </w:pPr>
            <w:r>
              <w:rPr>
                <w:rFonts w:ascii="Arial" w:cs="Arial" w:eastAsia="Arial" w:hAnsi="Arial"/>
                <w:sz w:val="12"/>
                <w:szCs w:val="12"/>
                <w:color w:val="FFFFFF"/>
              </w:rPr>
              <w:t>Each director had</w:t>
            </w:r>
          </w:p>
        </w:tc>
        <w:tc>
          <w:tcPr>
            <w:tcW w:w="260" w:type="dxa"/>
            <w:vAlign w:val="bottom"/>
          </w:tcPr>
          <w:p>
            <w:pPr>
              <w:spacing w:after="0"/>
              <w:rPr>
                <w:sz w:val="11"/>
                <w:szCs w:val="11"/>
                <w:color w:val="auto"/>
              </w:rPr>
            </w:pPr>
          </w:p>
        </w:tc>
        <w:tc>
          <w:tcPr>
            <w:tcW w:w="1060" w:type="dxa"/>
            <w:vAlign w:val="bottom"/>
            <w:shd w:val="clear" w:color="auto" w:fill="00A1DE"/>
          </w:tcPr>
          <w:p>
            <w:pPr>
              <w:spacing w:after="0" w:line="133" w:lineRule="exact"/>
              <w:rPr>
                <w:sz w:val="20"/>
                <w:szCs w:val="20"/>
                <w:color w:val="auto"/>
              </w:rPr>
            </w:pPr>
            <w:r>
              <w:rPr>
                <w:rFonts w:ascii="Arial" w:cs="Arial" w:eastAsia="Arial" w:hAnsi="Arial"/>
                <w:sz w:val="12"/>
                <w:szCs w:val="12"/>
                <w:color w:val="FFFFFF"/>
              </w:rPr>
              <w:t>A summary of</w:t>
            </w:r>
          </w:p>
        </w:tc>
        <w:tc>
          <w:tcPr>
            <w:tcW w:w="260" w:type="dxa"/>
            <w:vAlign w:val="bottom"/>
          </w:tcPr>
          <w:p>
            <w:pPr>
              <w:spacing w:after="0"/>
              <w:rPr>
                <w:sz w:val="11"/>
                <w:szCs w:val="11"/>
                <w:color w:val="auto"/>
              </w:rPr>
            </w:pPr>
          </w:p>
        </w:tc>
        <w:tc>
          <w:tcPr>
            <w:tcW w:w="1100" w:type="dxa"/>
            <w:vAlign w:val="bottom"/>
            <w:shd w:val="clear" w:color="auto" w:fill="00A1DE"/>
          </w:tcPr>
          <w:p>
            <w:pPr>
              <w:ind w:left="20"/>
              <w:spacing w:after="0" w:line="133" w:lineRule="exact"/>
              <w:rPr>
                <w:sz w:val="20"/>
                <w:szCs w:val="20"/>
                <w:color w:val="auto"/>
              </w:rPr>
            </w:pPr>
            <w:r>
              <w:rPr>
                <w:rFonts w:ascii="Arial" w:cs="Arial" w:eastAsia="Arial" w:hAnsi="Arial"/>
                <w:sz w:val="12"/>
                <w:szCs w:val="12"/>
                <w:color w:val="FFFFFF"/>
              </w:rPr>
              <w:t>Closed session</w:t>
            </w:r>
          </w:p>
        </w:tc>
        <w:tc>
          <w:tcPr>
            <w:tcW w:w="260" w:type="dxa"/>
            <w:vAlign w:val="bottom"/>
          </w:tcPr>
          <w:p>
            <w:pPr>
              <w:spacing w:after="0"/>
              <w:rPr>
                <w:sz w:val="11"/>
                <w:szCs w:val="11"/>
                <w:color w:val="auto"/>
              </w:rPr>
            </w:pPr>
          </w:p>
        </w:tc>
        <w:tc>
          <w:tcPr>
            <w:tcW w:w="1080" w:type="dxa"/>
            <w:vAlign w:val="bottom"/>
            <w:shd w:val="clear" w:color="auto" w:fill="6D6D6D"/>
          </w:tcPr>
          <w:p>
            <w:pPr>
              <w:ind w:left="20"/>
              <w:spacing w:after="0" w:line="133" w:lineRule="exact"/>
              <w:rPr>
                <w:sz w:val="20"/>
                <w:szCs w:val="20"/>
                <w:color w:val="auto"/>
              </w:rPr>
            </w:pPr>
            <w:r>
              <w:rPr>
                <w:rFonts w:ascii="Arial" w:cs="Arial" w:eastAsia="Arial" w:hAnsi="Arial"/>
                <w:sz w:val="12"/>
                <w:szCs w:val="12"/>
                <w:color w:val="FFFFFF"/>
              </w:rPr>
              <w:t>Incorporated</w:t>
            </w:r>
          </w:p>
        </w:tc>
        <w:tc>
          <w:tcPr>
            <w:tcW w:w="0" w:type="dxa"/>
            <w:vAlign w:val="bottom"/>
          </w:tcPr>
          <w:p>
            <w:pPr>
              <w:spacing w:after="0"/>
              <w:rPr>
                <w:sz w:val="1"/>
                <w:szCs w:val="1"/>
                <w:color w:val="auto"/>
              </w:rPr>
            </w:pPr>
          </w:p>
        </w:tc>
      </w:tr>
      <w:tr>
        <w:trPr>
          <w:trHeight w:val="128"/>
        </w:trPr>
        <w:tc>
          <w:tcPr>
            <w:tcW w:w="1020" w:type="dxa"/>
            <w:vAlign w:val="bottom"/>
            <w:shd w:val="clear" w:color="auto" w:fill="6D6D6D"/>
          </w:tcPr>
          <w:p>
            <w:pPr>
              <w:spacing w:after="0" w:line="129" w:lineRule="exact"/>
              <w:rPr>
                <w:sz w:val="20"/>
                <w:szCs w:val="20"/>
                <w:color w:val="auto"/>
              </w:rPr>
            </w:pPr>
            <w:r>
              <w:rPr>
                <w:rFonts w:ascii="Arial" w:cs="Arial" w:eastAsia="Arial" w:hAnsi="Arial"/>
                <w:sz w:val="12"/>
                <w:szCs w:val="12"/>
                <w:color w:val="FFFFFF"/>
              </w:rPr>
              <w:t>independent</w:t>
            </w:r>
          </w:p>
        </w:tc>
        <w:tc>
          <w:tcPr>
            <w:tcW w:w="280" w:type="dxa"/>
            <w:vAlign w:val="bottom"/>
          </w:tcPr>
          <w:p>
            <w:pPr>
              <w:spacing w:after="0"/>
              <w:rPr>
                <w:sz w:val="11"/>
                <w:szCs w:val="11"/>
                <w:color w:val="auto"/>
              </w:rPr>
            </w:pPr>
          </w:p>
        </w:tc>
        <w:tc>
          <w:tcPr>
            <w:tcW w:w="1100" w:type="dxa"/>
            <w:vAlign w:val="bottom"/>
            <w:shd w:val="clear" w:color="auto" w:fill="D52B1E"/>
          </w:tcPr>
          <w:p>
            <w:pPr>
              <w:spacing w:after="0" w:line="129" w:lineRule="exact"/>
              <w:rPr>
                <w:sz w:val="20"/>
                <w:szCs w:val="20"/>
                <w:color w:val="auto"/>
              </w:rPr>
            </w:pPr>
            <w:r>
              <w:rPr>
                <w:rFonts w:ascii="Arial" w:cs="Arial" w:eastAsia="Arial" w:hAnsi="Arial"/>
                <w:sz w:val="12"/>
                <w:szCs w:val="12"/>
                <w:color w:val="FFFFFF"/>
              </w:rPr>
              <w:t>written feedback</w:t>
            </w:r>
          </w:p>
        </w:tc>
        <w:tc>
          <w:tcPr>
            <w:tcW w:w="260" w:type="dxa"/>
            <w:vAlign w:val="bottom"/>
          </w:tcPr>
          <w:p>
            <w:pPr>
              <w:spacing w:after="0"/>
              <w:rPr>
                <w:sz w:val="11"/>
                <w:szCs w:val="11"/>
                <w:color w:val="auto"/>
              </w:rPr>
            </w:pPr>
          </w:p>
        </w:tc>
        <w:tc>
          <w:tcPr>
            <w:tcW w:w="1100" w:type="dxa"/>
            <w:vAlign w:val="bottom"/>
            <w:shd w:val="clear" w:color="auto" w:fill="D52B1E"/>
          </w:tcPr>
          <w:p>
            <w:pPr>
              <w:ind w:left="20"/>
              <w:spacing w:after="0" w:line="129" w:lineRule="exact"/>
              <w:rPr>
                <w:sz w:val="20"/>
                <w:szCs w:val="20"/>
                <w:color w:val="auto"/>
              </w:rPr>
            </w:pPr>
            <w:r>
              <w:rPr>
                <w:rFonts w:ascii="Arial" w:cs="Arial" w:eastAsia="Arial" w:hAnsi="Arial"/>
                <w:sz w:val="12"/>
                <w:szCs w:val="12"/>
                <w:color w:val="FFFFFF"/>
              </w:rPr>
              <w:t>one-on-one</w:t>
            </w:r>
          </w:p>
        </w:tc>
        <w:tc>
          <w:tcPr>
            <w:tcW w:w="260" w:type="dxa"/>
            <w:vAlign w:val="bottom"/>
          </w:tcPr>
          <w:p>
            <w:pPr>
              <w:spacing w:after="0"/>
              <w:rPr>
                <w:sz w:val="11"/>
                <w:szCs w:val="11"/>
                <w:color w:val="auto"/>
              </w:rPr>
            </w:pPr>
          </w:p>
        </w:tc>
        <w:tc>
          <w:tcPr>
            <w:tcW w:w="1060" w:type="dxa"/>
            <w:vAlign w:val="bottom"/>
            <w:shd w:val="clear" w:color="auto" w:fill="00A1DE"/>
          </w:tcPr>
          <w:p>
            <w:pPr>
              <w:spacing w:after="0" w:line="129" w:lineRule="exact"/>
              <w:rPr>
                <w:sz w:val="20"/>
                <w:szCs w:val="20"/>
                <w:color w:val="auto"/>
              </w:rPr>
            </w:pPr>
            <w:r>
              <w:rPr>
                <w:rFonts w:ascii="Arial" w:cs="Arial" w:eastAsia="Arial" w:hAnsi="Arial"/>
                <w:sz w:val="12"/>
                <w:szCs w:val="12"/>
                <w:color w:val="FFFFFF"/>
              </w:rPr>
              <w:t>board and</w:t>
            </w:r>
          </w:p>
        </w:tc>
        <w:tc>
          <w:tcPr>
            <w:tcW w:w="260" w:type="dxa"/>
            <w:vAlign w:val="bottom"/>
          </w:tcPr>
          <w:p>
            <w:pPr>
              <w:spacing w:after="0"/>
              <w:rPr>
                <w:sz w:val="11"/>
                <w:szCs w:val="11"/>
                <w:color w:val="auto"/>
              </w:rPr>
            </w:pPr>
          </w:p>
        </w:tc>
        <w:tc>
          <w:tcPr>
            <w:tcW w:w="1100" w:type="dxa"/>
            <w:vAlign w:val="bottom"/>
            <w:shd w:val="clear" w:color="auto" w:fill="00A1DE"/>
          </w:tcPr>
          <w:p>
            <w:pPr>
              <w:ind w:left="20"/>
              <w:spacing w:after="0" w:line="129" w:lineRule="exact"/>
              <w:rPr>
                <w:sz w:val="20"/>
                <w:szCs w:val="20"/>
                <w:color w:val="auto"/>
              </w:rPr>
            </w:pPr>
            <w:r>
              <w:rPr>
                <w:rFonts w:ascii="Arial" w:cs="Arial" w:eastAsia="Arial" w:hAnsi="Arial"/>
                <w:sz w:val="12"/>
                <w:szCs w:val="12"/>
                <w:color w:val="FFFFFF"/>
              </w:rPr>
              <w:t>evaluation</w:t>
            </w:r>
          </w:p>
        </w:tc>
        <w:tc>
          <w:tcPr>
            <w:tcW w:w="260" w:type="dxa"/>
            <w:vAlign w:val="bottom"/>
          </w:tcPr>
          <w:p>
            <w:pPr>
              <w:spacing w:after="0"/>
              <w:rPr>
                <w:sz w:val="11"/>
                <w:szCs w:val="11"/>
                <w:color w:val="auto"/>
              </w:rPr>
            </w:pPr>
          </w:p>
        </w:tc>
        <w:tc>
          <w:tcPr>
            <w:tcW w:w="1080" w:type="dxa"/>
            <w:vAlign w:val="bottom"/>
            <w:shd w:val="clear" w:color="auto" w:fill="6D6D6D"/>
          </w:tcPr>
          <w:p>
            <w:pPr>
              <w:ind w:left="20"/>
              <w:spacing w:after="0" w:line="129" w:lineRule="exact"/>
              <w:rPr>
                <w:sz w:val="20"/>
                <w:szCs w:val="20"/>
                <w:color w:val="auto"/>
              </w:rPr>
            </w:pPr>
            <w:r>
              <w:rPr>
                <w:rFonts w:ascii="Arial" w:cs="Arial" w:eastAsia="Arial" w:hAnsi="Arial"/>
                <w:sz w:val="12"/>
                <w:szCs w:val="12"/>
                <w:color w:val="FFFFFF"/>
              </w:rPr>
              <w:t>feedback into</w:t>
            </w:r>
          </w:p>
        </w:tc>
        <w:tc>
          <w:tcPr>
            <w:tcW w:w="0" w:type="dxa"/>
            <w:vAlign w:val="bottom"/>
          </w:tcPr>
          <w:p>
            <w:pPr>
              <w:spacing w:after="0"/>
              <w:rPr>
                <w:sz w:val="1"/>
                <w:szCs w:val="1"/>
                <w:color w:val="auto"/>
              </w:rPr>
            </w:pPr>
          </w:p>
        </w:tc>
      </w:tr>
      <w:tr>
        <w:trPr>
          <w:trHeight w:val="125"/>
        </w:trPr>
        <w:tc>
          <w:tcPr>
            <w:tcW w:w="1020" w:type="dxa"/>
            <w:vAlign w:val="bottom"/>
            <w:shd w:val="clear" w:color="auto" w:fill="6D6D6D"/>
          </w:tcPr>
          <w:p>
            <w:pPr>
              <w:spacing w:after="0" w:line="125" w:lineRule="exact"/>
              <w:rPr>
                <w:sz w:val="20"/>
                <w:szCs w:val="20"/>
                <w:color w:val="auto"/>
              </w:rPr>
            </w:pPr>
            <w:r>
              <w:rPr>
                <w:rFonts w:ascii="Arial" w:cs="Arial" w:eastAsia="Arial" w:hAnsi="Arial"/>
                <w:sz w:val="12"/>
                <w:szCs w:val="12"/>
                <w:color w:val="FFFFFF"/>
              </w:rPr>
              <w:t>director and</w:t>
            </w:r>
          </w:p>
        </w:tc>
        <w:tc>
          <w:tcPr>
            <w:tcW w:w="280" w:type="dxa"/>
            <w:vAlign w:val="bottom"/>
          </w:tcPr>
          <w:p>
            <w:pPr>
              <w:spacing w:after="0"/>
              <w:rPr>
                <w:sz w:val="10"/>
                <w:szCs w:val="10"/>
                <w:color w:val="auto"/>
              </w:rPr>
            </w:pPr>
          </w:p>
        </w:tc>
        <w:tc>
          <w:tcPr>
            <w:tcW w:w="1100" w:type="dxa"/>
            <w:vAlign w:val="bottom"/>
            <w:shd w:val="clear" w:color="auto" w:fill="D52B1E"/>
          </w:tcPr>
          <w:p>
            <w:pPr>
              <w:spacing w:after="0" w:line="125" w:lineRule="exact"/>
              <w:rPr>
                <w:sz w:val="20"/>
                <w:szCs w:val="20"/>
                <w:color w:val="auto"/>
              </w:rPr>
            </w:pPr>
            <w:r>
              <w:rPr>
                <w:rFonts w:ascii="Arial" w:cs="Arial" w:eastAsia="Arial" w:hAnsi="Arial"/>
                <w:sz w:val="12"/>
                <w:szCs w:val="12"/>
                <w:color w:val="FFFFFF"/>
              </w:rPr>
              <w:t>on an unattributed</w:t>
            </w:r>
          </w:p>
        </w:tc>
        <w:tc>
          <w:tcPr>
            <w:tcW w:w="260" w:type="dxa"/>
            <w:vAlign w:val="bottom"/>
          </w:tcPr>
          <w:p>
            <w:pPr>
              <w:spacing w:after="0"/>
              <w:rPr>
                <w:sz w:val="10"/>
                <w:szCs w:val="10"/>
                <w:color w:val="auto"/>
              </w:rPr>
            </w:pPr>
          </w:p>
        </w:tc>
        <w:tc>
          <w:tcPr>
            <w:tcW w:w="1100" w:type="dxa"/>
            <w:vAlign w:val="bottom"/>
            <w:shd w:val="clear" w:color="auto" w:fill="D52B1E"/>
          </w:tcPr>
          <w:p>
            <w:pPr>
              <w:ind w:left="20"/>
              <w:spacing w:after="0" w:line="125" w:lineRule="exact"/>
              <w:rPr>
                <w:sz w:val="20"/>
                <w:szCs w:val="20"/>
                <w:color w:val="auto"/>
              </w:rPr>
            </w:pPr>
            <w:r>
              <w:rPr>
                <w:rFonts w:ascii="Arial" w:cs="Arial" w:eastAsia="Arial" w:hAnsi="Arial"/>
                <w:sz w:val="12"/>
                <w:szCs w:val="12"/>
                <w:color w:val="FFFFFF"/>
              </w:rPr>
              <w:t>discussions with</w:t>
            </w:r>
          </w:p>
        </w:tc>
        <w:tc>
          <w:tcPr>
            <w:tcW w:w="260" w:type="dxa"/>
            <w:vAlign w:val="bottom"/>
          </w:tcPr>
          <w:p>
            <w:pPr>
              <w:spacing w:after="0"/>
              <w:rPr>
                <w:sz w:val="10"/>
                <w:szCs w:val="10"/>
                <w:color w:val="auto"/>
              </w:rPr>
            </w:pPr>
          </w:p>
        </w:tc>
        <w:tc>
          <w:tcPr>
            <w:tcW w:w="1060" w:type="dxa"/>
            <w:vAlign w:val="bottom"/>
            <w:shd w:val="clear" w:color="auto" w:fill="00A1DE"/>
          </w:tcPr>
          <w:p>
            <w:pPr>
              <w:spacing w:after="0" w:line="125" w:lineRule="exact"/>
              <w:rPr>
                <w:sz w:val="20"/>
                <w:szCs w:val="20"/>
                <w:color w:val="auto"/>
              </w:rPr>
            </w:pPr>
            <w:r>
              <w:rPr>
                <w:rFonts w:ascii="Arial" w:cs="Arial" w:eastAsia="Arial" w:hAnsi="Arial"/>
                <w:sz w:val="12"/>
                <w:szCs w:val="12"/>
                <w:color w:val="FFFFFF"/>
              </w:rPr>
              <w:t>committee</w:t>
            </w:r>
          </w:p>
        </w:tc>
        <w:tc>
          <w:tcPr>
            <w:tcW w:w="260" w:type="dxa"/>
            <w:vAlign w:val="bottom"/>
          </w:tcPr>
          <w:p>
            <w:pPr>
              <w:spacing w:after="0"/>
              <w:rPr>
                <w:sz w:val="10"/>
                <w:szCs w:val="10"/>
                <w:color w:val="auto"/>
              </w:rPr>
            </w:pPr>
          </w:p>
        </w:tc>
        <w:tc>
          <w:tcPr>
            <w:tcW w:w="1100" w:type="dxa"/>
            <w:vAlign w:val="bottom"/>
            <w:shd w:val="clear" w:color="auto" w:fill="00A1DE"/>
          </w:tcPr>
          <w:p>
            <w:pPr>
              <w:ind w:left="20"/>
              <w:spacing w:after="0" w:line="125" w:lineRule="exact"/>
              <w:rPr>
                <w:sz w:val="20"/>
                <w:szCs w:val="20"/>
                <w:color w:val="auto"/>
              </w:rPr>
            </w:pPr>
            <w:r>
              <w:rPr>
                <w:rFonts w:ascii="Arial" w:cs="Arial" w:eastAsia="Arial" w:hAnsi="Arial"/>
                <w:sz w:val="12"/>
                <w:szCs w:val="12"/>
                <w:color w:val="FFFFFF"/>
              </w:rPr>
              <w:t>discussions of the</w:t>
            </w:r>
          </w:p>
        </w:tc>
        <w:tc>
          <w:tcPr>
            <w:tcW w:w="260" w:type="dxa"/>
            <w:vAlign w:val="bottom"/>
          </w:tcPr>
          <w:p>
            <w:pPr>
              <w:spacing w:after="0"/>
              <w:rPr>
                <w:sz w:val="10"/>
                <w:szCs w:val="10"/>
                <w:color w:val="auto"/>
              </w:rPr>
            </w:pPr>
          </w:p>
        </w:tc>
        <w:tc>
          <w:tcPr>
            <w:tcW w:w="1080" w:type="dxa"/>
            <w:vAlign w:val="bottom"/>
            <w:shd w:val="clear" w:color="auto" w:fill="6D6D6D"/>
          </w:tcPr>
          <w:p>
            <w:pPr>
              <w:ind w:left="20"/>
              <w:spacing w:after="0" w:line="125" w:lineRule="exact"/>
              <w:rPr>
                <w:sz w:val="20"/>
                <w:szCs w:val="20"/>
                <w:color w:val="auto"/>
              </w:rPr>
            </w:pPr>
            <w:r>
              <w:rPr>
                <w:rFonts w:ascii="Arial" w:cs="Arial" w:eastAsia="Arial" w:hAnsi="Arial"/>
                <w:sz w:val="12"/>
                <w:szCs w:val="12"/>
                <w:color w:val="FFFFFF"/>
              </w:rPr>
              <w:t>nomination</w:t>
            </w:r>
          </w:p>
        </w:tc>
        <w:tc>
          <w:tcPr>
            <w:tcW w:w="0" w:type="dxa"/>
            <w:vAlign w:val="bottom"/>
          </w:tcPr>
          <w:p>
            <w:pPr>
              <w:spacing w:after="0"/>
              <w:rPr>
                <w:sz w:val="1"/>
                <w:szCs w:val="1"/>
                <w:color w:val="auto"/>
              </w:rPr>
            </w:pPr>
          </w:p>
        </w:tc>
      </w:tr>
      <w:tr>
        <w:trPr>
          <w:trHeight w:val="121"/>
        </w:trPr>
        <w:tc>
          <w:tcPr>
            <w:tcW w:w="1020" w:type="dxa"/>
            <w:vAlign w:val="bottom"/>
            <w:shd w:val="clear" w:color="auto" w:fill="6D6D6D"/>
          </w:tcPr>
          <w:p>
            <w:pPr>
              <w:spacing w:after="0" w:line="121" w:lineRule="exact"/>
              <w:rPr>
                <w:sz w:val="20"/>
                <w:szCs w:val="20"/>
                <w:color w:val="auto"/>
              </w:rPr>
            </w:pPr>
            <w:r>
              <w:rPr>
                <w:rFonts w:ascii="Arial" w:cs="Arial" w:eastAsia="Arial" w:hAnsi="Arial"/>
                <w:sz w:val="12"/>
                <w:szCs w:val="12"/>
                <w:color w:val="FFFFFF"/>
              </w:rPr>
              <w:t>Directors and</w:t>
            </w:r>
          </w:p>
        </w:tc>
        <w:tc>
          <w:tcPr>
            <w:tcW w:w="280" w:type="dxa"/>
            <w:vAlign w:val="bottom"/>
          </w:tcPr>
          <w:p>
            <w:pPr>
              <w:spacing w:after="0"/>
              <w:rPr>
                <w:sz w:val="10"/>
                <w:szCs w:val="10"/>
                <w:color w:val="auto"/>
              </w:rPr>
            </w:pPr>
          </w:p>
        </w:tc>
        <w:tc>
          <w:tcPr>
            <w:tcW w:w="1100" w:type="dxa"/>
            <w:vAlign w:val="bottom"/>
            <w:shd w:val="clear" w:color="auto" w:fill="D52B1E"/>
          </w:tcPr>
          <w:p>
            <w:pPr>
              <w:spacing w:after="0" w:line="121" w:lineRule="exact"/>
              <w:rPr>
                <w:sz w:val="20"/>
                <w:szCs w:val="20"/>
                <w:color w:val="auto"/>
              </w:rPr>
            </w:pPr>
            <w:r>
              <w:rPr>
                <w:rFonts w:ascii="Arial" w:cs="Arial" w:eastAsia="Arial" w:hAnsi="Arial"/>
                <w:sz w:val="12"/>
                <w:szCs w:val="12"/>
                <w:color w:val="FFFFFF"/>
              </w:rPr>
              <w:t>basis.</w:t>
            </w:r>
          </w:p>
        </w:tc>
        <w:tc>
          <w:tcPr>
            <w:tcW w:w="260" w:type="dxa"/>
            <w:vAlign w:val="bottom"/>
          </w:tcPr>
          <w:p>
            <w:pPr>
              <w:spacing w:after="0"/>
              <w:rPr>
                <w:sz w:val="10"/>
                <w:szCs w:val="10"/>
                <w:color w:val="auto"/>
              </w:rPr>
            </w:pPr>
          </w:p>
        </w:tc>
        <w:tc>
          <w:tcPr>
            <w:tcW w:w="1100" w:type="dxa"/>
            <w:vAlign w:val="bottom"/>
            <w:shd w:val="clear" w:color="auto" w:fill="D52B1E"/>
          </w:tcPr>
          <w:p>
            <w:pPr>
              <w:ind w:left="20"/>
              <w:spacing w:after="0" w:line="121" w:lineRule="exact"/>
              <w:rPr>
                <w:sz w:val="20"/>
                <w:szCs w:val="20"/>
                <w:color w:val="auto"/>
              </w:rPr>
            </w:pPr>
            <w:r>
              <w:rPr>
                <w:rFonts w:ascii="Arial" w:cs="Arial" w:eastAsia="Arial" w:hAnsi="Arial"/>
                <w:sz w:val="12"/>
                <w:szCs w:val="12"/>
                <w:color w:val="FFFFFF"/>
              </w:rPr>
              <w:t>the lead</w:t>
            </w:r>
          </w:p>
        </w:tc>
        <w:tc>
          <w:tcPr>
            <w:tcW w:w="260" w:type="dxa"/>
            <w:vAlign w:val="bottom"/>
          </w:tcPr>
          <w:p>
            <w:pPr>
              <w:spacing w:after="0"/>
              <w:rPr>
                <w:sz w:val="10"/>
                <w:szCs w:val="10"/>
                <w:color w:val="auto"/>
              </w:rPr>
            </w:pPr>
          </w:p>
        </w:tc>
        <w:tc>
          <w:tcPr>
            <w:tcW w:w="1060" w:type="dxa"/>
            <w:vAlign w:val="bottom"/>
            <w:shd w:val="clear" w:color="auto" w:fill="00A1DE"/>
          </w:tcPr>
          <w:p>
            <w:pPr>
              <w:spacing w:after="0" w:line="121" w:lineRule="exact"/>
              <w:rPr>
                <w:sz w:val="20"/>
                <w:szCs w:val="20"/>
                <w:color w:val="auto"/>
              </w:rPr>
            </w:pPr>
            <w:r>
              <w:rPr>
                <w:rFonts w:ascii="Arial" w:cs="Arial" w:eastAsia="Arial" w:hAnsi="Arial"/>
                <w:sz w:val="12"/>
                <w:szCs w:val="12"/>
                <w:color w:val="FFFFFF"/>
              </w:rPr>
              <w:t>evaluations results</w:t>
            </w:r>
          </w:p>
        </w:tc>
        <w:tc>
          <w:tcPr>
            <w:tcW w:w="260" w:type="dxa"/>
            <w:vAlign w:val="bottom"/>
          </w:tcPr>
          <w:p>
            <w:pPr>
              <w:spacing w:after="0"/>
              <w:rPr>
                <w:sz w:val="10"/>
                <w:szCs w:val="10"/>
                <w:color w:val="auto"/>
              </w:rPr>
            </w:pPr>
          </w:p>
        </w:tc>
        <w:tc>
          <w:tcPr>
            <w:tcW w:w="1100" w:type="dxa"/>
            <w:vAlign w:val="bottom"/>
            <w:shd w:val="clear" w:color="auto" w:fill="00A1DE"/>
          </w:tcPr>
          <w:p>
            <w:pPr>
              <w:ind w:left="20"/>
              <w:spacing w:after="0" w:line="121" w:lineRule="exact"/>
              <w:rPr>
                <w:sz w:val="20"/>
                <w:szCs w:val="20"/>
                <w:color w:val="auto"/>
              </w:rPr>
            </w:pPr>
            <w:r>
              <w:rPr>
                <w:rFonts w:ascii="Arial" w:cs="Arial" w:eastAsia="Arial" w:hAnsi="Arial"/>
                <w:sz w:val="12"/>
                <w:szCs w:val="12"/>
                <w:color w:val="FFFFFF"/>
              </w:rPr>
              <w:t>board and</w:t>
            </w:r>
          </w:p>
        </w:tc>
        <w:tc>
          <w:tcPr>
            <w:tcW w:w="260" w:type="dxa"/>
            <w:vAlign w:val="bottom"/>
          </w:tcPr>
          <w:p>
            <w:pPr>
              <w:spacing w:after="0"/>
              <w:rPr>
                <w:sz w:val="10"/>
                <w:szCs w:val="10"/>
                <w:color w:val="auto"/>
              </w:rPr>
            </w:pPr>
          </w:p>
        </w:tc>
        <w:tc>
          <w:tcPr>
            <w:tcW w:w="1080" w:type="dxa"/>
            <w:vAlign w:val="bottom"/>
            <w:shd w:val="clear" w:color="auto" w:fill="6D6D6D"/>
          </w:tcPr>
          <w:p>
            <w:pPr>
              <w:ind w:left="20"/>
              <w:spacing w:after="0" w:line="121" w:lineRule="exact"/>
              <w:rPr>
                <w:sz w:val="20"/>
                <w:szCs w:val="20"/>
                <w:color w:val="auto"/>
              </w:rPr>
            </w:pPr>
            <w:r>
              <w:rPr>
                <w:rFonts w:ascii="Arial" w:cs="Arial" w:eastAsia="Arial" w:hAnsi="Arial"/>
                <w:sz w:val="12"/>
                <w:szCs w:val="12"/>
                <w:color w:val="FFFFFF"/>
              </w:rPr>
              <w:t>process and the</w:t>
            </w:r>
          </w:p>
        </w:tc>
        <w:tc>
          <w:tcPr>
            <w:tcW w:w="0" w:type="dxa"/>
            <w:vAlign w:val="bottom"/>
          </w:tcPr>
          <w:p>
            <w:pPr>
              <w:spacing w:after="0"/>
              <w:rPr>
                <w:sz w:val="1"/>
                <w:szCs w:val="1"/>
                <w:color w:val="auto"/>
              </w:rPr>
            </w:pPr>
          </w:p>
        </w:tc>
      </w:tr>
      <w:tr>
        <w:trPr>
          <w:trHeight w:val="128"/>
        </w:trPr>
        <w:tc>
          <w:tcPr>
            <w:tcW w:w="1020" w:type="dxa"/>
            <w:vAlign w:val="bottom"/>
            <w:shd w:val="clear" w:color="auto" w:fill="6D6D6D"/>
          </w:tcPr>
          <w:p>
            <w:pPr>
              <w:spacing w:after="0" w:line="129" w:lineRule="exact"/>
              <w:rPr>
                <w:sz w:val="20"/>
                <w:szCs w:val="20"/>
                <w:color w:val="auto"/>
              </w:rPr>
            </w:pPr>
            <w:r>
              <w:rPr>
                <w:rFonts w:ascii="Arial" w:cs="Arial" w:eastAsia="Arial" w:hAnsi="Arial"/>
                <w:sz w:val="12"/>
                <w:szCs w:val="12"/>
                <w:color w:val="FFFFFF"/>
              </w:rPr>
              <w:t>Corporate</w:t>
            </w:r>
          </w:p>
        </w:tc>
        <w:tc>
          <w:tcPr>
            <w:tcW w:w="280" w:type="dxa"/>
            <w:vAlign w:val="bottom"/>
          </w:tcPr>
          <w:p>
            <w:pPr>
              <w:spacing w:after="0"/>
              <w:rPr>
                <w:sz w:val="11"/>
                <w:szCs w:val="11"/>
                <w:color w:val="auto"/>
              </w:rPr>
            </w:pPr>
          </w:p>
        </w:tc>
        <w:tc>
          <w:tcPr>
            <w:tcW w:w="1100" w:type="dxa"/>
            <w:vAlign w:val="bottom"/>
            <w:shd w:val="clear" w:color="auto" w:fill="D52B1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shd w:val="clear" w:color="auto" w:fill="D52B1E"/>
          </w:tcPr>
          <w:p>
            <w:pPr>
              <w:ind w:left="20"/>
              <w:spacing w:after="0" w:line="129" w:lineRule="exact"/>
              <w:rPr>
                <w:sz w:val="20"/>
                <w:szCs w:val="20"/>
                <w:color w:val="auto"/>
              </w:rPr>
            </w:pPr>
            <w:r>
              <w:rPr>
                <w:rFonts w:ascii="Arial" w:cs="Arial" w:eastAsia="Arial" w:hAnsi="Arial"/>
                <w:sz w:val="12"/>
                <w:szCs w:val="12"/>
                <w:color w:val="FFFFFF"/>
              </w:rPr>
              <w:t>independent</w:t>
            </w:r>
          </w:p>
        </w:tc>
        <w:tc>
          <w:tcPr>
            <w:tcW w:w="260" w:type="dxa"/>
            <w:vAlign w:val="bottom"/>
          </w:tcPr>
          <w:p>
            <w:pPr>
              <w:spacing w:after="0"/>
              <w:rPr>
                <w:sz w:val="11"/>
                <w:szCs w:val="11"/>
                <w:color w:val="auto"/>
              </w:rPr>
            </w:pPr>
          </w:p>
        </w:tc>
        <w:tc>
          <w:tcPr>
            <w:tcW w:w="1060" w:type="dxa"/>
            <w:vAlign w:val="bottom"/>
            <w:shd w:val="clear" w:color="auto" w:fill="00A1DE"/>
          </w:tcPr>
          <w:p>
            <w:pPr>
              <w:spacing w:after="0" w:line="129" w:lineRule="exact"/>
              <w:rPr>
                <w:sz w:val="20"/>
                <w:szCs w:val="20"/>
                <w:color w:val="auto"/>
              </w:rPr>
            </w:pPr>
            <w:r>
              <w:rPr>
                <w:rFonts w:ascii="Arial" w:cs="Arial" w:eastAsia="Arial" w:hAnsi="Arial"/>
                <w:sz w:val="12"/>
                <w:szCs w:val="12"/>
                <w:color w:val="FFFFFF"/>
              </w:rPr>
              <w:t>was provided to</w:t>
            </w:r>
          </w:p>
        </w:tc>
        <w:tc>
          <w:tcPr>
            <w:tcW w:w="260" w:type="dxa"/>
            <w:vAlign w:val="bottom"/>
          </w:tcPr>
          <w:p>
            <w:pPr>
              <w:spacing w:after="0"/>
              <w:rPr>
                <w:sz w:val="11"/>
                <w:szCs w:val="11"/>
                <w:color w:val="auto"/>
              </w:rPr>
            </w:pPr>
          </w:p>
        </w:tc>
        <w:tc>
          <w:tcPr>
            <w:tcW w:w="1100" w:type="dxa"/>
            <w:vAlign w:val="bottom"/>
            <w:shd w:val="clear" w:color="auto" w:fill="00A1DE"/>
          </w:tcPr>
          <w:p>
            <w:pPr>
              <w:ind w:left="20"/>
              <w:spacing w:after="0" w:line="129" w:lineRule="exact"/>
              <w:rPr>
                <w:sz w:val="20"/>
                <w:szCs w:val="20"/>
                <w:color w:val="auto"/>
              </w:rPr>
            </w:pPr>
            <w:r>
              <w:rPr>
                <w:rFonts w:ascii="Arial" w:cs="Arial" w:eastAsia="Arial" w:hAnsi="Arial"/>
                <w:sz w:val="12"/>
                <w:szCs w:val="12"/>
                <w:color w:val="FFFFFF"/>
              </w:rPr>
              <w:t>committees were</w:t>
            </w:r>
          </w:p>
        </w:tc>
        <w:tc>
          <w:tcPr>
            <w:tcW w:w="260" w:type="dxa"/>
            <w:vAlign w:val="bottom"/>
          </w:tcPr>
          <w:p>
            <w:pPr>
              <w:spacing w:after="0"/>
              <w:rPr>
                <w:sz w:val="11"/>
                <w:szCs w:val="11"/>
                <w:color w:val="auto"/>
              </w:rPr>
            </w:pPr>
          </w:p>
        </w:tc>
        <w:tc>
          <w:tcPr>
            <w:tcW w:w="1080" w:type="dxa"/>
            <w:vAlign w:val="bottom"/>
            <w:shd w:val="clear" w:color="auto" w:fill="6D6D6D"/>
          </w:tcPr>
          <w:p>
            <w:pPr>
              <w:ind w:left="20"/>
              <w:spacing w:after="0" w:line="129" w:lineRule="exact"/>
              <w:rPr>
                <w:sz w:val="20"/>
                <w:szCs w:val="20"/>
                <w:color w:val="auto"/>
              </w:rPr>
            </w:pPr>
            <w:r>
              <w:rPr>
                <w:rFonts w:ascii="Arial" w:cs="Arial" w:eastAsia="Arial" w:hAnsi="Arial"/>
                <w:sz w:val="12"/>
                <w:szCs w:val="12"/>
                <w:color w:val="FFFFFF"/>
              </w:rPr>
              <w:t>2023 board and</w:t>
            </w:r>
          </w:p>
        </w:tc>
        <w:tc>
          <w:tcPr>
            <w:tcW w:w="0" w:type="dxa"/>
            <w:vAlign w:val="bottom"/>
          </w:tcPr>
          <w:p>
            <w:pPr>
              <w:spacing w:after="0"/>
              <w:rPr>
                <w:sz w:val="1"/>
                <w:szCs w:val="1"/>
                <w:color w:val="auto"/>
              </w:rPr>
            </w:pPr>
          </w:p>
        </w:tc>
      </w:tr>
      <w:tr>
        <w:trPr>
          <w:trHeight w:val="125"/>
        </w:trPr>
        <w:tc>
          <w:tcPr>
            <w:tcW w:w="1020" w:type="dxa"/>
            <w:vAlign w:val="bottom"/>
            <w:shd w:val="clear" w:color="auto" w:fill="6D6D6D"/>
          </w:tcPr>
          <w:p>
            <w:pPr>
              <w:spacing w:after="0" w:line="125" w:lineRule="exact"/>
              <w:rPr>
                <w:sz w:val="20"/>
                <w:szCs w:val="20"/>
                <w:color w:val="auto"/>
              </w:rPr>
            </w:pPr>
            <w:r>
              <w:rPr>
                <w:rFonts w:ascii="Arial" w:cs="Arial" w:eastAsia="Arial" w:hAnsi="Arial"/>
                <w:sz w:val="12"/>
                <w:szCs w:val="12"/>
                <w:color w:val="FFFFFF"/>
              </w:rPr>
              <w:t>Governance</w:t>
            </w:r>
          </w:p>
        </w:tc>
        <w:tc>
          <w:tcPr>
            <w:tcW w:w="280" w:type="dxa"/>
            <w:vAlign w:val="bottom"/>
          </w:tcPr>
          <w:p>
            <w:pPr>
              <w:spacing w:after="0"/>
              <w:rPr>
                <w:sz w:val="10"/>
                <w:szCs w:val="10"/>
                <w:color w:val="auto"/>
              </w:rPr>
            </w:pPr>
          </w:p>
        </w:tc>
        <w:tc>
          <w:tcPr>
            <w:tcW w:w="1100" w:type="dxa"/>
            <w:vAlign w:val="bottom"/>
            <w:shd w:val="clear" w:color="auto" w:fill="D52B1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shd w:val="clear" w:color="auto" w:fill="D52B1E"/>
          </w:tcPr>
          <w:p>
            <w:pPr>
              <w:ind w:left="20"/>
              <w:spacing w:after="0" w:line="125" w:lineRule="exact"/>
              <w:rPr>
                <w:sz w:val="20"/>
                <w:szCs w:val="20"/>
                <w:color w:val="auto"/>
              </w:rPr>
            </w:pPr>
            <w:r>
              <w:rPr>
                <w:rFonts w:ascii="Arial" w:cs="Arial" w:eastAsia="Arial" w:hAnsi="Arial"/>
                <w:sz w:val="12"/>
                <w:szCs w:val="12"/>
                <w:color w:val="FFFFFF"/>
              </w:rPr>
              <w:t>director and with</w:t>
            </w:r>
          </w:p>
        </w:tc>
        <w:tc>
          <w:tcPr>
            <w:tcW w:w="260" w:type="dxa"/>
            <w:vAlign w:val="bottom"/>
          </w:tcPr>
          <w:p>
            <w:pPr>
              <w:spacing w:after="0"/>
              <w:rPr>
                <w:sz w:val="10"/>
                <w:szCs w:val="10"/>
                <w:color w:val="auto"/>
              </w:rPr>
            </w:pPr>
          </w:p>
        </w:tc>
        <w:tc>
          <w:tcPr>
            <w:tcW w:w="1060" w:type="dxa"/>
            <w:vAlign w:val="bottom"/>
            <w:shd w:val="clear" w:color="auto" w:fill="00A1DE"/>
          </w:tcPr>
          <w:p>
            <w:pPr>
              <w:spacing w:after="0" w:line="125" w:lineRule="exact"/>
              <w:rPr>
                <w:sz w:val="20"/>
                <w:szCs w:val="20"/>
                <w:color w:val="auto"/>
              </w:rPr>
            </w:pPr>
            <w:r>
              <w:rPr>
                <w:rFonts w:ascii="Arial" w:cs="Arial" w:eastAsia="Arial" w:hAnsi="Arial"/>
                <w:sz w:val="12"/>
                <w:szCs w:val="12"/>
                <w:color w:val="FFFFFF"/>
              </w:rPr>
              <w:t>the board and its</w:t>
            </w:r>
          </w:p>
        </w:tc>
        <w:tc>
          <w:tcPr>
            <w:tcW w:w="260" w:type="dxa"/>
            <w:vAlign w:val="bottom"/>
          </w:tcPr>
          <w:p>
            <w:pPr>
              <w:spacing w:after="0"/>
              <w:rPr>
                <w:sz w:val="10"/>
                <w:szCs w:val="10"/>
                <w:color w:val="auto"/>
              </w:rPr>
            </w:pPr>
          </w:p>
        </w:tc>
        <w:tc>
          <w:tcPr>
            <w:tcW w:w="1100" w:type="dxa"/>
            <w:vAlign w:val="bottom"/>
            <w:shd w:val="clear" w:color="auto" w:fill="00A1DE"/>
          </w:tcPr>
          <w:p>
            <w:pPr>
              <w:ind w:left="20"/>
              <w:spacing w:after="0" w:line="125" w:lineRule="exact"/>
              <w:rPr>
                <w:sz w:val="20"/>
                <w:szCs w:val="20"/>
                <w:color w:val="auto"/>
              </w:rPr>
            </w:pPr>
            <w:r>
              <w:rPr>
                <w:rFonts w:ascii="Arial" w:cs="Arial" w:eastAsia="Arial" w:hAnsi="Arial"/>
                <w:sz w:val="12"/>
                <w:szCs w:val="12"/>
                <w:color w:val="FFFFFF"/>
              </w:rPr>
              <w:t>led by our lead</w:t>
            </w:r>
          </w:p>
        </w:tc>
        <w:tc>
          <w:tcPr>
            <w:tcW w:w="260" w:type="dxa"/>
            <w:vAlign w:val="bottom"/>
          </w:tcPr>
          <w:p>
            <w:pPr>
              <w:spacing w:after="0"/>
              <w:rPr>
                <w:sz w:val="10"/>
                <w:szCs w:val="10"/>
                <w:color w:val="auto"/>
              </w:rPr>
            </w:pPr>
          </w:p>
        </w:tc>
        <w:tc>
          <w:tcPr>
            <w:tcW w:w="1080" w:type="dxa"/>
            <w:vAlign w:val="bottom"/>
            <w:shd w:val="clear" w:color="auto" w:fill="6D6D6D"/>
          </w:tcPr>
          <w:p>
            <w:pPr>
              <w:ind w:left="20"/>
              <w:spacing w:after="0" w:line="125" w:lineRule="exact"/>
              <w:rPr>
                <w:sz w:val="20"/>
                <w:szCs w:val="20"/>
                <w:color w:val="auto"/>
              </w:rPr>
            </w:pPr>
            <w:r>
              <w:rPr>
                <w:rFonts w:ascii="Arial" w:cs="Arial" w:eastAsia="Arial" w:hAnsi="Arial"/>
                <w:sz w:val="12"/>
                <w:szCs w:val="12"/>
                <w:color w:val="FFFFFF"/>
              </w:rPr>
              <w:t>committee</w:t>
            </w:r>
          </w:p>
        </w:tc>
        <w:tc>
          <w:tcPr>
            <w:tcW w:w="0" w:type="dxa"/>
            <w:vAlign w:val="bottom"/>
          </w:tcPr>
          <w:p>
            <w:pPr>
              <w:spacing w:after="0"/>
              <w:rPr>
                <w:sz w:val="1"/>
                <w:szCs w:val="1"/>
                <w:color w:val="auto"/>
              </w:rPr>
            </w:pPr>
          </w:p>
        </w:tc>
      </w:tr>
      <w:tr>
        <w:trPr>
          <w:trHeight w:val="121"/>
        </w:trPr>
        <w:tc>
          <w:tcPr>
            <w:tcW w:w="1020" w:type="dxa"/>
            <w:vAlign w:val="bottom"/>
            <w:shd w:val="clear" w:color="auto" w:fill="6D6D6D"/>
          </w:tcPr>
          <w:p>
            <w:pPr>
              <w:spacing w:after="0" w:line="121" w:lineRule="exact"/>
              <w:rPr>
                <w:sz w:val="20"/>
                <w:szCs w:val="20"/>
                <w:color w:val="auto"/>
              </w:rPr>
            </w:pPr>
            <w:r>
              <w:rPr>
                <w:rFonts w:ascii="Arial" w:cs="Arial" w:eastAsia="Arial" w:hAnsi="Arial"/>
                <w:sz w:val="12"/>
                <w:szCs w:val="12"/>
                <w:color w:val="FFFFFF"/>
              </w:rPr>
              <w:t>Committee</w:t>
            </w:r>
          </w:p>
        </w:tc>
        <w:tc>
          <w:tcPr>
            <w:tcW w:w="280" w:type="dxa"/>
            <w:vAlign w:val="bottom"/>
          </w:tcPr>
          <w:p>
            <w:pPr>
              <w:spacing w:after="0"/>
              <w:rPr>
                <w:sz w:val="10"/>
                <w:szCs w:val="10"/>
                <w:color w:val="auto"/>
              </w:rPr>
            </w:pPr>
          </w:p>
        </w:tc>
        <w:tc>
          <w:tcPr>
            <w:tcW w:w="1100" w:type="dxa"/>
            <w:vAlign w:val="bottom"/>
            <w:shd w:val="clear" w:color="auto" w:fill="D52B1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shd w:val="clear" w:color="auto" w:fill="D52B1E"/>
          </w:tcPr>
          <w:p>
            <w:pPr>
              <w:ind w:left="20"/>
              <w:spacing w:after="0" w:line="121" w:lineRule="exact"/>
              <w:rPr>
                <w:sz w:val="20"/>
                <w:szCs w:val="20"/>
                <w:color w:val="auto"/>
              </w:rPr>
            </w:pPr>
            <w:r>
              <w:rPr>
                <w:rFonts w:ascii="Arial" w:cs="Arial" w:eastAsia="Arial" w:hAnsi="Arial"/>
                <w:sz w:val="12"/>
                <w:szCs w:val="12"/>
                <w:color w:val="FFFFFF"/>
              </w:rPr>
              <w:t>the board chair.</w:t>
            </w:r>
          </w:p>
        </w:tc>
        <w:tc>
          <w:tcPr>
            <w:tcW w:w="260" w:type="dxa"/>
            <w:vAlign w:val="bottom"/>
          </w:tcPr>
          <w:p>
            <w:pPr>
              <w:spacing w:after="0"/>
              <w:rPr>
                <w:sz w:val="10"/>
                <w:szCs w:val="10"/>
                <w:color w:val="auto"/>
              </w:rPr>
            </w:pPr>
          </w:p>
        </w:tc>
        <w:tc>
          <w:tcPr>
            <w:tcW w:w="1060" w:type="dxa"/>
            <w:vAlign w:val="bottom"/>
            <w:shd w:val="clear" w:color="auto" w:fill="00A1DE"/>
          </w:tcPr>
          <w:p>
            <w:pPr>
              <w:spacing w:after="0" w:line="121" w:lineRule="exact"/>
              <w:rPr>
                <w:sz w:val="20"/>
                <w:szCs w:val="20"/>
                <w:color w:val="auto"/>
              </w:rPr>
            </w:pPr>
            <w:r>
              <w:rPr>
                <w:rFonts w:ascii="Arial" w:cs="Arial" w:eastAsia="Arial" w:hAnsi="Arial"/>
                <w:sz w:val="12"/>
                <w:szCs w:val="12"/>
                <w:color w:val="FFFFFF"/>
              </w:rPr>
              <w:t>committees.</w:t>
            </w:r>
          </w:p>
        </w:tc>
        <w:tc>
          <w:tcPr>
            <w:tcW w:w="260" w:type="dxa"/>
            <w:vAlign w:val="bottom"/>
          </w:tcPr>
          <w:p>
            <w:pPr>
              <w:spacing w:after="0"/>
              <w:rPr>
                <w:sz w:val="10"/>
                <w:szCs w:val="10"/>
                <w:color w:val="auto"/>
              </w:rPr>
            </w:pPr>
          </w:p>
        </w:tc>
        <w:tc>
          <w:tcPr>
            <w:tcW w:w="1100" w:type="dxa"/>
            <w:vAlign w:val="bottom"/>
            <w:shd w:val="clear" w:color="auto" w:fill="00A1DE"/>
          </w:tcPr>
          <w:p>
            <w:pPr>
              <w:ind w:left="20"/>
              <w:spacing w:after="0" w:line="121" w:lineRule="exact"/>
              <w:rPr>
                <w:sz w:val="20"/>
                <w:szCs w:val="20"/>
                <w:color w:val="auto"/>
              </w:rPr>
            </w:pPr>
            <w:r>
              <w:rPr>
                <w:rFonts w:ascii="Arial" w:cs="Arial" w:eastAsia="Arial" w:hAnsi="Arial"/>
                <w:sz w:val="12"/>
                <w:szCs w:val="12"/>
                <w:color w:val="FFFFFF"/>
              </w:rPr>
              <w:t>independent</w:t>
            </w:r>
          </w:p>
        </w:tc>
        <w:tc>
          <w:tcPr>
            <w:tcW w:w="260" w:type="dxa"/>
            <w:vAlign w:val="bottom"/>
          </w:tcPr>
          <w:p>
            <w:pPr>
              <w:spacing w:after="0"/>
              <w:rPr>
                <w:sz w:val="10"/>
                <w:szCs w:val="10"/>
                <w:color w:val="auto"/>
              </w:rPr>
            </w:pPr>
          </w:p>
        </w:tc>
        <w:tc>
          <w:tcPr>
            <w:tcW w:w="1080" w:type="dxa"/>
            <w:vAlign w:val="bottom"/>
            <w:shd w:val="clear" w:color="auto" w:fill="6D6D6D"/>
          </w:tcPr>
          <w:p>
            <w:pPr>
              <w:ind w:left="20"/>
              <w:spacing w:after="0" w:line="121" w:lineRule="exact"/>
              <w:rPr>
                <w:sz w:val="20"/>
                <w:szCs w:val="20"/>
                <w:color w:val="auto"/>
              </w:rPr>
            </w:pPr>
            <w:r>
              <w:rPr>
                <w:rFonts w:ascii="Arial" w:cs="Arial" w:eastAsia="Arial" w:hAnsi="Arial"/>
                <w:sz w:val="12"/>
                <w:szCs w:val="12"/>
                <w:color w:val="FFFFFF"/>
              </w:rPr>
              <w:t>planning process,</w:t>
            </w:r>
          </w:p>
        </w:tc>
        <w:tc>
          <w:tcPr>
            <w:tcW w:w="0" w:type="dxa"/>
            <w:vAlign w:val="bottom"/>
          </w:tcPr>
          <w:p>
            <w:pPr>
              <w:spacing w:after="0"/>
              <w:rPr>
                <w:sz w:val="1"/>
                <w:szCs w:val="1"/>
                <w:color w:val="auto"/>
              </w:rPr>
            </w:pPr>
          </w:p>
        </w:tc>
      </w:tr>
      <w:tr>
        <w:trPr>
          <w:trHeight w:val="128"/>
        </w:trPr>
        <w:tc>
          <w:tcPr>
            <w:tcW w:w="1020" w:type="dxa"/>
            <w:vAlign w:val="bottom"/>
            <w:shd w:val="clear" w:color="auto" w:fill="6D6D6D"/>
          </w:tcPr>
          <w:p>
            <w:pPr>
              <w:spacing w:after="0" w:line="129" w:lineRule="exact"/>
              <w:rPr>
                <w:sz w:val="20"/>
                <w:szCs w:val="20"/>
                <w:color w:val="auto"/>
              </w:rPr>
            </w:pPr>
            <w:r>
              <w:rPr>
                <w:rFonts w:ascii="Arial" w:cs="Arial" w:eastAsia="Arial" w:hAnsi="Arial"/>
                <w:sz w:val="12"/>
                <w:szCs w:val="12"/>
                <w:color w:val="FFFFFF"/>
              </w:rPr>
              <w:t>reviewed the</w:t>
            </w:r>
          </w:p>
        </w:tc>
        <w:tc>
          <w:tcPr>
            <w:tcW w:w="280" w:type="dxa"/>
            <w:vAlign w:val="bottom"/>
          </w:tcPr>
          <w:p>
            <w:pPr>
              <w:spacing w:after="0"/>
              <w:rPr>
                <w:sz w:val="11"/>
                <w:szCs w:val="11"/>
                <w:color w:val="auto"/>
              </w:rPr>
            </w:pPr>
          </w:p>
        </w:tc>
        <w:tc>
          <w:tcPr>
            <w:tcW w:w="1100" w:type="dxa"/>
            <w:vAlign w:val="bottom"/>
            <w:shd w:val="clear" w:color="auto" w:fill="D52B1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shd w:val="clear" w:color="auto" w:fill="D52B1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shd w:val="clear" w:color="auto" w:fill="00A1D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shd w:val="clear" w:color="auto" w:fill="00A1DE"/>
          </w:tcPr>
          <w:p>
            <w:pPr>
              <w:ind w:left="20"/>
              <w:spacing w:after="0" w:line="129" w:lineRule="exact"/>
              <w:rPr>
                <w:sz w:val="20"/>
                <w:szCs w:val="20"/>
                <w:color w:val="auto"/>
              </w:rPr>
            </w:pPr>
            <w:r>
              <w:rPr>
                <w:rFonts w:ascii="Arial" w:cs="Arial" w:eastAsia="Arial" w:hAnsi="Arial"/>
                <w:sz w:val="12"/>
                <w:szCs w:val="12"/>
                <w:color w:val="FFFFFF"/>
              </w:rPr>
              <w:t>director and</w:t>
            </w:r>
          </w:p>
        </w:tc>
        <w:tc>
          <w:tcPr>
            <w:tcW w:w="260" w:type="dxa"/>
            <w:vAlign w:val="bottom"/>
          </w:tcPr>
          <w:p>
            <w:pPr>
              <w:spacing w:after="0"/>
              <w:rPr>
                <w:sz w:val="11"/>
                <w:szCs w:val="11"/>
                <w:color w:val="auto"/>
              </w:rPr>
            </w:pPr>
          </w:p>
        </w:tc>
        <w:tc>
          <w:tcPr>
            <w:tcW w:w="1080" w:type="dxa"/>
            <w:vAlign w:val="bottom"/>
            <w:shd w:val="clear" w:color="auto" w:fill="6D6D6D"/>
          </w:tcPr>
          <w:p>
            <w:pPr>
              <w:ind w:left="20"/>
              <w:spacing w:after="0" w:line="129" w:lineRule="exact"/>
              <w:rPr>
                <w:sz w:val="20"/>
                <w:szCs w:val="20"/>
                <w:color w:val="auto"/>
              </w:rPr>
            </w:pPr>
            <w:r>
              <w:rPr>
                <w:rFonts w:ascii="Arial" w:cs="Arial" w:eastAsia="Arial" w:hAnsi="Arial"/>
                <w:sz w:val="12"/>
                <w:szCs w:val="12"/>
                <w:color w:val="FFFFFF"/>
              </w:rPr>
              <w:t>as applicable.</w:t>
            </w:r>
          </w:p>
        </w:tc>
        <w:tc>
          <w:tcPr>
            <w:tcW w:w="0" w:type="dxa"/>
            <w:vAlign w:val="bottom"/>
          </w:tcPr>
          <w:p>
            <w:pPr>
              <w:spacing w:after="0"/>
              <w:rPr>
                <w:sz w:val="1"/>
                <w:szCs w:val="1"/>
                <w:color w:val="auto"/>
              </w:rPr>
            </w:pPr>
          </w:p>
        </w:tc>
      </w:tr>
      <w:tr>
        <w:trPr>
          <w:trHeight w:val="125"/>
        </w:trPr>
        <w:tc>
          <w:tcPr>
            <w:tcW w:w="1020" w:type="dxa"/>
            <w:vAlign w:val="bottom"/>
            <w:shd w:val="clear" w:color="auto" w:fill="6D6D6D"/>
          </w:tcPr>
          <w:p>
            <w:pPr>
              <w:spacing w:after="0" w:line="125" w:lineRule="exact"/>
              <w:rPr>
                <w:sz w:val="20"/>
                <w:szCs w:val="20"/>
                <w:color w:val="auto"/>
              </w:rPr>
            </w:pPr>
            <w:r>
              <w:rPr>
                <w:rFonts w:ascii="Arial" w:cs="Arial" w:eastAsia="Arial" w:hAnsi="Arial"/>
                <w:sz w:val="12"/>
                <w:szCs w:val="12"/>
                <w:color w:val="FFFFFF"/>
              </w:rPr>
              <w:t>evaluation</w:t>
            </w:r>
          </w:p>
        </w:tc>
        <w:tc>
          <w:tcPr>
            <w:tcW w:w="280" w:type="dxa"/>
            <w:vAlign w:val="bottom"/>
          </w:tcPr>
          <w:p>
            <w:pPr>
              <w:spacing w:after="0"/>
              <w:rPr>
                <w:sz w:val="10"/>
                <w:szCs w:val="10"/>
                <w:color w:val="auto"/>
              </w:rPr>
            </w:pPr>
          </w:p>
        </w:tc>
        <w:tc>
          <w:tcPr>
            <w:tcW w:w="1100" w:type="dxa"/>
            <w:vAlign w:val="bottom"/>
            <w:shd w:val="clear" w:color="auto" w:fill="D52B1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shd w:val="clear" w:color="auto" w:fill="D52B1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shd w:val="clear" w:color="auto" w:fill="00A1D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shd w:val="clear" w:color="auto" w:fill="00A1DE"/>
          </w:tcPr>
          <w:p>
            <w:pPr>
              <w:ind w:left="20"/>
              <w:spacing w:after="0" w:line="125" w:lineRule="exact"/>
              <w:rPr>
                <w:sz w:val="20"/>
                <w:szCs w:val="20"/>
                <w:color w:val="auto"/>
              </w:rPr>
            </w:pPr>
            <w:r>
              <w:rPr>
                <w:rFonts w:ascii="Arial" w:cs="Arial" w:eastAsia="Arial" w:hAnsi="Arial"/>
                <w:sz w:val="12"/>
                <w:szCs w:val="12"/>
                <w:color w:val="FFFFFF"/>
              </w:rPr>
              <w:t>independent</w:t>
            </w:r>
          </w:p>
        </w:tc>
        <w:tc>
          <w:tcPr>
            <w:tcW w:w="260" w:type="dxa"/>
            <w:vAlign w:val="bottom"/>
          </w:tcPr>
          <w:p>
            <w:pPr>
              <w:spacing w:after="0"/>
              <w:rPr>
                <w:sz w:val="10"/>
                <w:szCs w:val="10"/>
                <w:color w:val="auto"/>
              </w:rPr>
            </w:pPr>
          </w:p>
        </w:tc>
        <w:tc>
          <w:tcPr>
            <w:tcW w:w="1080" w:type="dxa"/>
            <w:vAlign w:val="bottom"/>
            <w:shd w:val="clear" w:color="auto" w:fill="6D6D6D"/>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6D6D6D"/>
          </w:tcPr>
          <w:p>
            <w:pPr>
              <w:spacing w:after="0"/>
              <w:rPr>
                <w:sz w:val="20"/>
                <w:szCs w:val="20"/>
                <w:color w:val="auto"/>
              </w:rPr>
            </w:pPr>
            <w:r>
              <w:rPr>
                <w:rFonts w:ascii="Arial" w:cs="Arial" w:eastAsia="Arial" w:hAnsi="Arial"/>
                <w:sz w:val="12"/>
                <w:szCs w:val="12"/>
                <w:color w:val="FFFFFF"/>
              </w:rPr>
              <w:t>process.</w:t>
            </w:r>
          </w:p>
        </w:tc>
        <w:tc>
          <w:tcPr>
            <w:tcW w:w="280" w:type="dxa"/>
            <w:vAlign w:val="bottom"/>
          </w:tcPr>
          <w:p>
            <w:pPr>
              <w:spacing w:after="0"/>
              <w:rPr>
                <w:sz w:val="14"/>
                <w:szCs w:val="14"/>
                <w:color w:val="auto"/>
              </w:rPr>
            </w:pPr>
          </w:p>
        </w:tc>
        <w:tc>
          <w:tcPr>
            <w:tcW w:w="1100" w:type="dxa"/>
            <w:vAlign w:val="bottom"/>
            <w:shd w:val="clear" w:color="auto" w:fill="D52B1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shd w:val="clear" w:color="auto" w:fill="D52B1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shd w:val="clear" w:color="auto" w:fill="00A1D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shd w:val="clear" w:color="auto" w:fill="00A1DE"/>
          </w:tcPr>
          <w:p>
            <w:pPr>
              <w:ind w:left="20"/>
              <w:spacing w:after="0"/>
              <w:rPr>
                <w:sz w:val="20"/>
                <w:szCs w:val="20"/>
                <w:color w:val="auto"/>
              </w:rPr>
            </w:pPr>
            <w:r>
              <w:rPr>
                <w:rFonts w:ascii="Arial" w:cs="Arial" w:eastAsia="Arial" w:hAnsi="Arial"/>
                <w:sz w:val="12"/>
                <w:szCs w:val="12"/>
                <w:color w:val="FFFFFF"/>
              </w:rPr>
              <w:t>committee chairs.</w:t>
            </w:r>
          </w:p>
        </w:tc>
        <w:tc>
          <w:tcPr>
            <w:tcW w:w="260" w:type="dxa"/>
            <w:vAlign w:val="bottom"/>
          </w:tcPr>
          <w:p>
            <w:pPr>
              <w:spacing w:after="0"/>
              <w:rPr>
                <w:sz w:val="14"/>
                <w:szCs w:val="14"/>
                <w:color w:val="auto"/>
              </w:rPr>
            </w:pPr>
          </w:p>
        </w:tc>
        <w:tc>
          <w:tcPr>
            <w:tcW w:w="1080" w:type="dxa"/>
            <w:vAlign w:val="bottom"/>
            <w:shd w:val="clear" w:color="auto" w:fill="6D6D6D"/>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20" w:type="dxa"/>
            <w:vAlign w:val="bottom"/>
            <w:shd w:val="clear" w:color="auto" w:fill="6D6D6D"/>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shd w:val="clear" w:color="auto" w:fill="D52B1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shd w:val="clear" w:color="auto" w:fill="D52B1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shd w:val="clear" w:color="auto" w:fill="00A1D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shd w:val="clear" w:color="auto" w:fill="00A1D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shd w:val="clear" w:color="auto" w:fill="6D6D6D"/>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-1163955</wp:posOffset>
            </wp:positionV>
            <wp:extent cx="74295" cy="1187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4295" cy="118745"/>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-1193800</wp:posOffset>
            </wp:positionV>
            <wp:extent cx="74295" cy="140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-1193800</wp:posOffset>
            </wp:positionV>
            <wp:extent cx="74295" cy="140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-1193800</wp:posOffset>
            </wp:positionV>
            <wp:extent cx="74295" cy="140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4295" cy="140970"/>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-1193800</wp:posOffset>
            </wp:positionV>
            <wp:extent cx="74295" cy="140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4295" cy="140970"/>
                    </a:xfrm>
                    <a:prstGeom prst="rect">
                      <a:avLst/>
                    </a:prstGeom>
                    <a:noFill/>
                  </pic:spPr>
                </pic:pic>
              </a:graphicData>
            </a:graphic>
          </wp:anchor>
        </w:drawing>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Every year, the Directors and Corporate Governance Committee, together with the chair and the lead independent director, conducts a robust assessment of the performance of the board and board committees, and of all board processes, based on input from all directors. We also conduct an annual assessment of each director’s performance, and every three years we conduct a detailed review of individual director performance when considering whether to nominate the director to a new three-year term.</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diversity of viewpoints and expertise necessary to support our complex and evolving business.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Education</w:t>
      </w:r>
    </w:p>
    <w:p>
      <w:pPr>
        <w:spacing w:after="0" w:line="2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Periodic briefing sessions are provided to members of the board and committees on subjects that would assist them in discharging their duties. Directors also attend regular continuing education sessions on areas of relevance or importance to our company, and we hold periodic mandatory training sessions for the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Beyond the Boardroom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Director Orientation</w:t>
      </w:r>
    </w:p>
    <w:p>
      <w:pPr>
        <w:spacing w:after="0" w:line="54"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Business Deep Dive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Periodically, directors will be invited or may request “deep dive” educational sessions with respect to a particular business unit or other aspect of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Site Visits</w:t>
      </w:r>
    </w:p>
    <w:p>
      <w:pPr>
        <w:spacing w:after="0" w:line="66" w:lineRule="exact"/>
        <w:rPr>
          <w:sz w:val="20"/>
          <w:szCs w:val="20"/>
          <w:color w:val="auto"/>
        </w:rPr>
      </w:pPr>
    </w:p>
    <w:p>
      <w:pPr>
        <w:ind w:right="540"/>
        <w:spacing w:after="0" w:line="271" w:lineRule="auto"/>
        <w:rPr>
          <w:sz w:val="20"/>
          <w:szCs w:val="20"/>
          <w:color w:val="auto"/>
        </w:rPr>
      </w:pPr>
      <w:r>
        <w:rPr>
          <w:rFonts w:ascii="Arial" w:cs="Arial" w:eastAsia="Arial" w:hAnsi="Arial"/>
          <w:sz w:val="16"/>
          <w:szCs w:val="16"/>
          <w:color w:val="auto"/>
        </w:rPr>
        <w:t>Periodically, directors will be invited or may request to visit the company’s manufacturing or other operating sites, and management will prepare educational sessions for the directors relevant to the location’s business and culture.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D52B1E"/>
        </w:rPr>
        <w:t>Diversity and Inclusion Events</w:t>
      </w:r>
    </w:p>
    <w:p>
      <w:pPr>
        <w:spacing w:after="0" w:line="66"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Directors have the opportunity to participate in a variety of Lilly diversity and inclusion events, both as presenters and as participants. This offers a chance for directors to connect with Lilly employees, show their support for these activities and see our diversity and inclusion strategies in action.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Shareholder Engagement</w:t>
      </w:r>
    </w:p>
    <w:p>
      <w:pPr>
        <w:spacing w:after="0" w:line="54" w:lineRule="exact"/>
        <w:rPr>
          <w:sz w:val="20"/>
          <w:szCs w:val="20"/>
          <w:color w:val="auto"/>
        </w:rPr>
      </w:pPr>
    </w:p>
    <w:p>
      <w:pPr>
        <w:spacing w:after="0" w:line="344" w:lineRule="auto"/>
        <w:rPr>
          <w:sz w:val="20"/>
          <w:szCs w:val="20"/>
          <w:color w:val="auto"/>
        </w:rPr>
      </w:pPr>
      <w:r>
        <w:rPr>
          <w:rFonts w:ascii="Arial" w:cs="Arial" w:eastAsia="Arial" w:hAnsi="Arial"/>
          <w:sz w:val="14"/>
          <w:szCs w:val="14"/>
          <w:color w:val="auto"/>
        </w:rPr>
        <w:t>The board receives periodic updates on shareholder engagement led by management, and is directly involved in responding to and participating in communications where appropriate. From time to time, directors participate in direct engagement with shareholders to discuss specific matters of mutual importance.</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Directors who are employees receive no additional compensation for serving on the board. Non-employee director compensation is reviewed and approved by the board, on the recommendation of the Directors and Corporate Governance Committee.</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315"/>
        </w:trPr>
        <w:tc>
          <w:tcPr>
            <w:tcW w:w="2580" w:type="dxa"/>
            <w:vAlign w:val="bottom"/>
          </w:tcPr>
          <w:p>
            <w:pPr>
              <w:jc w:val="center"/>
              <w:ind w:right="30"/>
              <w:spacing w:after="0"/>
              <w:rPr>
                <w:sz w:val="20"/>
                <w:szCs w:val="20"/>
                <w:color w:val="auto"/>
              </w:rPr>
            </w:pPr>
            <w:r>
              <w:rPr>
                <w:rFonts w:ascii="Arial" w:cs="Arial" w:eastAsia="Arial" w:hAnsi="Arial"/>
                <w:sz w:val="25"/>
                <w:szCs w:val="25"/>
                <w:color w:val="D52B1E"/>
                <w:w w:val="99"/>
              </w:rPr>
              <w:t>62%</w:t>
            </w:r>
          </w:p>
        </w:tc>
        <w:tc>
          <w:tcPr>
            <w:tcW w:w="2560" w:type="dxa"/>
            <w:vAlign w:val="bottom"/>
          </w:tcPr>
          <w:p>
            <w:pPr>
              <w:jc w:val="center"/>
              <w:spacing w:after="0"/>
              <w:rPr>
                <w:sz w:val="20"/>
                <w:szCs w:val="20"/>
                <w:color w:val="auto"/>
              </w:rPr>
            </w:pPr>
            <w:r>
              <w:rPr>
                <w:rFonts w:ascii="Arial" w:cs="Arial" w:eastAsia="Arial" w:hAnsi="Arial"/>
                <w:sz w:val="25"/>
                <w:szCs w:val="25"/>
                <w:color w:val="D52B1E"/>
                <w:w w:val="98"/>
              </w:rPr>
              <w:t>5x</w:t>
            </w:r>
          </w:p>
        </w:tc>
        <w:tc>
          <w:tcPr>
            <w:tcW w:w="2540" w:type="dxa"/>
            <w:vAlign w:val="bottom"/>
          </w:tcPr>
          <w:p>
            <w:pPr>
              <w:jc w:val="center"/>
              <w:ind w:left="27"/>
              <w:spacing w:after="0"/>
              <w:rPr>
                <w:sz w:val="20"/>
                <w:szCs w:val="20"/>
                <w:color w:val="auto"/>
              </w:rPr>
            </w:pPr>
            <w:r>
              <w:rPr>
                <w:rFonts w:ascii="Arial" w:cs="Arial" w:eastAsia="Arial" w:hAnsi="Arial"/>
                <w:sz w:val="25"/>
                <w:szCs w:val="25"/>
                <w:color w:val="D52B1E"/>
                <w:w w:val="97"/>
              </w:rPr>
              <w:t>CAP</w:t>
            </w:r>
          </w:p>
        </w:tc>
      </w:tr>
      <w:tr>
        <w:trPr>
          <w:trHeight w:val="187"/>
        </w:trPr>
        <w:tc>
          <w:tcPr>
            <w:tcW w:w="2580" w:type="dxa"/>
            <w:vAlign w:val="bottom"/>
          </w:tcPr>
          <w:p>
            <w:pPr>
              <w:jc w:val="center"/>
              <w:ind w:right="10"/>
              <w:spacing w:after="0"/>
              <w:rPr>
                <w:sz w:val="20"/>
                <w:szCs w:val="20"/>
                <w:color w:val="auto"/>
              </w:rPr>
            </w:pPr>
            <w:r>
              <w:rPr>
                <w:rFonts w:ascii="Arial" w:cs="Arial" w:eastAsia="Arial" w:hAnsi="Arial"/>
                <w:sz w:val="16"/>
                <w:szCs w:val="16"/>
                <w:color w:val="auto"/>
                <w:w w:val="97"/>
              </w:rPr>
              <w:t>Board Service Compensation linked</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7"/>
              </w:rPr>
              <w:t>Annual Board Retainer share</w:t>
            </w:r>
          </w:p>
        </w:tc>
        <w:tc>
          <w:tcPr>
            <w:tcW w:w="2540" w:type="dxa"/>
            <w:vAlign w:val="bottom"/>
          </w:tcPr>
          <w:p>
            <w:pPr>
              <w:jc w:val="center"/>
              <w:ind w:left="27"/>
              <w:spacing w:after="0"/>
              <w:rPr>
                <w:sz w:val="20"/>
                <w:szCs w:val="20"/>
                <w:color w:val="auto"/>
              </w:rPr>
            </w:pPr>
            <w:r>
              <w:rPr>
                <w:rFonts w:ascii="Arial" w:cs="Arial" w:eastAsia="Arial" w:hAnsi="Arial"/>
                <w:sz w:val="16"/>
                <w:szCs w:val="16"/>
                <w:color w:val="auto"/>
                <w:w w:val="97"/>
              </w:rPr>
              <w:t xml:space="preserve">on </w:t>
            </w:r>
            <w:r>
              <w:rPr>
                <w:rFonts w:ascii="Arial" w:cs="Arial" w:eastAsia="Arial" w:hAnsi="Arial"/>
                <w:sz w:val="16"/>
                <w:szCs w:val="16"/>
                <w:b w:val="1"/>
                <w:bCs w:val="1"/>
                <w:color w:val="auto"/>
                <w:w w:val="97"/>
              </w:rPr>
              <w:t>total annual compensation</w:t>
            </w:r>
            <w:r>
              <w:rPr>
                <w:rFonts w:ascii="Arial" w:cs="Arial" w:eastAsia="Arial" w:hAnsi="Arial"/>
                <w:sz w:val="16"/>
                <w:szCs w:val="16"/>
                <w:color w:val="auto"/>
                <w:w w:val="97"/>
              </w:rPr>
              <w:t xml:space="preserve"> for</w:t>
            </w:r>
          </w:p>
        </w:tc>
      </w:tr>
      <w:tr>
        <w:trPr>
          <w:trHeight w:val="187"/>
        </w:trPr>
        <w:tc>
          <w:tcPr>
            <w:tcW w:w="2580" w:type="dxa"/>
            <w:vAlign w:val="bottom"/>
          </w:tcPr>
          <w:p>
            <w:pPr>
              <w:jc w:val="center"/>
              <w:ind w:right="10"/>
              <w:spacing w:after="0"/>
              <w:rPr>
                <w:sz w:val="20"/>
                <w:szCs w:val="20"/>
                <w:color w:val="auto"/>
              </w:rPr>
            </w:pPr>
            <w:r>
              <w:rPr>
                <w:rFonts w:ascii="Arial" w:cs="Arial" w:eastAsia="Arial" w:hAnsi="Arial"/>
                <w:sz w:val="16"/>
                <w:szCs w:val="16"/>
                <w:color w:val="auto"/>
                <w:w w:val="96"/>
              </w:rPr>
              <w:t xml:space="preserve">to the </w:t>
            </w:r>
            <w:r>
              <w:rPr>
                <w:rFonts w:ascii="Arial" w:cs="Arial" w:eastAsia="Arial" w:hAnsi="Arial"/>
                <w:sz w:val="16"/>
                <w:szCs w:val="16"/>
                <w:b w:val="1"/>
                <w:bCs w:val="1"/>
                <w:color w:val="auto"/>
                <w:w w:val="96"/>
              </w:rPr>
              <w:t>long-term performance of</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7"/>
              </w:rPr>
              <w:t xml:space="preserve">ownership requirement </w:t>
            </w:r>
            <w:r>
              <w:rPr>
                <w:rFonts w:ascii="Arial" w:cs="Arial" w:eastAsia="Arial" w:hAnsi="Arial"/>
                <w:sz w:val="16"/>
                <w:szCs w:val="16"/>
                <w:color w:val="auto"/>
                <w:w w:val="97"/>
              </w:rPr>
              <w:t>for non-</w:t>
            </w:r>
          </w:p>
        </w:tc>
        <w:tc>
          <w:tcPr>
            <w:tcW w:w="2540" w:type="dxa"/>
            <w:vAlign w:val="bottom"/>
          </w:tcPr>
          <w:p>
            <w:pPr>
              <w:jc w:val="center"/>
              <w:ind w:left="27"/>
              <w:spacing w:after="0"/>
              <w:rPr>
                <w:sz w:val="20"/>
                <w:szCs w:val="20"/>
                <w:color w:val="auto"/>
              </w:rPr>
            </w:pPr>
            <w:r>
              <w:rPr>
                <w:rFonts w:ascii="Arial" w:cs="Arial" w:eastAsia="Arial" w:hAnsi="Arial"/>
                <w:sz w:val="16"/>
                <w:szCs w:val="16"/>
                <w:color w:val="auto"/>
                <w:w w:val="96"/>
              </w:rPr>
              <w:t>non-employee directors</w:t>
            </w:r>
          </w:p>
        </w:tc>
      </w:tr>
      <w:tr>
        <w:trPr>
          <w:trHeight w:val="215"/>
        </w:trPr>
        <w:tc>
          <w:tcPr>
            <w:tcW w:w="2580" w:type="dxa"/>
            <w:vAlign w:val="bottom"/>
          </w:tcPr>
          <w:p>
            <w:pPr>
              <w:jc w:val="center"/>
              <w:ind w:right="10"/>
              <w:spacing w:after="0"/>
              <w:rPr>
                <w:sz w:val="20"/>
                <w:szCs w:val="20"/>
                <w:color w:val="auto"/>
              </w:rPr>
            </w:pPr>
            <w:r>
              <w:rPr>
                <w:rFonts w:ascii="Arial" w:cs="Arial" w:eastAsia="Arial" w:hAnsi="Arial"/>
                <w:sz w:val="16"/>
                <w:szCs w:val="16"/>
                <w:b w:val="1"/>
                <w:bCs w:val="1"/>
                <w:color w:val="auto"/>
                <w:w w:val="97"/>
              </w:rPr>
              <w:t>Lilly stock</w:t>
            </w:r>
          </w:p>
        </w:tc>
        <w:tc>
          <w:tcPr>
            <w:tcW w:w="2560" w:type="dxa"/>
            <w:vAlign w:val="bottom"/>
          </w:tcPr>
          <w:p>
            <w:pPr>
              <w:jc w:val="center"/>
              <w:spacing w:after="0"/>
              <w:rPr>
                <w:sz w:val="20"/>
                <w:szCs w:val="20"/>
                <w:color w:val="auto"/>
              </w:rPr>
            </w:pPr>
            <w:r>
              <w:rPr>
                <w:rFonts w:ascii="Arial" w:cs="Arial" w:eastAsia="Arial" w:hAnsi="Arial"/>
                <w:sz w:val="16"/>
                <w:szCs w:val="16"/>
                <w:color w:val="auto"/>
                <w:w w:val="97"/>
              </w:rPr>
              <w:t>employee directors</w:t>
            </w:r>
          </w:p>
        </w:tc>
        <w:tc>
          <w:tcPr>
            <w:tcW w:w="2540" w:type="dxa"/>
            <w:vAlign w:val="bottom"/>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Director Compensation Governance</w:t>
      </w:r>
    </w:p>
    <w:p>
      <w:pPr>
        <w:spacing w:after="0" w:line="54"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Directors and Corporate Governance Committee performs an annual in-depth review of non-employee director compensation, including considerations such as:</w:t>
      </w:r>
    </w:p>
    <w:p>
      <w:pPr>
        <w:spacing w:after="0" w:line="100" w:lineRule="exact"/>
        <w:rPr>
          <w:sz w:val="20"/>
          <w:szCs w:val="20"/>
          <w:color w:val="auto"/>
        </w:rPr>
      </w:pPr>
    </w:p>
    <w:p>
      <w:pPr>
        <w:ind w:left="640" w:hanging="296"/>
        <w:spacing w:after="0"/>
        <w:tabs>
          <w:tab w:leader="none" w:pos="640" w:val="left"/>
        </w:tabs>
        <w:numPr>
          <w:ilvl w:val="0"/>
          <w:numId w:val="101"/>
        </w:numPr>
        <w:rPr>
          <w:rFonts w:ascii="MS PGothic" w:cs="MS PGothic" w:eastAsia="MS PGothic" w:hAnsi="MS PGothic"/>
          <w:sz w:val="16"/>
          <w:szCs w:val="16"/>
          <w:color w:val="auto"/>
        </w:rPr>
      </w:pPr>
      <w:r>
        <w:rPr>
          <w:rFonts w:ascii="Arial" w:cs="Arial" w:eastAsia="Arial" w:hAnsi="Arial"/>
          <w:sz w:val="16"/>
          <w:szCs w:val="16"/>
          <w:color w:val="auto"/>
        </w:rPr>
        <w:t>general industry and pharmaceutical company peer group analysis conducted with the assistance of an outside compensation consultant,</w:t>
      </w:r>
    </w:p>
    <w:p>
      <w:pPr>
        <w:spacing w:after="0" w:line="49" w:lineRule="exact"/>
        <w:rPr>
          <w:rFonts w:ascii="MS PGothic" w:cs="MS PGothic" w:eastAsia="MS PGothic" w:hAnsi="MS PGothic"/>
          <w:sz w:val="16"/>
          <w:szCs w:val="16"/>
          <w:color w:val="auto"/>
        </w:rPr>
      </w:pPr>
    </w:p>
    <w:p>
      <w:pPr>
        <w:ind w:left="640" w:hanging="296"/>
        <w:spacing w:after="0"/>
        <w:tabs>
          <w:tab w:leader="none" w:pos="640" w:val="left"/>
        </w:tabs>
        <w:numPr>
          <w:ilvl w:val="0"/>
          <w:numId w:val="101"/>
        </w:numPr>
        <w:rPr>
          <w:rFonts w:ascii="MS PGothic" w:cs="MS PGothic" w:eastAsia="MS PGothic" w:hAnsi="MS PGothic"/>
          <w:sz w:val="16"/>
          <w:szCs w:val="16"/>
          <w:color w:val="auto"/>
        </w:rPr>
      </w:pPr>
      <w:r>
        <w:rPr>
          <w:rFonts w:ascii="Arial" w:cs="Arial" w:eastAsia="Arial" w:hAnsi="Arial"/>
          <w:sz w:val="16"/>
          <w:szCs w:val="16"/>
          <w:color w:val="auto"/>
        </w:rPr>
        <w:t>the desire to have non-employee director compensation positioned near the market median when compared against the general industry peer group,</w:t>
      </w:r>
    </w:p>
    <w:p>
      <w:pPr>
        <w:spacing w:after="0" w:line="49" w:lineRule="exact"/>
        <w:rPr>
          <w:rFonts w:ascii="MS PGothic" w:cs="MS PGothic" w:eastAsia="MS PGothic" w:hAnsi="MS PGothic"/>
          <w:sz w:val="16"/>
          <w:szCs w:val="16"/>
          <w:color w:val="auto"/>
        </w:rPr>
      </w:pPr>
    </w:p>
    <w:p>
      <w:pPr>
        <w:ind w:left="640" w:hanging="296"/>
        <w:spacing w:after="0"/>
        <w:tabs>
          <w:tab w:leader="none" w:pos="640" w:val="left"/>
        </w:tabs>
        <w:numPr>
          <w:ilvl w:val="0"/>
          <w:numId w:val="101"/>
        </w:numPr>
        <w:rPr>
          <w:rFonts w:ascii="MS PGothic" w:cs="MS PGothic" w:eastAsia="MS PGothic" w:hAnsi="MS PGothic"/>
          <w:sz w:val="16"/>
          <w:szCs w:val="16"/>
          <w:color w:val="auto"/>
        </w:rPr>
      </w:pPr>
      <w:r>
        <w:rPr>
          <w:rFonts w:ascii="Arial" w:cs="Arial" w:eastAsia="Arial" w:hAnsi="Arial"/>
          <w:sz w:val="16"/>
          <w:szCs w:val="16"/>
          <w:color w:val="auto"/>
        </w:rPr>
        <w:t>the desire to avoid excess compensation, and</w:t>
      </w:r>
    </w:p>
    <w:p>
      <w:pPr>
        <w:spacing w:after="0" w:line="49" w:lineRule="exact"/>
        <w:rPr>
          <w:rFonts w:ascii="MS PGothic" w:cs="MS PGothic" w:eastAsia="MS PGothic" w:hAnsi="MS PGothic"/>
          <w:sz w:val="16"/>
          <w:szCs w:val="16"/>
          <w:color w:val="auto"/>
        </w:rPr>
      </w:pPr>
    </w:p>
    <w:p>
      <w:pPr>
        <w:ind w:left="640" w:hanging="296"/>
        <w:spacing w:after="0"/>
        <w:tabs>
          <w:tab w:leader="none" w:pos="640" w:val="left"/>
        </w:tabs>
        <w:numPr>
          <w:ilvl w:val="0"/>
          <w:numId w:val="101"/>
        </w:numPr>
        <w:rPr>
          <w:rFonts w:ascii="MS PGothic" w:cs="MS PGothic" w:eastAsia="MS PGothic" w:hAnsi="MS PGothic"/>
          <w:sz w:val="16"/>
          <w:szCs w:val="16"/>
          <w:color w:val="auto"/>
        </w:rPr>
      </w:pPr>
      <w:r>
        <w:rPr>
          <w:rFonts w:ascii="Arial" w:cs="Arial" w:eastAsia="Arial" w:hAnsi="Arial"/>
          <w:sz w:val="16"/>
          <w:szCs w:val="16"/>
          <w:color w:val="auto"/>
        </w:rPr>
        <w:t>a focus to link a significant portion of compensation to the long-term performance of Lilly stock.</w:t>
      </w:r>
    </w:p>
    <w:p>
      <w:pPr>
        <w:spacing w:after="0" w:line="143" w:lineRule="exact"/>
        <w:rPr>
          <w:sz w:val="20"/>
          <w:szCs w:val="20"/>
          <w:color w:val="auto"/>
        </w:rPr>
      </w:pPr>
    </w:p>
    <w:p>
      <w:pPr>
        <w:ind w:right="1260"/>
        <w:spacing w:after="0" w:line="271" w:lineRule="auto"/>
        <w:rPr>
          <w:sz w:val="20"/>
          <w:szCs w:val="20"/>
          <w:color w:val="auto"/>
        </w:rPr>
      </w:pPr>
      <w:r>
        <w:rPr>
          <w:rFonts w:ascii="Arial" w:cs="Arial" w:eastAsia="Arial" w:hAnsi="Arial"/>
          <w:sz w:val="16"/>
          <w:szCs w:val="16"/>
          <w:color w:val="auto"/>
        </w:rPr>
        <w:t>If the Directors and Corporate Governance Committee determine adjustments to non-employee director compensation are warranted, it will make recommendations to the full board for consideration.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Compensation Elements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elements in effect for all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910455" cy="146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10455" cy="1460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Compensation Element</w:t>
            </w:r>
          </w:p>
        </w:tc>
        <w:tc>
          <w:tcPr>
            <w:tcW w:w="2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Payment or Value</w:t>
            </w:r>
          </w:p>
        </w:tc>
        <w:tc>
          <w:tcPr>
            <w:tcW w:w="2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595959"/>
              </w:rPr>
              <w:t>Changes for 2023</w:t>
            </w:r>
            <w:r>
              <w:rPr>
                <w:rFonts w:ascii="Arial" w:cs="Arial" w:eastAsia="Arial" w:hAnsi="Arial"/>
                <w:sz w:val="21"/>
                <w:szCs w:val="21"/>
                <w:color w:val="000000"/>
                <w:vertAlign w:val="superscript"/>
              </w:rPr>
              <w:t>2</w:t>
            </w:r>
          </w:p>
        </w:tc>
      </w:tr>
      <w:tr>
        <w:trPr>
          <w:trHeight w:val="339"/>
        </w:trPr>
        <w:tc>
          <w:tcPr>
            <w:tcW w:w="2900" w:type="dxa"/>
            <w:vAlign w:val="bottom"/>
          </w:tcPr>
          <w:p>
            <w:pPr>
              <w:ind w:left="60"/>
              <w:spacing w:after="0"/>
              <w:rPr>
                <w:sz w:val="20"/>
                <w:szCs w:val="20"/>
                <w:color w:val="auto"/>
              </w:rPr>
            </w:pPr>
            <w:r>
              <w:rPr>
                <w:rFonts w:ascii="Arial" w:cs="Arial" w:eastAsia="Arial" w:hAnsi="Arial"/>
                <w:sz w:val="16"/>
                <w:szCs w:val="16"/>
                <w:b w:val="1"/>
                <w:bCs w:val="1"/>
                <w:color w:val="00A1DE"/>
              </w:rPr>
              <w:t>Board Service</w:t>
            </w:r>
            <w:r>
              <w:rPr>
                <w:rFonts w:ascii="Arial" w:cs="Arial" w:eastAsia="Arial" w:hAnsi="Arial"/>
                <w:sz w:val="21"/>
                <w:szCs w:val="21"/>
                <w:b w:val="1"/>
                <w:bCs w:val="1"/>
                <w:color w:val="00A1DE"/>
                <w:vertAlign w:val="superscript"/>
              </w:rPr>
              <w:t>1</w:t>
            </w: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5"/>
        </w:trPr>
        <w:tc>
          <w:tcPr>
            <w:tcW w:w="2900" w:type="dxa"/>
            <w:vAlign w:val="bottom"/>
          </w:tcPr>
          <w:p>
            <w:pPr>
              <w:ind w:left="260"/>
              <w:spacing w:after="0"/>
              <w:rPr>
                <w:sz w:val="20"/>
                <w:szCs w:val="20"/>
                <w:color w:val="auto"/>
              </w:rPr>
            </w:pPr>
            <w:r>
              <w:rPr>
                <w:rFonts w:ascii="Arial" w:cs="Arial" w:eastAsia="Arial" w:hAnsi="Arial"/>
                <w:sz w:val="16"/>
                <w:szCs w:val="16"/>
                <w:color w:val="auto"/>
              </w:rPr>
              <w:t>Annual board retainer</w:t>
            </w:r>
          </w:p>
        </w:tc>
        <w:tc>
          <w:tcPr>
            <w:tcW w:w="820" w:type="dxa"/>
            <w:vAlign w:val="bottom"/>
          </w:tcPr>
          <w:p>
            <w:pPr>
              <w:ind w:left="40"/>
              <w:spacing w:after="0"/>
              <w:rPr>
                <w:sz w:val="20"/>
                <w:szCs w:val="20"/>
                <w:color w:val="auto"/>
              </w:rPr>
            </w:pPr>
            <w:r>
              <w:rPr>
                <w:rFonts w:ascii="Arial" w:cs="Arial" w:eastAsia="Arial" w:hAnsi="Arial"/>
                <w:sz w:val="16"/>
                <w:szCs w:val="16"/>
                <w:color w:val="auto"/>
              </w:rPr>
              <w:t>$110,000</w:t>
            </w:r>
          </w:p>
        </w:tc>
        <w:tc>
          <w:tcPr>
            <w:tcW w:w="1520" w:type="dxa"/>
            <w:vAlign w:val="bottom"/>
          </w:tcPr>
          <w:p>
            <w:pPr>
              <w:spacing w:after="0"/>
              <w:rPr>
                <w:sz w:val="17"/>
                <w:szCs w:val="17"/>
                <w:color w:val="auto"/>
              </w:rPr>
            </w:pPr>
          </w:p>
        </w:tc>
        <w:tc>
          <w:tcPr>
            <w:tcW w:w="980" w:type="dxa"/>
            <w:vAlign w:val="bottom"/>
          </w:tcPr>
          <w:p>
            <w:pPr>
              <w:ind w:left="100"/>
              <w:spacing w:after="0"/>
              <w:rPr>
                <w:sz w:val="20"/>
                <w:szCs w:val="20"/>
                <w:color w:val="auto"/>
              </w:rPr>
            </w:pPr>
            <w:r>
              <w:rPr>
                <w:rFonts w:ascii="Arial" w:cs="Arial" w:eastAsia="Arial" w:hAnsi="Arial"/>
                <w:sz w:val="16"/>
                <w:szCs w:val="16"/>
                <w:color w:val="595959"/>
              </w:rPr>
              <w:t>$110,000</w:t>
            </w:r>
          </w:p>
        </w:tc>
        <w:tc>
          <w:tcPr>
            <w:tcW w:w="1500" w:type="dxa"/>
            <w:vAlign w:val="bottom"/>
          </w:tcPr>
          <w:p>
            <w:pPr>
              <w:spacing w:after="0"/>
              <w:rPr>
                <w:sz w:val="17"/>
                <w:szCs w:val="17"/>
                <w:color w:val="auto"/>
              </w:rPr>
            </w:pPr>
          </w:p>
        </w:tc>
      </w:tr>
      <w:tr>
        <w:trPr>
          <w:trHeight w:val="435"/>
        </w:trPr>
        <w:tc>
          <w:tcPr>
            <w:tcW w:w="2900" w:type="dxa"/>
            <w:vAlign w:val="bottom"/>
          </w:tcPr>
          <w:p>
            <w:pPr>
              <w:ind w:left="260"/>
              <w:spacing w:after="0"/>
              <w:rPr>
                <w:sz w:val="20"/>
                <w:szCs w:val="20"/>
                <w:color w:val="auto"/>
              </w:rPr>
            </w:pPr>
            <w:r>
              <w:rPr>
                <w:rFonts w:ascii="Arial" w:cs="Arial" w:eastAsia="Arial" w:hAnsi="Arial"/>
                <w:sz w:val="16"/>
                <w:szCs w:val="16"/>
                <w:color w:val="auto"/>
              </w:rPr>
              <w:t>Annual equity grant</w:t>
            </w:r>
            <w:r>
              <w:rPr>
                <w:rFonts w:ascii="Arial" w:cs="Arial" w:eastAsia="Arial" w:hAnsi="Arial"/>
                <w:sz w:val="20"/>
                <w:szCs w:val="20"/>
                <w:color w:val="auto"/>
                <w:vertAlign w:val="superscript"/>
              </w:rPr>
              <w:t>3</w:t>
            </w:r>
          </w:p>
        </w:tc>
        <w:tc>
          <w:tcPr>
            <w:tcW w:w="2340" w:type="dxa"/>
            <w:vAlign w:val="bottom"/>
            <w:gridSpan w:val="2"/>
          </w:tcPr>
          <w:p>
            <w:pPr>
              <w:ind w:left="40"/>
              <w:spacing w:after="0"/>
              <w:rPr>
                <w:sz w:val="20"/>
                <w:szCs w:val="20"/>
                <w:color w:val="auto"/>
              </w:rPr>
            </w:pPr>
            <w:r>
              <w:rPr>
                <w:rFonts w:ascii="Arial" w:cs="Arial" w:eastAsia="Arial" w:hAnsi="Arial"/>
                <w:sz w:val="16"/>
                <w:szCs w:val="16"/>
                <w:color w:val="auto"/>
              </w:rPr>
              <w:t>$180,000 in deferred stock units</w:t>
            </w:r>
          </w:p>
        </w:tc>
        <w:tc>
          <w:tcPr>
            <w:tcW w:w="248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595959"/>
              </w:rPr>
              <w:t xml:space="preserve">$200,000 </w:t>
            </w:r>
            <w:r>
              <w:rPr>
                <w:rFonts w:ascii="Arial" w:cs="Arial" w:eastAsia="Arial" w:hAnsi="Arial"/>
                <w:sz w:val="16"/>
                <w:szCs w:val="16"/>
                <w:i w:val="1"/>
                <w:iCs w:val="1"/>
                <w:color w:val="000000"/>
              </w:rPr>
              <w:t>in</w:t>
            </w:r>
            <w:r>
              <w:rPr>
                <w:rFonts w:ascii="Arial" w:cs="Arial" w:eastAsia="Arial" w:hAnsi="Arial"/>
                <w:sz w:val="16"/>
                <w:szCs w:val="16"/>
                <w:b w:val="1"/>
                <w:bCs w:val="1"/>
                <w:i w:val="1"/>
                <w:iCs w:val="1"/>
                <w:color w:val="595959"/>
              </w:rPr>
              <w:t xml:space="preserve"> </w:t>
            </w:r>
            <w:r>
              <w:rPr>
                <w:rFonts w:ascii="Arial" w:cs="Arial" w:eastAsia="Arial" w:hAnsi="Arial"/>
                <w:sz w:val="16"/>
                <w:szCs w:val="16"/>
                <w:i w:val="1"/>
                <w:iCs w:val="1"/>
                <w:color w:val="595959"/>
              </w:rPr>
              <w:t>deferred stock units</w:t>
            </w:r>
          </w:p>
        </w:tc>
      </w:tr>
      <w:tr>
        <w:trPr>
          <w:trHeight w:val="309"/>
        </w:trPr>
        <w:tc>
          <w:tcPr>
            <w:tcW w:w="2900" w:type="dxa"/>
            <w:vAlign w:val="bottom"/>
          </w:tcPr>
          <w:p>
            <w:pPr>
              <w:ind w:left="260"/>
              <w:spacing w:after="0"/>
              <w:rPr>
                <w:sz w:val="20"/>
                <w:szCs w:val="20"/>
                <w:color w:val="auto"/>
              </w:rPr>
            </w:pPr>
            <w:r>
              <w:rPr>
                <w:rFonts w:ascii="Arial" w:cs="Arial" w:eastAsia="Arial" w:hAnsi="Arial"/>
                <w:sz w:val="16"/>
                <w:szCs w:val="16"/>
                <w:color w:val="auto"/>
              </w:rPr>
              <w:t>Lead independent director</w:t>
            </w:r>
          </w:p>
        </w:tc>
        <w:tc>
          <w:tcPr>
            <w:tcW w:w="820" w:type="dxa"/>
            <w:vAlign w:val="bottom"/>
          </w:tcPr>
          <w:p>
            <w:pPr>
              <w:ind w:left="40"/>
              <w:spacing w:after="0"/>
              <w:rPr>
                <w:sz w:val="20"/>
                <w:szCs w:val="20"/>
                <w:color w:val="auto"/>
              </w:rPr>
            </w:pPr>
            <w:r>
              <w:rPr>
                <w:rFonts w:ascii="Arial" w:cs="Arial" w:eastAsia="Arial" w:hAnsi="Arial"/>
                <w:sz w:val="16"/>
                <w:szCs w:val="16"/>
                <w:color w:val="auto"/>
              </w:rPr>
              <w:t>$35,000</w:t>
            </w:r>
          </w:p>
        </w:tc>
        <w:tc>
          <w:tcPr>
            <w:tcW w:w="152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i w:val="1"/>
                <w:iCs w:val="1"/>
                <w:color w:val="595959"/>
              </w:rPr>
              <w:t>$40,000</w:t>
            </w:r>
          </w:p>
        </w:tc>
        <w:tc>
          <w:tcPr>
            <w:tcW w:w="1500" w:type="dxa"/>
            <w:vAlign w:val="bottom"/>
          </w:tcPr>
          <w:p>
            <w:pPr>
              <w:spacing w:after="0"/>
              <w:rPr>
                <w:sz w:val="24"/>
                <w:szCs w:val="24"/>
                <w:color w:val="auto"/>
              </w:rPr>
            </w:pPr>
          </w:p>
        </w:tc>
      </w:tr>
      <w:tr>
        <w:trPr>
          <w:trHeight w:val="24"/>
        </w:trPr>
        <w:tc>
          <w:tcPr>
            <w:tcW w:w="2900" w:type="dxa"/>
            <w:vAlign w:val="bottom"/>
            <w:tcBorders>
              <w:bottom w:val="single" w:sz="8" w:color="D52B1E"/>
            </w:tcBorders>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02"/>
        </w:trPr>
        <w:tc>
          <w:tcPr>
            <w:tcW w:w="2900" w:type="dxa"/>
            <w:vAlign w:val="bottom"/>
          </w:tcPr>
          <w:p>
            <w:pPr>
              <w:ind w:left="60"/>
              <w:spacing w:after="0"/>
              <w:rPr>
                <w:sz w:val="20"/>
                <w:szCs w:val="20"/>
                <w:color w:val="auto"/>
              </w:rPr>
            </w:pPr>
            <w:r>
              <w:rPr>
                <w:rFonts w:ascii="Arial" w:cs="Arial" w:eastAsia="Arial" w:hAnsi="Arial"/>
                <w:sz w:val="16"/>
                <w:szCs w:val="16"/>
                <w:b w:val="1"/>
                <w:bCs w:val="1"/>
                <w:color w:val="00A1DE"/>
              </w:rPr>
              <w:t>Committee Service</w:t>
            </w:r>
            <w:r>
              <w:rPr>
                <w:rFonts w:ascii="Arial" w:cs="Arial" w:eastAsia="Arial" w:hAnsi="Arial"/>
                <w:sz w:val="21"/>
                <w:szCs w:val="21"/>
                <w:b w:val="1"/>
                <w:bCs w:val="1"/>
                <w:color w:val="00A1DE"/>
                <w:vertAlign w:val="superscript"/>
              </w:rPr>
              <w:t>1</w:t>
            </w: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8"/>
        </w:trPr>
        <w:tc>
          <w:tcPr>
            <w:tcW w:w="2900" w:type="dxa"/>
            <w:vAlign w:val="bottom"/>
          </w:tcPr>
          <w:p>
            <w:pPr>
              <w:ind w:left="180"/>
              <w:spacing w:after="0"/>
              <w:rPr>
                <w:sz w:val="20"/>
                <w:szCs w:val="20"/>
                <w:color w:val="auto"/>
              </w:rPr>
            </w:pPr>
            <w:r>
              <w:rPr>
                <w:rFonts w:ascii="Arial" w:cs="Arial" w:eastAsia="Arial" w:hAnsi="Arial"/>
                <w:sz w:val="16"/>
                <w:szCs w:val="16"/>
                <w:color w:val="auto"/>
              </w:rPr>
              <w:t>Annual Committee Retainer</w:t>
            </w:r>
            <w:r>
              <w:rPr>
                <w:rFonts w:ascii="Arial" w:cs="Arial" w:eastAsia="Arial" w:hAnsi="Arial"/>
                <w:sz w:val="20"/>
                <w:szCs w:val="20"/>
                <w:color w:val="auto"/>
                <w:vertAlign w:val="superscript"/>
              </w:rPr>
              <w:t>2</w:t>
            </w:r>
          </w:p>
        </w:tc>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Chair</w:t>
            </w:r>
          </w:p>
        </w:tc>
        <w:tc>
          <w:tcPr>
            <w:tcW w:w="1520" w:type="dxa"/>
            <w:vAlign w:val="bottom"/>
          </w:tcPr>
          <w:p>
            <w:pPr>
              <w:ind w:left="160"/>
              <w:spacing w:after="0"/>
              <w:rPr>
                <w:sz w:val="20"/>
                <w:szCs w:val="20"/>
                <w:color w:val="auto"/>
              </w:rPr>
            </w:pPr>
            <w:r>
              <w:rPr>
                <w:rFonts w:ascii="Arial" w:cs="Arial" w:eastAsia="Arial" w:hAnsi="Arial"/>
                <w:sz w:val="16"/>
                <w:szCs w:val="16"/>
                <w:b w:val="1"/>
                <w:bCs w:val="1"/>
                <w:color w:val="auto"/>
              </w:rPr>
              <w:t>Member</w:t>
            </w:r>
          </w:p>
        </w:tc>
        <w:tc>
          <w:tcPr>
            <w:tcW w:w="980" w:type="dxa"/>
            <w:vAlign w:val="bottom"/>
          </w:tcPr>
          <w:p>
            <w:pPr>
              <w:ind w:left="100"/>
              <w:spacing w:after="0"/>
              <w:rPr>
                <w:sz w:val="20"/>
                <w:szCs w:val="20"/>
                <w:color w:val="auto"/>
              </w:rPr>
            </w:pPr>
            <w:r>
              <w:rPr>
                <w:rFonts w:ascii="Arial" w:cs="Arial" w:eastAsia="Arial" w:hAnsi="Arial"/>
                <w:sz w:val="16"/>
                <w:szCs w:val="16"/>
                <w:b w:val="1"/>
                <w:bCs w:val="1"/>
                <w:color w:val="595959"/>
              </w:rPr>
              <w:t>Chair</w:t>
            </w:r>
          </w:p>
        </w:tc>
        <w:tc>
          <w:tcPr>
            <w:tcW w:w="1500" w:type="dxa"/>
            <w:vAlign w:val="bottom"/>
          </w:tcPr>
          <w:p>
            <w:pPr>
              <w:ind w:left="240"/>
              <w:spacing w:after="0"/>
              <w:rPr>
                <w:sz w:val="20"/>
                <w:szCs w:val="20"/>
                <w:color w:val="auto"/>
              </w:rPr>
            </w:pPr>
            <w:r>
              <w:rPr>
                <w:rFonts w:ascii="Arial" w:cs="Arial" w:eastAsia="Arial" w:hAnsi="Arial"/>
                <w:sz w:val="16"/>
                <w:szCs w:val="16"/>
                <w:b w:val="1"/>
                <w:bCs w:val="1"/>
                <w:color w:val="595959"/>
              </w:rPr>
              <w:t>Member</w:t>
            </w:r>
          </w:p>
        </w:tc>
      </w:tr>
      <w:tr>
        <w:trPr>
          <w:trHeight w:val="227"/>
        </w:trPr>
        <w:tc>
          <w:tcPr>
            <w:tcW w:w="2900" w:type="dxa"/>
            <w:vAlign w:val="bottom"/>
          </w:tcPr>
          <w:p>
            <w:pPr>
              <w:ind w:left="280"/>
              <w:spacing w:after="0"/>
              <w:rPr>
                <w:sz w:val="20"/>
                <w:szCs w:val="20"/>
                <w:color w:val="auto"/>
              </w:rPr>
            </w:pPr>
            <w:r>
              <w:rPr>
                <w:rFonts w:ascii="Arial" w:cs="Arial" w:eastAsia="Arial" w:hAnsi="Arial"/>
                <w:sz w:val="16"/>
                <w:szCs w:val="16"/>
                <w:i w:val="1"/>
                <w:iCs w:val="1"/>
                <w:color w:val="auto"/>
              </w:rPr>
              <w:t>Audit Committee</w:t>
            </w:r>
          </w:p>
        </w:tc>
        <w:tc>
          <w:tcPr>
            <w:tcW w:w="820" w:type="dxa"/>
            <w:vAlign w:val="bottom"/>
          </w:tcPr>
          <w:p>
            <w:pPr>
              <w:ind w:left="40"/>
              <w:spacing w:after="0"/>
              <w:rPr>
                <w:sz w:val="20"/>
                <w:szCs w:val="20"/>
                <w:color w:val="auto"/>
              </w:rPr>
            </w:pPr>
            <w:r>
              <w:rPr>
                <w:rFonts w:ascii="Arial" w:cs="Arial" w:eastAsia="Arial" w:hAnsi="Arial"/>
                <w:sz w:val="16"/>
                <w:szCs w:val="16"/>
                <w:color w:val="auto"/>
              </w:rPr>
              <w:t>$22,000</w:t>
            </w:r>
          </w:p>
        </w:tc>
        <w:tc>
          <w:tcPr>
            <w:tcW w:w="1520" w:type="dxa"/>
            <w:vAlign w:val="bottom"/>
          </w:tcPr>
          <w:p>
            <w:pPr>
              <w:ind w:left="160"/>
              <w:spacing w:after="0"/>
              <w:rPr>
                <w:sz w:val="20"/>
                <w:szCs w:val="20"/>
                <w:color w:val="auto"/>
              </w:rPr>
            </w:pPr>
            <w:r>
              <w:rPr>
                <w:rFonts w:ascii="Arial" w:cs="Arial" w:eastAsia="Arial" w:hAnsi="Arial"/>
                <w:sz w:val="16"/>
                <w:szCs w:val="16"/>
                <w:color w:val="auto"/>
              </w:rPr>
              <w:t>$6,000</w:t>
            </w:r>
          </w:p>
        </w:tc>
        <w:tc>
          <w:tcPr>
            <w:tcW w:w="980" w:type="dxa"/>
            <w:vAlign w:val="bottom"/>
          </w:tcPr>
          <w:p>
            <w:pPr>
              <w:ind w:left="100"/>
              <w:spacing w:after="0"/>
              <w:rPr>
                <w:sz w:val="20"/>
                <w:szCs w:val="20"/>
                <w:color w:val="auto"/>
              </w:rPr>
            </w:pPr>
            <w:r>
              <w:rPr>
                <w:rFonts w:ascii="Arial" w:cs="Arial" w:eastAsia="Arial" w:hAnsi="Arial"/>
                <w:sz w:val="16"/>
                <w:szCs w:val="16"/>
                <w:b w:val="1"/>
                <w:bCs w:val="1"/>
                <w:i w:val="1"/>
                <w:iCs w:val="1"/>
                <w:color w:val="595959"/>
              </w:rPr>
              <w:t>$26,000</w:t>
            </w:r>
          </w:p>
        </w:tc>
        <w:tc>
          <w:tcPr>
            <w:tcW w:w="1500" w:type="dxa"/>
            <w:vAlign w:val="bottom"/>
          </w:tcPr>
          <w:p>
            <w:pPr>
              <w:ind w:left="240"/>
              <w:spacing w:after="0"/>
              <w:rPr>
                <w:sz w:val="20"/>
                <w:szCs w:val="20"/>
                <w:color w:val="auto"/>
              </w:rPr>
            </w:pPr>
            <w:r>
              <w:rPr>
                <w:rFonts w:ascii="Arial" w:cs="Arial" w:eastAsia="Arial" w:hAnsi="Arial"/>
                <w:sz w:val="16"/>
                <w:szCs w:val="16"/>
                <w:color w:val="595959"/>
              </w:rPr>
              <w:t>$6,000</w:t>
            </w:r>
          </w:p>
        </w:tc>
      </w:tr>
      <w:tr>
        <w:trPr>
          <w:trHeight w:val="261"/>
        </w:trPr>
        <w:tc>
          <w:tcPr>
            <w:tcW w:w="2900" w:type="dxa"/>
            <w:vAlign w:val="bottom"/>
          </w:tcPr>
          <w:p>
            <w:pPr>
              <w:ind w:left="280"/>
              <w:spacing w:after="0"/>
              <w:rPr>
                <w:sz w:val="20"/>
                <w:szCs w:val="20"/>
                <w:color w:val="auto"/>
              </w:rPr>
            </w:pPr>
            <w:r>
              <w:rPr>
                <w:rFonts w:ascii="Arial" w:cs="Arial" w:eastAsia="Arial" w:hAnsi="Arial"/>
                <w:sz w:val="16"/>
                <w:szCs w:val="16"/>
                <w:i w:val="1"/>
                <w:iCs w:val="1"/>
                <w:color w:val="auto"/>
              </w:rPr>
              <w:t>Science and Technology Committee</w:t>
            </w:r>
          </w:p>
        </w:tc>
        <w:tc>
          <w:tcPr>
            <w:tcW w:w="820" w:type="dxa"/>
            <w:vAlign w:val="bottom"/>
          </w:tcPr>
          <w:p>
            <w:pPr>
              <w:ind w:left="40"/>
              <w:spacing w:after="0"/>
              <w:rPr>
                <w:sz w:val="20"/>
                <w:szCs w:val="20"/>
                <w:color w:val="auto"/>
              </w:rPr>
            </w:pPr>
            <w:r>
              <w:rPr>
                <w:rFonts w:ascii="Arial" w:cs="Arial" w:eastAsia="Arial" w:hAnsi="Arial"/>
                <w:sz w:val="16"/>
                <w:szCs w:val="16"/>
                <w:color w:val="auto"/>
              </w:rPr>
              <w:t>$18,000</w:t>
            </w:r>
          </w:p>
        </w:tc>
        <w:tc>
          <w:tcPr>
            <w:tcW w:w="1520" w:type="dxa"/>
            <w:vAlign w:val="bottom"/>
          </w:tcPr>
          <w:p>
            <w:pPr>
              <w:ind w:left="160"/>
              <w:spacing w:after="0"/>
              <w:rPr>
                <w:sz w:val="20"/>
                <w:szCs w:val="20"/>
                <w:color w:val="auto"/>
              </w:rPr>
            </w:pPr>
            <w:r>
              <w:rPr>
                <w:rFonts w:ascii="Arial" w:cs="Arial" w:eastAsia="Arial" w:hAnsi="Arial"/>
                <w:sz w:val="16"/>
                <w:szCs w:val="16"/>
                <w:color w:val="auto"/>
              </w:rPr>
              <w:t>$6,000</w:t>
            </w:r>
          </w:p>
        </w:tc>
        <w:tc>
          <w:tcPr>
            <w:tcW w:w="980" w:type="dxa"/>
            <w:vAlign w:val="bottom"/>
          </w:tcPr>
          <w:p>
            <w:pPr>
              <w:ind w:left="100"/>
              <w:spacing w:after="0"/>
              <w:rPr>
                <w:sz w:val="20"/>
                <w:szCs w:val="20"/>
                <w:color w:val="auto"/>
              </w:rPr>
            </w:pPr>
            <w:r>
              <w:rPr>
                <w:rFonts w:ascii="Arial" w:cs="Arial" w:eastAsia="Arial" w:hAnsi="Arial"/>
                <w:sz w:val="16"/>
                <w:szCs w:val="16"/>
                <w:color w:val="auto"/>
              </w:rPr>
              <w:t>$18,000</w:t>
            </w:r>
          </w:p>
        </w:tc>
        <w:tc>
          <w:tcPr>
            <w:tcW w:w="1500" w:type="dxa"/>
            <w:vAlign w:val="bottom"/>
          </w:tcPr>
          <w:p>
            <w:pPr>
              <w:ind w:left="240"/>
              <w:spacing w:after="0"/>
              <w:rPr>
                <w:sz w:val="20"/>
                <w:szCs w:val="20"/>
                <w:color w:val="auto"/>
              </w:rPr>
            </w:pPr>
            <w:r>
              <w:rPr>
                <w:rFonts w:ascii="Arial" w:cs="Arial" w:eastAsia="Arial" w:hAnsi="Arial"/>
                <w:sz w:val="16"/>
                <w:szCs w:val="16"/>
                <w:color w:val="595959"/>
              </w:rPr>
              <w:t>$6,000</w:t>
            </w:r>
          </w:p>
        </w:tc>
      </w:tr>
      <w:tr>
        <w:trPr>
          <w:trHeight w:val="269"/>
        </w:trPr>
        <w:tc>
          <w:tcPr>
            <w:tcW w:w="2900" w:type="dxa"/>
            <w:vAlign w:val="bottom"/>
          </w:tcPr>
          <w:p>
            <w:pPr>
              <w:ind w:left="280"/>
              <w:spacing w:after="0"/>
              <w:rPr>
                <w:sz w:val="20"/>
                <w:szCs w:val="20"/>
                <w:color w:val="auto"/>
              </w:rPr>
            </w:pPr>
            <w:r>
              <w:rPr>
                <w:rFonts w:ascii="Arial" w:cs="Arial" w:eastAsia="Arial" w:hAnsi="Arial"/>
                <w:sz w:val="16"/>
                <w:szCs w:val="16"/>
                <w:i w:val="1"/>
                <w:iCs w:val="1"/>
                <w:color w:val="auto"/>
                <w:w w:val="98"/>
              </w:rPr>
              <w:t>Talent and Compensation Committee</w:t>
            </w:r>
          </w:p>
        </w:tc>
        <w:tc>
          <w:tcPr>
            <w:tcW w:w="820" w:type="dxa"/>
            <w:vAlign w:val="bottom"/>
          </w:tcPr>
          <w:p>
            <w:pPr>
              <w:ind w:left="40"/>
              <w:spacing w:after="0"/>
              <w:rPr>
                <w:sz w:val="20"/>
                <w:szCs w:val="20"/>
                <w:color w:val="auto"/>
              </w:rPr>
            </w:pPr>
            <w:r>
              <w:rPr>
                <w:rFonts w:ascii="Arial" w:cs="Arial" w:eastAsia="Arial" w:hAnsi="Arial"/>
                <w:sz w:val="16"/>
                <w:szCs w:val="16"/>
                <w:color w:val="auto"/>
              </w:rPr>
              <w:t>$17,000</w:t>
            </w:r>
          </w:p>
        </w:tc>
        <w:tc>
          <w:tcPr>
            <w:tcW w:w="1520" w:type="dxa"/>
            <w:vAlign w:val="bottom"/>
          </w:tcPr>
          <w:p>
            <w:pPr>
              <w:ind w:left="160"/>
              <w:spacing w:after="0"/>
              <w:rPr>
                <w:sz w:val="20"/>
                <w:szCs w:val="20"/>
                <w:color w:val="auto"/>
              </w:rPr>
            </w:pPr>
            <w:r>
              <w:rPr>
                <w:rFonts w:ascii="Arial" w:cs="Arial" w:eastAsia="Arial" w:hAnsi="Arial"/>
                <w:sz w:val="16"/>
                <w:szCs w:val="16"/>
                <w:color w:val="auto"/>
              </w:rPr>
              <w:t>$3,000</w:t>
            </w:r>
          </w:p>
        </w:tc>
        <w:tc>
          <w:tcPr>
            <w:tcW w:w="980" w:type="dxa"/>
            <w:vAlign w:val="bottom"/>
          </w:tcPr>
          <w:p>
            <w:pPr>
              <w:ind w:left="100"/>
              <w:spacing w:after="0"/>
              <w:rPr>
                <w:sz w:val="20"/>
                <w:szCs w:val="20"/>
                <w:color w:val="auto"/>
              </w:rPr>
            </w:pPr>
            <w:r>
              <w:rPr>
                <w:rFonts w:ascii="Arial" w:cs="Arial" w:eastAsia="Arial" w:hAnsi="Arial"/>
                <w:sz w:val="16"/>
                <w:szCs w:val="16"/>
                <w:color w:val="auto"/>
              </w:rPr>
              <w:t>$17,000</w:t>
            </w:r>
          </w:p>
        </w:tc>
        <w:tc>
          <w:tcPr>
            <w:tcW w:w="1500" w:type="dxa"/>
            <w:vAlign w:val="bottom"/>
          </w:tcPr>
          <w:p>
            <w:pPr>
              <w:ind w:left="240"/>
              <w:spacing w:after="0"/>
              <w:rPr>
                <w:sz w:val="20"/>
                <w:szCs w:val="20"/>
                <w:color w:val="auto"/>
              </w:rPr>
            </w:pPr>
            <w:r>
              <w:rPr>
                <w:rFonts w:ascii="Arial" w:cs="Arial" w:eastAsia="Arial" w:hAnsi="Arial"/>
                <w:sz w:val="16"/>
                <w:szCs w:val="16"/>
                <w:color w:val="595959"/>
              </w:rPr>
              <w:t>$3,000</w:t>
            </w:r>
          </w:p>
        </w:tc>
      </w:tr>
      <w:tr>
        <w:trPr>
          <w:trHeight w:val="245"/>
        </w:trPr>
        <w:tc>
          <w:tcPr>
            <w:tcW w:w="2900" w:type="dxa"/>
            <w:vAlign w:val="bottom"/>
          </w:tcPr>
          <w:p>
            <w:pPr>
              <w:ind w:left="280"/>
              <w:spacing w:after="0"/>
              <w:rPr>
                <w:sz w:val="20"/>
                <w:szCs w:val="20"/>
                <w:color w:val="auto"/>
              </w:rPr>
            </w:pPr>
            <w:r>
              <w:rPr>
                <w:rFonts w:ascii="Arial" w:cs="Arial" w:eastAsia="Arial" w:hAnsi="Arial"/>
                <w:sz w:val="16"/>
                <w:szCs w:val="16"/>
                <w:i w:val="1"/>
                <w:iCs w:val="1"/>
                <w:color w:val="auto"/>
              </w:rPr>
              <w:t>Ethics and Compliance Committee</w:t>
            </w:r>
          </w:p>
        </w:tc>
        <w:tc>
          <w:tcPr>
            <w:tcW w:w="820" w:type="dxa"/>
            <w:vAlign w:val="bottom"/>
          </w:tcPr>
          <w:p>
            <w:pPr>
              <w:ind w:left="40"/>
              <w:spacing w:after="0"/>
              <w:rPr>
                <w:sz w:val="20"/>
                <w:szCs w:val="20"/>
                <w:color w:val="auto"/>
              </w:rPr>
            </w:pPr>
            <w:r>
              <w:rPr>
                <w:rFonts w:ascii="Arial" w:cs="Arial" w:eastAsia="Arial" w:hAnsi="Arial"/>
                <w:sz w:val="16"/>
                <w:szCs w:val="16"/>
                <w:color w:val="auto"/>
              </w:rPr>
              <w:t>$17,000</w:t>
            </w:r>
          </w:p>
        </w:tc>
        <w:tc>
          <w:tcPr>
            <w:tcW w:w="1520" w:type="dxa"/>
            <w:vAlign w:val="bottom"/>
          </w:tcPr>
          <w:p>
            <w:pPr>
              <w:ind w:left="160"/>
              <w:spacing w:after="0"/>
              <w:rPr>
                <w:sz w:val="20"/>
                <w:szCs w:val="20"/>
                <w:color w:val="auto"/>
              </w:rPr>
            </w:pPr>
            <w:r>
              <w:rPr>
                <w:rFonts w:ascii="Arial" w:cs="Arial" w:eastAsia="Arial" w:hAnsi="Arial"/>
                <w:sz w:val="16"/>
                <w:szCs w:val="16"/>
                <w:color w:val="auto"/>
              </w:rPr>
              <w:t>$3,000</w:t>
            </w:r>
          </w:p>
        </w:tc>
        <w:tc>
          <w:tcPr>
            <w:tcW w:w="980" w:type="dxa"/>
            <w:vAlign w:val="bottom"/>
          </w:tcPr>
          <w:p>
            <w:pPr>
              <w:ind w:left="100"/>
              <w:spacing w:after="0"/>
              <w:rPr>
                <w:sz w:val="20"/>
                <w:szCs w:val="20"/>
                <w:color w:val="auto"/>
              </w:rPr>
            </w:pPr>
            <w:r>
              <w:rPr>
                <w:rFonts w:ascii="Arial" w:cs="Arial" w:eastAsia="Arial" w:hAnsi="Arial"/>
                <w:sz w:val="16"/>
                <w:szCs w:val="16"/>
                <w:color w:val="auto"/>
              </w:rPr>
              <w:t>$17,000</w:t>
            </w:r>
          </w:p>
        </w:tc>
        <w:tc>
          <w:tcPr>
            <w:tcW w:w="1500" w:type="dxa"/>
            <w:vAlign w:val="bottom"/>
          </w:tcPr>
          <w:p>
            <w:pPr>
              <w:ind w:left="240"/>
              <w:spacing w:after="0"/>
              <w:rPr>
                <w:sz w:val="20"/>
                <w:szCs w:val="20"/>
                <w:color w:val="auto"/>
              </w:rPr>
            </w:pPr>
            <w:r>
              <w:rPr>
                <w:rFonts w:ascii="Arial" w:cs="Arial" w:eastAsia="Arial" w:hAnsi="Arial"/>
                <w:sz w:val="16"/>
                <w:szCs w:val="16"/>
                <w:color w:val="595959"/>
              </w:rPr>
              <w:t>$3,000</w:t>
            </w:r>
          </w:p>
        </w:tc>
      </w:tr>
      <w:tr>
        <w:trPr>
          <w:trHeight w:val="254"/>
        </w:trPr>
        <w:tc>
          <w:tcPr>
            <w:tcW w:w="2900" w:type="dxa"/>
            <w:vAlign w:val="bottom"/>
          </w:tcPr>
          <w:p>
            <w:pPr>
              <w:ind w:left="280"/>
              <w:spacing w:after="0"/>
              <w:rPr>
                <w:sz w:val="20"/>
                <w:szCs w:val="20"/>
                <w:color w:val="auto"/>
              </w:rPr>
            </w:pPr>
            <w:r>
              <w:rPr>
                <w:rFonts w:ascii="Arial" w:cs="Arial" w:eastAsia="Arial" w:hAnsi="Arial"/>
                <w:sz w:val="16"/>
                <w:szCs w:val="16"/>
                <w:i w:val="1"/>
                <w:iCs w:val="1"/>
                <w:color w:val="auto"/>
                <w:w w:val="99"/>
              </w:rPr>
              <w:t>Directors and Corporate Governance</w:t>
            </w:r>
          </w:p>
        </w:tc>
        <w:tc>
          <w:tcPr>
            <w:tcW w:w="820" w:type="dxa"/>
            <w:vAlign w:val="bottom"/>
          </w:tcPr>
          <w:p>
            <w:pPr>
              <w:ind w:left="40"/>
              <w:spacing w:after="0"/>
              <w:rPr>
                <w:sz w:val="20"/>
                <w:szCs w:val="20"/>
                <w:color w:val="auto"/>
              </w:rPr>
            </w:pPr>
            <w:r>
              <w:rPr>
                <w:rFonts w:ascii="Arial" w:cs="Arial" w:eastAsia="Arial" w:hAnsi="Arial"/>
                <w:sz w:val="16"/>
                <w:szCs w:val="16"/>
                <w:color w:val="auto"/>
              </w:rPr>
              <w:t>$17,000</w:t>
            </w:r>
          </w:p>
        </w:tc>
        <w:tc>
          <w:tcPr>
            <w:tcW w:w="1520" w:type="dxa"/>
            <w:vAlign w:val="bottom"/>
          </w:tcPr>
          <w:p>
            <w:pPr>
              <w:ind w:left="160"/>
              <w:spacing w:after="0"/>
              <w:rPr>
                <w:sz w:val="20"/>
                <w:szCs w:val="20"/>
                <w:color w:val="auto"/>
              </w:rPr>
            </w:pPr>
            <w:r>
              <w:rPr>
                <w:rFonts w:ascii="Arial" w:cs="Arial" w:eastAsia="Arial" w:hAnsi="Arial"/>
                <w:sz w:val="16"/>
                <w:szCs w:val="16"/>
                <w:color w:val="auto"/>
              </w:rPr>
              <w:t>$3,000</w:t>
            </w:r>
          </w:p>
        </w:tc>
        <w:tc>
          <w:tcPr>
            <w:tcW w:w="980" w:type="dxa"/>
            <w:vAlign w:val="bottom"/>
          </w:tcPr>
          <w:p>
            <w:pPr>
              <w:ind w:left="100"/>
              <w:spacing w:after="0"/>
              <w:rPr>
                <w:sz w:val="20"/>
                <w:szCs w:val="20"/>
                <w:color w:val="auto"/>
              </w:rPr>
            </w:pPr>
            <w:r>
              <w:rPr>
                <w:rFonts w:ascii="Arial" w:cs="Arial" w:eastAsia="Arial" w:hAnsi="Arial"/>
                <w:sz w:val="16"/>
                <w:szCs w:val="16"/>
                <w:color w:val="auto"/>
              </w:rPr>
              <w:t>$17,000</w:t>
            </w:r>
          </w:p>
        </w:tc>
        <w:tc>
          <w:tcPr>
            <w:tcW w:w="1500" w:type="dxa"/>
            <w:vAlign w:val="bottom"/>
          </w:tcPr>
          <w:p>
            <w:pPr>
              <w:ind w:left="240"/>
              <w:spacing w:after="0"/>
              <w:rPr>
                <w:sz w:val="20"/>
                <w:szCs w:val="20"/>
                <w:color w:val="auto"/>
              </w:rPr>
            </w:pPr>
            <w:r>
              <w:rPr>
                <w:rFonts w:ascii="Arial" w:cs="Arial" w:eastAsia="Arial" w:hAnsi="Arial"/>
                <w:sz w:val="16"/>
                <w:szCs w:val="16"/>
                <w:color w:val="595959"/>
              </w:rPr>
              <w:t>$3,000</w:t>
            </w:r>
          </w:p>
        </w:tc>
      </w:tr>
      <w:tr>
        <w:trPr>
          <w:trHeight w:val="165"/>
        </w:trPr>
        <w:tc>
          <w:tcPr>
            <w:tcW w:w="2900" w:type="dxa"/>
            <w:vAlign w:val="bottom"/>
          </w:tcPr>
          <w:p>
            <w:pPr>
              <w:ind w:left="360"/>
              <w:spacing w:after="0" w:line="165" w:lineRule="exact"/>
              <w:rPr>
                <w:sz w:val="20"/>
                <w:szCs w:val="20"/>
                <w:color w:val="auto"/>
              </w:rPr>
            </w:pPr>
            <w:r>
              <w:rPr>
                <w:rFonts w:ascii="Arial" w:cs="Arial" w:eastAsia="Arial" w:hAnsi="Arial"/>
                <w:sz w:val="16"/>
                <w:szCs w:val="16"/>
                <w:i w:val="1"/>
                <w:iCs w:val="1"/>
                <w:color w:val="auto"/>
              </w:rPr>
              <w:t>Committee</w:t>
            </w: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-230505</wp:posOffset>
            </wp:positionV>
            <wp:extent cx="762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-215900</wp:posOffset>
            </wp:positionV>
            <wp:extent cx="762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-200660</wp:posOffset>
            </wp:positionV>
            <wp:extent cx="762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-186055</wp:posOffset>
            </wp:positionV>
            <wp:extent cx="762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-171450</wp:posOffset>
            </wp:positionV>
            <wp:extent cx="762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-156210</wp:posOffset>
            </wp:positionV>
            <wp:extent cx="7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-141605</wp:posOffset>
            </wp:positionV>
            <wp:extent cx="762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76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-111760</wp:posOffset>
            </wp:positionV>
            <wp:extent cx="762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-97155</wp:posOffset>
            </wp:positionV>
            <wp:extent cx="76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-81915</wp:posOffset>
            </wp:positionV>
            <wp:extent cx="76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-67310</wp:posOffset>
            </wp:positionV>
            <wp:extent cx="76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-52705</wp:posOffset>
            </wp:positionV>
            <wp:extent cx="76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-37465</wp:posOffset>
            </wp:positionV>
            <wp:extent cx="4962525" cy="1708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62525" cy="17081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-379095</wp:posOffset>
            </wp:positionV>
            <wp:extent cx="76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-363855</wp:posOffset>
            </wp:positionV>
            <wp:extent cx="76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-349250</wp:posOffset>
            </wp:positionV>
            <wp:extent cx="76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-334645</wp:posOffset>
            </wp:positionV>
            <wp:extent cx="762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-319405</wp:posOffset>
            </wp:positionV>
            <wp:extent cx="762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-304800</wp:posOffset>
            </wp:positionV>
            <wp:extent cx="762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-289560</wp:posOffset>
            </wp:positionV>
            <wp:extent cx="762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-274955</wp:posOffset>
            </wp:positionV>
            <wp:extent cx="76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-260350</wp:posOffset>
            </wp:positionV>
            <wp:extent cx="7620" cy="222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-556895</wp:posOffset>
            </wp:positionV>
            <wp:extent cx="76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-542290</wp:posOffset>
            </wp:positionV>
            <wp:extent cx="762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-527050</wp:posOffset>
            </wp:positionV>
            <wp:extent cx="76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-512445</wp:posOffset>
            </wp:positionV>
            <wp:extent cx="762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-497840</wp:posOffset>
            </wp:positionV>
            <wp:extent cx="762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-482600</wp:posOffset>
            </wp:positionV>
            <wp:extent cx="76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-467995</wp:posOffset>
            </wp:positionV>
            <wp:extent cx="76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-452755</wp:posOffset>
            </wp:positionV>
            <wp:extent cx="762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-438150</wp:posOffset>
            </wp:positionV>
            <wp:extent cx="762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-423545</wp:posOffset>
            </wp:positionV>
            <wp:extent cx="76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-408305</wp:posOffset>
            </wp:positionV>
            <wp:extent cx="7620" cy="222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-727710</wp:posOffset>
            </wp:positionV>
            <wp:extent cx="762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-712470</wp:posOffset>
            </wp:positionV>
            <wp:extent cx="76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-697865</wp:posOffset>
            </wp:positionV>
            <wp:extent cx="762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-683260</wp:posOffset>
            </wp:positionV>
            <wp:extent cx="762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-668020</wp:posOffset>
            </wp:positionV>
            <wp:extent cx="762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-653415</wp:posOffset>
            </wp:positionV>
            <wp:extent cx="762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-638810</wp:posOffset>
            </wp:positionV>
            <wp:extent cx="76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-623570</wp:posOffset>
            </wp:positionV>
            <wp:extent cx="762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-608965</wp:posOffset>
            </wp:positionV>
            <wp:extent cx="762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-593725</wp:posOffset>
            </wp:positionV>
            <wp:extent cx="762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-579120</wp:posOffset>
            </wp:positionV>
            <wp:extent cx="7620" cy="146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-897890</wp:posOffset>
            </wp:positionV>
            <wp:extent cx="762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-883285</wp:posOffset>
            </wp:positionV>
            <wp:extent cx="762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-868680</wp:posOffset>
            </wp:positionV>
            <wp:extent cx="762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-853440</wp:posOffset>
            </wp:positionV>
            <wp:extent cx="762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-838835</wp:posOffset>
            </wp:positionV>
            <wp:extent cx="762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-824230</wp:posOffset>
            </wp:positionV>
            <wp:extent cx="762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-808990</wp:posOffset>
            </wp:positionV>
            <wp:extent cx="76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-794385</wp:posOffset>
            </wp:positionV>
            <wp:extent cx="762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-779145</wp:posOffset>
            </wp:positionV>
            <wp:extent cx="762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-764540</wp:posOffset>
            </wp:positionV>
            <wp:extent cx="762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-749935</wp:posOffset>
            </wp:positionV>
            <wp:extent cx="7620" cy="146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-1098550</wp:posOffset>
            </wp:positionV>
            <wp:extent cx="762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-1083310</wp:posOffset>
            </wp:positionV>
            <wp:extent cx="762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-1068705</wp:posOffset>
            </wp:positionV>
            <wp:extent cx="762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-1054100</wp:posOffset>
            </wp:positionV>
            <wp:extent cx="762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-1038860</wp:posOffset>
            </wp:positionV>
            <wp:extent cx="76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-1024255</wp:posOffset>
            </wp:positionV>
            <wp:extent cx="76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-1009650</wp:posOffset>
            </wp:positionV>
            <wp:extent cx="76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-994410</wp:posOffset>
            </wp:positionV>
            <wp:extent cx="762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-979805</wp:posOffset>
            </wp:positionV>
            <wp:extent cx="762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-965200</wp:posOffset>
            </wp:positionV>
            <wp:extent cx="762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-949960</wp:posOffset>
            </wp:positionV>
            <wp:extent cx="762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-935355</wp:posOffset>
            </wp:positionV>
            <wp:extent cx="762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-920115</wp:posOffset>
            </wp:positionV>
            <wp:extent cx="7620" cy="146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-1298575</wp:posOffset>
            </wp:positionV>
            <wp:extent cx="76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-1283970</wp:posOffset>
            </wp:positionV>
            <wp:extent cx="76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-1268730</wp:posOffset>
            </wp:positionV>
            <wp:extent cx="76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-1254125</wp:posOffset>
            </wp:positionV>
            <wp:extent cx="762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-1239520</wp:posOffset>
            </wp:positionV>
            <wp:extent cx="76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-1224280</wp:posOffset>
            </wp:positionV>
            <wp:extent cx="76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-1209675</wp:posOffset>
            </wp:positionV>
            <wp:extent cx="76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-1195070</wp:posOffset>
            </wp:positionV>
            <wp:extent cx="76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-1179830</wp:posOffset>
            </wp:positionV>
            <wp:extent cx="76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-1165225</wp:posOffset>
            </wp:positionV>
            <wp:extent cx="762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-1150620</wp:posOffset>
            </wp:positionV>
            <wp:extent cx="76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-1135380</wp:posOffset>
            </wp:positionV>
            <wp:extent cx="76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-1120775</wp:posOffset>
            </wp:positionV>
            <wp:extent cx="7620" cy="146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-1320800</wp:posOffset>
            </wp:positionV>
            <wp:extent cx="76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-1320800</wp:posOffset>
            </wp:positionV>
            <wp:extent cx="7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-1320800</wp:posOffset>
            </wp:positionV>
            <wp:extent cx="76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-1320800</wp:posOffset>
            </wp:positionV>
            <wp:extent cx="76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-1320800</wp:posOffset>
            </wp:positionV>
            <wp:extent cx="76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-1320800</wp:posOffset>
            </wp:positionV>
            <wp:extent cx="76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-1320800</wp:posOffset>
            </wp:positionV>
            <wp:extent cx="7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-1320800</wp:posOffset>
            </wp:positionV>
            <wp:extent cx="7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-1320800</wp:posOffset>
            </wp:positionV>
            <wp:extent cx="7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-1320800</wp:posOffset>
            </wp:positionV>
            <wp:extent cx="7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-1320800</wp:posOffset>
            </wp:positionV>
            <wp:extent cx="7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-1320800</wp:posOffset>
            </wp:positionV>
            <wp:extent cx="76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-1320800</wp:posOffset>
            </wp:positionV>
            <wp:extent cx="7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-1320800</wp:posOffset>
            </wp:positionV>
            <wp:extent cx="7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-1320800</wp:posOffset>
            </wp:positionV>
            <wp:extent cx="7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-1320800</wp:posOffset>
            </wp:positionV>
            <wp:extent cx="7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-1320800</wp:posOffset>
            </wp:positionV>
            <wp:extent cx="7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-1320800</wp:posOffset>
            </wp:positionV>
            <wp:extent cx="76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-1320800</wp:posOffset>
            </wp:positionV>
            <wp:extent cx="7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-1320800</wp:posOffset>
            </wp:positionV>
            <wp:extent cx="76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-1320800</wp:posOffset>
            </wp:positionV>
            <wp:extent cx="762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-1320800</wp:posOffset>
            </wp:positionV>
            <wp:extent cx="76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-1320800</wp:posOffset>
            </wp:positionV>
            <wp:extent cx="762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-1320800</wp:posOffset>
            </wp:positionV>
            <wp:extent cx="76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-1320800</wp:posOffset>
            </wp:positionV>
            <wp:extent cx="762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-1320800</wp:posOffset>
            </wp:positionV>
            <wp:extent cx="76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-1320800</wp:posOffset>
            </wp:positionV>
            <wp:extent cx="76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-1320800</wp:posOffset>
            </wp:positionV>
            <wp:extent cx="76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-1320800</wp:posOffset>
            </wp:positionV>
            <wp:extent cx="762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-1320800</wp:posOffset>
            </wp:positionV>
            <wp:extent cx="76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-1320800</wp:posOffset>
            </wp:positionV>
            <wp:extent cx="762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-1320800</wp:posOffset>
            </wp:positionV>
            <wp:extent cx="76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-1320800</wp:posOffset>
            </wp:positionV>
            <wp:extent cx="76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-1320800</wp:posOffset>
            </wp:positionV>
            <wp:extent cx="76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-1320800</wp:posOffset>
            </wp:positionV>
            <wp:extent cx="762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-1320800</wp:posOffset>
            </wp:positionV>
            <wp:extent cx="76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-1320800</wp:posOffset>
            </wp:positionV>
            <wp:extent cx="762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-1320800</wp:posOffset>
            </wp:positionV>
            <wp:extent cx="76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-1320800</wp:posOffset>
            </wp:positionV>
            <wp:extent cx="762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-1320800</wp:posOffset>
            </wp:positionV>
            <wp:extent cx="76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-1320800</wp:posOffset>
            </wp:positionV>
            <wp:extent cx="76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-1320800</wp:posOffset>
            </wp:positionV>
            <wp:extent cx="76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-1320800</wp:posOffset>
            </wp:positionV>
            <wp:extent cx="76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-1320800</wp:posOffset>
            </wp:positionV>
            <wp:extent cx="7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-1320800</wp:posOffset>
            </wp:positionV>
            <wp:extent cx="762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-1320800</wp:posOffset>
            </wp:positionV>
            <wp:extent cx="76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-1320800</wp:posOffset>
            </wp:positionV>
            <wp:extent cx="76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-1320800</wp:posOffset>
            </wp:positionV>
            <wp:extent cx="76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-1320800</wp:posOffset>
            </wp:positionV>
            <wp:extent cx="76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-1320800</wp:posOffset>
            </wp:positionV>
            <wp:extent cx="76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-1320800</wp:posOffset>
            </wp:positionV>
            <wp:extent cx="762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-1320800</wp:posOffset>
            </wp:positionV>
            <wp:extent cx="76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-1320800</wp:posOffset>
            </wp:positionV>
            <wp:extent cx="762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-1320800</wp:posOffset>
            </wp:positionV>
            <wp:extent cx="76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-1320800</wp:posOffset>
            </wp:positionV>
            <wp:extent cx="762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-1320800</wp:posOffset>
            </wp:positionV>
            <wp:extent cx="7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-1320800</wp:posOffset>
            </wp:positionV>
            <wp:extent cx="7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-1320800</wp:posOffset>
            </wp:positionV>
            <wp:extent cx="76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-1320800</wp:posOffset>
            </wp:positionV>
            <wp:extent cx="76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-1320800</wp:posOffset>
            </wp:positionV>
            <wp:extent cx="76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-1320800</wp:posOffset>
            </wp:positionV>
            <wp:extent cx="76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-1320800</wp:posOffset>
            </wp:positionV>
            <wp:extent cx="76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-1320800</wp:posOffset>
            </wp:positionV>
            <wp:extent cx="762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-1320800</wp:posOffset>
            </wp:positionV>
            <wp:extent cx="76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-1320800</wp:posOffset>
            </wp:positionV>
            <wp:extent cx="76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-1320800</wp:posOffset>
            </wp:positionV>
            <wp:extent cx="76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-1320800</wp:posOffset>
            </wp:positionV>
            <wp:extent cx="762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-1320800</wp:posOffset>
            </wp:positionV>
            <wp:extent cx="76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-1320800</wp:posOffset>
            </wp:positionV>
            <wp:extent cx="762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-1320800</wp:posOffset>
            </wp:positionV>
            <wp:extent cx="76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-1320800</wp:posOffset>
            </wp:positionV>
            <wp:extent cx="76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-1320800</wp:posOffset>
            </wp:positionV>
            <wp:extent cx="76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-1320800</wp:posOffset>
            </wp:positionV>
            <wp:extent cx="762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-1320800</wp:posOffset>
            </wp:positionV>
            <wp:extent cx="76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-1320800</wp:posOffset>
            </wp:positionV>
            <wp:extent cx="7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-1320800</wp:posOffset>
            </wp:positionV>
            <wp:extent cx="76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-1320800</wp:posOffset>
            </wp:positionV>
            <wp:extent cx="76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-1320800</wp:posOffset>
            </wp:positionV>
            <wp:extent cx="7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-1320800</wp:posOffset>
            </wp:positionV>
            <wp:extent cx="76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-1320800</wp:posOffset>
            </wp:positionV>
            <wp:extent cx="76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-1320800</wp:posOffset>
            </wp:positionV>
            <wp:extent cx="762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-1320800</wp:posOffset>
            </wp:positionV>
            <wp:extent cx="76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-1320800</wp:posOffset>
            </wp:positionV>
            <wp:extent cx="76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-1320800</wp:posOffset>
            </wp:positionV>
            <wp:extent cx="7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-1320800</wp:posOffset>
            </wp:positionV>
            <wp:extent cx="76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-1320800</wp:posOffset>
            </wp:positionV>
            <wp:extent cx="7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-1320800</wp:posOffset>
            </wp:positionV>
            <wp:extent cx="7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-1320800</wp:posOffset>
            </wp:positionV>
            <wp:extent cx="7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-1320800</wp:posOffset>
            </wp:positionV>
            <wp:extent cx="76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-1320800</wp:posOffset>
            </wp:positionV>
            <wp:extent cx="7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4691380</wp:posOffset>
            </wp:positionH>
            <wp:positionV relativeFrom="paragraph">
              <wp:posOffset>-1320800</wp:posOffset>
            </wp:positionV>
            <wp:extent cx="76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-1320800</wp:posOffset>
            </wp:positionV>
            <wp:extent cx="76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-1320800</wp:posOffset>
            </wp:positionV>
            <wp:extent cx="76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-1320800</wp:posOffset>
            </wp:positionV>
            <wp:extent cx="762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-1320800</wp:posOffset>
            </wp:positionV>
            <wp:extent cx="762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-1320800</wp:posOffset>
            </wp:positionV>
            <wp:extent cx="762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-1320800</wp:posOffset>
            </wp:positionV>
            <wp:extent cx="762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-1320800</wp:posOffset>
            </wp:positionV>
            <wp:extent cx="762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-1320800</wp:posOffset>
            </wp:positionV>
            <wp:extent cx="762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-1320800</wp:posOffset>
            </wp:positionV>
            <wp:extent cx="76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-1320800</wp:posOffset>
            </wp:positionV>
            <wp:extent cx="76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-1320800</wp:posOffset>
            </wp:positionV>
            <wp:extent cx="762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-1320800</wp:posOffset>
            </wp:positionV>
            <wp:extent cx="76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-1320800</wp:posOffset>
            </wp:positionV>
            <wp:extent cx="762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-1320800</wp:posOffset>
            </wp:positionV>
            <wp:extent cx="76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-1320800</wp:posOffset>
            </wp:positionV>
            <wp:extent cx="762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-1320800</wp:posOffset>
            </wp:positionV>
            <wp:extent cx="76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-1320800</wp:posOffset>
            </wp:positionV>
            <wp:extent cx="76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-1320800</wp:posOffset>
            </wp:positionV>
            <wp:extent cx="76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-1320800</wp:posOffset>
            </wp:positionV>
            <wp:extent cx="762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-1320800</wp:posOffset>
            </wp:positionV>
            <wp:extent cx="76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-1320800</wp:posOffset>
            </wp:positionV>
            <wp:extent cx="762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1946910</wp:posOffset>
            </wp:positionH>
            <wp:positionV relativeFrom="paragraph">
              <wp:posOffset>-1320800</wp:posOffset>
            </wp:positionV>
            <wp:extent cx="76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-1320800</wp:posOffset>
            </wp:positionV>
            <wp:extent cx="762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-1320800</wp:posOffset>
            </wp:positionV>
            <wp:extent cx="76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-1320800</wp:posOffset>
            </wp:positionV>
            <wp:extent cx="762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-1320800</wp:posOffset>
            </wp:positionV>
            <wp:extent cx="76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-1320800</wp:posOffset>
            </wp:positionV>
            <wp:extent cx="76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-1320800</wp:posOffset>
            </wp:positionV>
            <wp:extent cx="76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-1320800</wp:posOffset>
            </wp:positionV>
            <wp:extent cx="762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-1320800</wp:posOffset>
            </wp:positionV>
            <wp:extent cx="76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-1320800</wp:posOffset>
            </wp:positionV>
            <wp:extent cx="76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-1320800</wp:posOffset>
            </wp:positionV>
            <wp:extent cx="76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-1320800</wp:posOffset>
            </wp:positionV>
            <wp:extent cx="762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-1320800</wp:posOffset>
            </wp:positionV>
            <wp:extent cx="762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-1320800</wp:posOffset>
            </wp:positionV>
            <wp:extent cx="762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-1320800</wp:posOffset>
            </wp:positionV>
            <wp:extent cx="76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-1320800</wp:posOffset>
            </wp:positionV>
            <wp:extent cx="762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-1320800</wp:posOffset>
            </wp:positionV>
            <wp:extent cx="762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-1320800</wp:posOffset>
            </wp:positionV>
            <wp:extent cx="76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-1320800</wp:posOffset>
            </wp:positionV>
            <wp:extent cx="762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-1320800</wp:posOffset>
            </wp:positionV>
            <wp:extent cx="762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-1320800</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-1320800</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-1320800</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-1320800</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-1320800</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-1320800</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2332355</wp:posOffset>
            </wp:positionH>
            <wp:positionV relativeFrom="paragraph">
              <wp:posOffset>-1320800</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-1320800</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-1320800</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-1320800</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-1320800</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-1320800</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-1320800</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-1320800</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-1320800</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-1320800</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-1320800</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-1320800</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-1320800</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-1320800</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-1320800</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-1320800</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-1320800</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-1320800</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-1320800</wp:posOffset>
            </wp:positionV>
            <wp:extent cx="762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-1320800</wp:posOffset>
            </wp:positionV>
            <wp:extent cx="762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-1320800</wp:posOffset>
            </wp:positionV>
            <wp:extent cx="762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-1320800</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-1320800</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-1320800</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-1320800</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-1320800</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-1320800</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-1320800</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-1320800</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-1320800</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-1320800</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-1320800</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-1320800</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-1320800</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-1320800</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-1320800</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-1320800</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2881630</wp:posOffset>
            </wp:positionH>
            <wp:positionV relativeFrom="paragraph">
              <wp:posOffset>-1320800</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-1320800</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-1320800</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-1320800</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-1320800</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-1320800</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-1320800</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-1320800</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-1320800</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-1320800</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-1320800</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-1320800</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-1320800</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-1320800</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-1320800</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-1320800</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-1320800</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-1320800</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-1320800</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-1320800</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-1320800</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-1320800</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-1320800</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-1320800</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-1320800</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-1320800</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-1320800</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-1320800</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-1320800</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-1320800</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-1320800</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-1483995</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-1469390</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-1454785</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-1439545</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-1424940</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-1409700</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-1395095</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-1380490</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-1365250</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-1350645</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-1336040</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-1320800</wp:posOffset>
            </wp:positionV>
            <wp:extent cx="7620" cy="146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-1499235</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-1499235</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-1499235</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-1499235</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-1499235</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-1499235</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-1499235</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-1499235</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-1499235</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-1499235</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-1499235</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-1499235</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-1499235</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-1499235</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-1499235</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-1499235</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-1499235</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-1499235</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-1499235</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-1499235</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-1499235</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-1499235</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-1499235</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-1499235</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-1499235</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-1499235</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-1499235</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-1499235</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-1499235</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-1499235</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-1499235</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-1499235</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-1499235</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-1499235</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-1499235</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-1499235</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-1499235</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-1499235</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-1499235</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-1499235</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-1499235</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-1499235</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-1499235</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-1499235</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-1499235</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-1499235</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-1499235</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-1499235</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-1499235</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-1499235</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-1499235</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-1499235</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-1499235</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-1499235</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-1499235</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-1499235</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-1499235</wp:posOffset>
            </wp:positionV>
            <wp:extent cx="762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-1499235</wp:posOffset>
            </wp:positionV>
            <wp:extent cx="762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-1499235</wp:posOffset>
            </wp:positionV>
            <wp:extent cx="762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-1499235</wp:posOffset>
            </wp:positionV>
            <wp:extent cx="76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-1499235</wp:posOffset>
            </wp:positionV>
            <wp:extent cx="76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-1499235</wp:posOffset>
            </wp:positionV>
            <wp:extent cx="76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-1499235</wp:posOffset>
            </wp:positionV>
            <wp:extent cx="762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-1499235</wp:posOffset>
            </wp:positionV>
            <wp:extent cx="76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-1499235</wp:posOffset>
            </wp:positionV>
            <wp:extent cx="76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-1499235</wp:posOffset>
            </wp:positionV>
            <wp:extent cx="762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-1499235</wp:posOffset>
            </wp:positionV>
            <wp:extent cx="76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-1499235</wp:posOffset>
            </wp:positionV>
            <wp:extent cx="762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-1499235</wp:posOffset>
            </wp:positionV>
            <wp:extent cx="762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-1499235</wp:posOffset>
            </wp:positionV>
            <wp:extent cx="762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-1499235</wp:posOffset>
            </wp:positionV>
            <wp:extent cx="762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-1499235</wp:posOffset>
            </wp:positionV>
            <wp:extent cx="762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-1499235</wp:posOffset>
            </wp:positionV>
            <wp:extent cx="76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-1499235</wp:posOffset>
            </wp:positionV>
            <wp:extent cx="762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-1499235</wp:posOffset>
            </wp:positionV>
            <wp:extent cx="762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-1499235</wp:posOffset>
            </wp:positionV>
            <wp:extent cx="762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-1499235</wp:posOffset>
            </wp:positionV>
            <wp:extent cx="762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-1499235</wp:posOffset>
            </wp:positionV>
            <wp:extent cx="762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-1499235</wp:posOffset>
            </wp:positionV>
            <wp:extent cx="762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-1499235</wp:posOffset>
            </wp:positionV>
            <wp:extent cx="76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-1499235</wp:posOffset>
            </wp:positionV>
            <wp:extent cx="762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-1499235</wp:posOffset>
            </wp:positionV>
            <wp:extent cx="762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-1499235</wp:posOffset>
            </wp:positionV>
            <wp:extent cx="762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-1499235</wp:posOffset>
            </wp:positionV>
            <wp:extent cx="762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-1499235</wp:posOffset>
            </wp:positionV>
            <wp:extent cx="76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-1499235</wp:posOffset>
            </wp:positionV>
            <wp:extent cx="76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-1499235</wp:posOffset>
            </wp:positionV>
            <wp:extent cx="76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-1499235</wp:posOffset>
            </wp:positionV>
            <wp:extent cx="76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-1499235</wp:posOffset>
            </wp:positionV>
            <wp:extent cx="76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-1499235</wp:posOffset>
            </wp:positionV>
            <wp:extent cx="76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4691380</wp:posOffset>
            </wp:positionH>
            <wp:positionV relativeFrom="paragraph">
              <wp:posOffset>-1499235</wp:posOffset>
            </wp:positionV>
            <wp:extent cx="76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-1499235</wp:posOffset>
            </wp:positionV>
            <wp:extent cx="76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-1499235</wp:posOffset>
            </wp:positionV>
            <wp:extent cx="76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-1499235</wp:posOffset>
            </wp:positionV>
            <wp:extent cx="76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-1499235</wp:posOffset>
            </wp:positionV>
            <wp:extent cx="76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-1499235</wp:posOffset>
            </wp:positionV>
            <wp:extent cx="76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-1499235</wp:posOffset>
            </wp:positionV>
            <wp:extent cx="76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-1499235</wp:posOffset>
            </wp:positionV>
            <wp:extent cx="762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-1499235</wp:posOffset>
            </wp:positionV>
            <wp:extent cx="762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-1499235</wp:posOffset>
            </wp:positionV>
            <wp:extent cx="762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-1499235</wp:posOffset>
            </wp:positionV>
            <wp:extent cx="76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-1499235</wp:posOffset>
            </wp:positionV>
            <wp:extent cx="762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-1499235</wp:posOffset>
            </wp:positionV>
            <wp:extent cx="762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-1499235</wp:posOffset>
            </wp:positionV>
            <wp:extent cx="762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-1499235</wp:posOffset>
            </wp:positionV>
            <wp:extent cx="762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-2322195</wp:posOffset>
            </wp:positionV>
            <wp:extent cx="3352800" cy="8305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352800" cy="83058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i w:val="1"/>
          <w:iCs w:val="1"/>
          <w:color w:val="FFFFFF"/>
        </w:rPr>
        <w:t>Total Compensation Value Cap of $800,000</w:t>
      </w:r>
      <w:r>
        <w:rPr>
          <w:rFonts w:ascii="Arial" w:cs="Arial" w:eastAsia="Arial" w:hAnsi="Arial"/>
          <w:sz w:val="20"/>
          <w:szCs w:val="20"/>
          <w:i w:val="1"/>
          <w:iCs w:val="1"/>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496252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962525" cy="76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8" w:name="page49"/>
    <w:bookmarkEnd w:id="48"/>
    <w:p>
      <w:pPr>
        <w:ind w:left="147" w:right="360" w:hanging="147"/>
        <w:spacing w:after="0" w:line="263" w:lineRule="auto"/>
        <w:tabs>
          <w:tab w:leader="none" w:pos="106" w:val="left"/>
        </w:tabs>
        <w:numPr>
          <w:ilvl w:val="0"/>
          <w:numId w:val="102"/>
        </w:numPr>
        <w:rPr>
          <w:rFonts w:ascii="Arial" w:cs="Arial" w:eastAsia="Arial" w:hAnsi="Arial"/>
          <w:sz w:val="20"/>
          <w:szCs w:val="20"/>
          <w:color w:val="auto"/>
          <w:vertAlign w:val="superscript"/>
        </w:rPr>
      </w:pPr>
      <w:r>
        <w:rPr>
          <w:rFonts w:ascii="Arial" w:cs="Arial" w:eastAsia="Arial" w:hAnsi="Arial"/>
          <w:sz w:val="16"/>
          <w:szCs w:val="16"/>
          <w:b w:val="1"/>
          <w:bCs w:val="1"/>
          <w:color w:val="auto"/>
        </w:rPr>
        <w:t>Expenses and Ad Hoc Committees</w:t>
      </w:r>
      <w:r>
        <w:rPr>
          <w:rFonts w:ascii="Arial" w:cs="Arial" w:eastAsia="Arial" w:hAnsi="Arial"/>
          <w:sz w:val="16"/>
          <w:szCs w:val="16"/>
          <w:color w:val="auto"/>
        </w:rPr>
        <w:t>. Directors are reimbursed for customary and usual travel expenses in connection with their travel to and from board</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and other company events. Non-employee directors may also receive additional cash compensation for serving on ad hoc committees that may be formed by the board from time to time. Committee chair retainers are in addition to member retainers.</w:t>
      </w:r>
    </w:p>
    <w:p>
      <w:pPr>
        <w:spacing w:after="0" w:line="92" w:lineRule="exact"/>
        <w:rPr>
          <w:sz w:val="20"/>
          <w:szCs w:val="20"/>
          <w:color w:val="auto"/>
        </w:rPr>
      </w:pPr>
    </w:p>
    <w:p>
      <w:pPr>
        <w:ind w:left="147" w:hanging="147"/>
        <w:spacing w:after="0" w:line="263" w:lineRule="auto"/>
        <w:tabs>
          <w:tab w:leader="none" w:pos="106" w:val="left"/>
        </w:tabs>
        <w:numPr>
          <w:ilvl w:val="0"/>
          <w:numId w:val="103"/>
        </w:numPr>
        <w:rPr>
          <w:rFonts w:ascii="Arial" w:cs="Arial" w:eastAsia="Arial" w:hAnsi="Arial"/>
          <w:sz w:val="20"/>
          <w:szCs w:val="20"/>
          <w:color w:val="auto"/>
          <w:vertAlign w:val="superscript"/>
        </w:rPr>
      </w:pPr>
      <w:r>
        <w:rPr>
          <w:rFonts w:ascii="Arial" w:cs="Arial" w:eastAsia="Arial" w:hAnsi="Arial"/>
          <w:sz w:val="16"/>
          <w:szCs w:val="16"/>
          <w:b w:val="1"/>
          <w:bCs w:val="1"/>
          <w:color w:val="auto"/>
        </w:rPr>
        <w:t>Changes for 2023</w:t>
      </w:r>
      <w:r>
        <w:rPr>
          <w:rFonts w:ascii="Arial" w:cs="Arial" w:eastAsia="Arial" w:hAnsi="Arial"/>
          <w:sz w:val="16"/>
          <w:szCs w:val="16"/>
          <w:color w:val="auto"/>
        </w:rPr>
        <w:t>. Following the Directors and Corporate Governance Committee’s in-depth review of non-employee director compensation (as further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above) related to 2023 non-employee director compensation, the board approved increases to the annual equity grant, lead independent director retainer and audit committee chair retainer, effective January 1, 2023.</w:t>
      </w:r>
    </w:p>
    <w:p>
      <w:pPr>
        <w:spacing w:after="0" w:line="34" w:lineRule="exact"/>
        <w:rPr>
          <w:sz w:val="20"/>
          <w:szCs w:val="20"/>
          <w:color w:val="auto"/>
        </w:rPr>
      </w:pPr>
    </w:p>
    <w:p>
      <w:pPr>
        <w:ind w:left="147" w:hanging="147"/>
        <w:spacing w:after="0" w:line="271" w:lineRule="auto"/>
        <w:tabs>
          <w:tab w:leader="none" w:pos="106" w:val="left"/>
        </w:tabs>
        <w:numPr>
          <w:ilvl w:val="0"/>
          <w:numId w:val="104"/>
        </w:numPr>
        <w:rPr>
          <w:rFonts w:ascii="Arial" w:cs="Arial" w:eastAsia="Arial" w:hAnsi="Arial"/>
          <w:sz w:val="20"/>
          <w:szCs w:val="20"/>
          <w:color w:val="auto"/>
          <w:vertAlign w:val="superscript"/>
        </w:rPr>
      </w:pPr>
      <w:r>
        <w:rPr>
          <w:rFonts w:ascii="Arial" w:cs="Arial" w:eastAsia="Arial" w:hAnsi="Arial"/>
          <w:sz w:val="16"/>
          <w:szCs w:val="16"/>
          <w:b w:val="1"/>
          <w:bCs w:val="1"/>
          <w:color w:val="auto"/>
        </w:rPr>
        <w:t>Stock Compensation</w:t>
      </w:r>
      <w:r>
        <w:rPr>
          <w:rFonts w:ascii="Arial" w:cs="Arial" w:eastAsia="Arial" w:hAnsi="Arial"/>
          <w:sz w:val="16"/>
          <w:szCs w:val="16"/>
          <w:color w:val="auto"/>
        </w:rPr>
        <w:t>. Non-employee directors received an annual equity-based award that was credited to each non-employee director’s deferred stock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under the Lilly Directors’ Deferral Plan as a number of units calculated by dividing $180,000 by the closing stock price on a pre-set annual date (approximately 498 units). When applicable, the annual equity-based award is prorated for time served. See “</w:t>
      </w:r>
      <w:r>
        <w:rPr>
          <w:rFonts w:ascii="Arial" w:cs="Arial" w:eastAsia="Arial" w:hAnsi="Arial"/>
          <w:sz w:val="16"/>
          <w:szCs w:val="16"/>
          <w:u w:val="single" w:color="auto"/>
          <w:color w:val="0000FF"/>
        </w:rPr>
        <w:t>Lilly Directors’ Deferral Plan—Deferred Stock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Account</w:t>
      </w:r>
      <w:r>
        <w:rPr>
          <w:rFonts w:ascii="Arial" w:cs="Arial" w:eastAsia="Arial" w:hAnsi="Arial"/>
          <w:sz w:val="16"/>
          <w:szCs w:val="16"/>
          <w:color w:val="000000"/>
        </w:rPr>
        <w:t>”.</w:t>
      </w:r>
    </w:p>
    <w:p>
      <w:pPr>
        <w:spacing w:after="0" w:line="28" w:lineRule="exact"/>
        <w:rPr>
          <w:sz w:val="20"/>
          <w:szCs w:val="20"/>
          <w:color w:val="auto"/>
        </w:rPr>
      </w:pPr>
    </w:p>
    <w:p>
      <w:pPr>
        <w:jc w:val="both"/>
        <w:ind w:left="147" w:hanging="147"/>
        <w:spacing w:after="0" w:line="263" w:lineRule="auto"/>
        <w:tabs>
          <w:tab w:leader="none" w:pos="91" w:val="left"/>
        </w:tabs>
        <w:numPr>
          <w:ilvl w:val="0"/>
          <w:numId w:val="105"/>
        </w:numPr>
        <w:rPr>
          <w:rFonts w:ascii="Arial" w:cs="Arial" w:eastAsia="Arial" w:hAnsi="Arial"/>
          <w:sz w:val="20"/>
          <w:szCs w:val="20"/>
          <w:color w:val="auto"/>
          <w:vertAlign w:val="superscript"/>
        </w:rPr>
      </w:pPr>
      <w:r>
        <w:rPr>
          <w:rFonts w:ascii="Arial" w:cs="Arial" w:eastAsia="Arial" w:hAnsi="Arial"/>
          <w:sz w:val="16"/>
          <w:szCs w:val="16"/>
          <w:b w:val="1"/>
          <w:bCs w:val="1"/>
          <w:color w:val="auto"/>
        </w:rPr>
        <w:t>Annual Compensation Cap for Directors</w:t>
      </w:r>
      <w:r>
        <w:rPr>
          <w:rFonts w:ascii="Arial" w:cs="Arial" w:eastAsia="Arial" w:hAnsi="Arial"/>
          <w:sz w:val="16"/>
          <w:szCs w:val="16"/>
          <w:color w:val="auto"/>
        </w:rPr>
        <w:t>. In 2018, the board approved an annual cap to the total annual compensation (cash and equity 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52B1E"/>
        </w:rPr>
        <w:t>Share Ownership Guidelines</w:t>
      </w:r>
    </w:p>
    <w:p>
      <w:pPr>
        <w:spacing w:after="0" w:line="66" w:lineRule="exact"/>
        <w:rPr>
          <w:sz w:val="20"/>
          <w:szCs w:val="20"/>
          <w:color w:val="auto"/>
        </w:rPr>
      </w:pPr>
    </w:p>
    <w:p>
      <w:pPr>
        <w:ind w:left="7" w:right="100"/>
        <w:spacing w:after="0" w:line="252" w:lineRule="auto"/>
        <w:rPr>
          <w:sz w:val="20"/>
          <w:szCs w:val="20"/>
          <w:color w:val="auto"/>
        </w:rPr>
      </w:pPr>
      <w:r>
        <w:rPr>
          <w:rFonts w:ascii="Arial" w:cs="Arial" w:eastAsia="Arial" w:hAnsi="Arial"/>
          <w:sz w:val="16"/>
          <w:szCs w:val="16"/>
          <w:color w:val="auto"/>
        </w:rPr>
        <w:t>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the required ownership level. All non-employee directors serving at least five years have satisfied these guidelines. All other non-employee directors are, or in the case of recently elected directors, are expected to begin, making progress toward these requirements.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52B1E"/>
        </w:rPr>
        <w:t>Lilly Directors’ Deferral Plan</w:t>
      </w:r>
    </w:p>
    <w:p>
      <w:pPr>
        <w:spacing w:after="0" w:line="54" w:lineRule="exact"/>
        <w:rPr>
          <w:sz w:val="20"/>
          <w:szCs w:val="20"/>
          <w:color w:val="auto"/>
        </w:rPr>
      </w:pPr>
    </w:p>
    <w:p>
      <w:pPr>
        <w:jc w:val="both"/>
        <w:ind w:left="7" w:right="20"/>
        <w:spacing w:after="0" w:line="257" w:lineRule="auto"/>
        <w:rPr>
          <w:sz w:val="20"/>
          <w:szCs w:val="20"/>
          <w:color w:val="auto"/>
        </w:rPr>
      </w:pPr>
      <w:r>
        <w:rPr>
          <w:rFonts w:ascii="Arial" w:cs="Arial" w:eastAsia="Arial" w:hAnsi="Arial"/>
          <w:sz w:val="16"/>
          <w:szCs w:val="16"/>
          <w:color w:val="auto"/>
        </w:rPr>
        <w:t>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amounts deferred in one or both of the following two accounts:</w:t>
      </w:r>
    </w:p>
    <w:p>
      <w:pPr>
        <w:spacing w:after="0" w:line="143" w:lineRule="exact"/>
        <w:rPr>
          <w:sz w:val="20"/>
          <w:szCs w:val="20"/>
          <w:color w:val="auto"/>
        </w:rPr>
      </w:pPr>
    </w:p>
    <w:p>
      <w:pPr>
        <w:ind w:left="567" w:right="140" w:hanging="286"/>
        <w:spacing w:after="0" w:line="249" w:lineRule="auto"/>
        <w:tabs>
          <w:tab w:leader="none" w:pos="557" w:val="left"/>
        </w:tabs>
        <w:numPr>
          <w:ilvl w:val="0"/>
          <w:numId w:val="106"/>
        </w:numPr>
        <w:rPr>
          <w:rFonts w:ascii="Arial" w:cs="Arial" w:eastAsia="Arial" w:hAnsi="Arial"/>
          <w:sz w:val="14"/>
          <w:szCs w:val="14"/>
          <w:b w:val="1"/>
          <w:bCs w:val="1"/>
          <w:color w:val="00A1DE"/>
        </w:rPr>
      </w:pPr>
      <w:r>
        <w:rPr>
          <w:rFonts w:ascii="Arial" w:cs="Arial" w:eastAsia="Arial" w:hAnsi="Arial"/>
          <w:sz w:val="16"/>
          <w:szCs w:val="16"/>
          <w:b w:val="1"/>
          <w:bCs w:val="1"/>
          <w:color w:val="00A1DE"/>
        </w:rPr>
        <w:t xml:space="preserve">Deferred Stock Account. </w:t>
      </w:r>
      <w:r>
        <w:rPr>
          <w:rFonts w:ascii="Arial" w:cs="Arial" w:eastAsia="Arial" w:hAnsi="Arial"/>
          <w:sz w:val="16"/>
          <w:szCs w:val="16"/>
          <w:color w:val="000000"/>
        </w:rPr>
        <w:t>This account allows the non-employee director, in effect, to invest his or her deferred cash compensation in company stock.</w:t>
      </w:r>
      <w:r>
        <w:rPr>
          <w:rFonts w:ascii="Arial" w:cs="Arial" w:eastAsia="Arial" w:hAnsi="Arial"/>
          <w:sz w:val="16"/>
          <w:szCs w:val="16"/>
          <w:b w:val="1"/>
          <w:bCs w:val="1"/>
          <w:color w:val="00A1DE"/>
        </w:rPr>
        <w:t xml:space="preserve"> </w:t>
      </w:r>
      <w:r>
        <w:rPr>
          <w:rFonts w:ascii="Arial" w:cs="Arial" w:eastAsia="Arial" w:hAnsi="Arial"/>
          <w:sz w:val="16"/>
          <w:szCs w:val="16"/>
          <w:color w:val="000000"/>
        </w:rPr>
        <w:t>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issuable to the non-employee director as shares of company stock commencing on the second January following the director’s departure from board service (either in a lump sum or installments as described below). The deferral stock account is the same account where the annual equity awards for board service are credited using the same conversion timing and procedure.</w:t>
      </w:r>
    </w:p>
    <w:p>
      <w:pPr>
        <w:spacing w:after="0" w:line="116" w:lineRule="exact"/>
        <w:rPr>
          <w:rFonts w:ascii="Arial" w:cs="Arial" w:eastAsia="Arial" w:hAnsi="Arial"/>
          <w:sz w:val="14"/>
          <w:szCs w:val="14"/>
          <w:b w:val="1"/>
          <w:bCs w:val="1"/>
          <w:color w:val="00A1DE"/>
        </w:rPr>
      </w:pPr>
    </w:p>
    <w:p>
      <w:pPr>
        <w:ind w:left="567" w:right="80" w:hanging="286"/>
        <w:spacing w:after="0" w:line="253" w:lineRule="auto"/>
        <w:tabs>
          <w:tab w:leader="none" w:pos="557" w:val="left"/>
        </w:tabs>
        <w:numPr>
          <w:ilvl w:val="0"/>
          <w:numId w:val="106"/>
        </w:numPr>
        <w:rPr>
          <w:rFonts w:ascii="Arial" w:cs="Arial" w:eastAsia="Arial" w:hAnsi="Arial"/>
          <w:sz w:val="14"/>
          <w:szCs w:val="14"/>
          <w:b w:val="1"/>
          <w:bCs w:val="1"/>
          <w:color w:val="00A1DE"/>
        </w:rPr>
      </w:pPr>
      <w:r>
        <w:rPr>
          <w:rFonts w:ascii="Arial" w:cs="Arial" w:eastAsia="Arial" w:hAnsi="Arial"/>
          <w:sz w:val="16"/>
          <w:szCs w:val="16"/>
          <w:b w:val="1"/>
          <w:bCs w:val="1"/>
          <w:color w:val="00A1DE"/>
        </w:rPr>
        <w:t xml:space="preserve">Deferred Compensation Account. </w:t>
      </w:r>
      <w:r>
        <w:rPr>
          <w:rFonts w:ascii="Arial" w:cs="Arial" w:eastAsia="Arial" w:hAnsi="Arial"/>
          <w:sz w:val="16"/>
          <w:szCs w:val="16"/>
          <w:color w:val="000000"/>
        </w:rPr>
        <w:t>Deferred cash compensation in this account earns interest each year at a rate of 120 percent of the applicable federal</w:t>
      </w:r>
      <w:r>
        <w:rPr>
          <w:rFonts w:ascii="Arial" w:cs="Arial" w:eastAsia="Arial" w:hAnsi="Arial"/>
          <w:sz w:val="16"/>
          <w:szCs w:val="16"/>
          <w:b w:val="1"/>
          <w:bCs w:val="1"/>
          <w:color w:val="00A1DE"/>
        </w:rPr>
        <w:t xml:space="preserve"> </w:t>
      </w:r>
      <w:r>
        <w:rPr>
          <w:rFonts w:ascii="Arial" w:cs="Arial" w:eastAsia="Arial" w:hAnsi="Arial"/>
          <w:sz w:val="16"/>
          <w:szCs w:val="16"/>
          <w:color w:val="000000"/>
        </w:rPr>
        <w:t>long-term rate, compounded monthly, as established the preceding December by the U.S. Treasury Department under Section 1274(d) of the Internal Revenue Code of 1986 (the Internal Revenue Code). The aggregate amount of interest that accrued in 2022 for the participating directors was $91,920, at a rate of 2.3 percent. The rate for 2023 is 5.1 percent.</w:t>
      </w:r>
    </w:p>
    <w:p>
      <w:pPr>
        <w:spacing w:after="0" w:line="114" w:lineRule="exact"/>
        <w:rPr>
          <w:sz w:val="20"/>
          <w:szCs w:val="20"/>
          <w:color w:val="auto"/>
        </w:rPr>
      </w:pPr>
    </w:p>
    <w:p>
      <w:pPr>
        <w:ind w:left="7" w:right="360"/>
        <w:spacing w:after="0" w:line="344" w:lineRule="auto"/>
        <w:rPr>
          <w:sz w:val="20"/>
          <w:szCs w:val="20"/>
          <w:color w:val="auto"/>
        </w:rPr>
      </w:pPr>
      <w:r>
        <w:rPr>
          <w:rFonts w:ascii="Arial" w:cs="Arial" w:eastAsia="Arial" w:hAnsi="Arial"/>
          <w:sz w:val="14"/>
          <w:szCs w:val="14"/>
          <w:color w:val="auto"/>
        </w:rPr>
        <w:t>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200" w:lineRule="exact"/>
        <w:rPr>
          <w:sz w:val="20"/>
          <w:szCs w:val="20"/>
          <w:color w:val="auto"/>
        </w:rPr>
      </w:pPr>
    </w:p>
    <w:p>
      <w:pPr>
        <w:spacing w:after="0" w:line="20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742" w:right="339" w:bottom="1440" w:gutter="0" w:footer="0" w:header="0"/>
        </w:sectPr>
      </w:pPr>
    </w:p>
    <w:bookmarkStart w:id="49" w:name="page50"/>
    <w:bookmarkEnd w:id="49"/>
    <w:p>
      <w:pPr>
        <w:ind w:left="7"/>
        <w:spacing w:after="0"/>
        <w:rPr>
          <w:sz w:val="20"/>
          <w:szCs w:val="20"/>
          <w:color w:val="auto"/>
        </w:rPr>
      </w:pPr>
      <w:r>
        <w:rPr>
          <w:rFonts w:ascii="Arial" w:cs="Arial" w:eastAsia="Arial" w:hAnsi="Arial"/>
          <w:sz w:val="17"/>
          <w:szCs w:val="17"/>
          <w:b w:val="1"/>
          <w:bCs w:val="1"/>
          <w:color w:val="D52B1E"/>
        </w:rPr>
        <w:t>2022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491045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910455" cy="7620"/>
                    </a:xfrm>
                    <a:prstGeom prst="rect">
                      <a:avLst/>
                    </a:prstGeom>
                    <a:noFill/>
                  </pic:spPr>
                </pic:pic>
              </a:graphicData>
            </a:graphic>
          </wp:anchor>
        </w:drawing>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19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Fees Earned</w:t>
            </w:r>
          </w:p>
        </w:tc>
        <w:tc>
          <w:tcPr>
            <w:tcW w:w="1400" w:type="dxa"/>
            <w:vAlign w:val="bottom"/>
          </w:tcPr>
          <w:p>
            <w:pPr>
              <w:spacing w:after="0"/>
              <w:rPr>
                <w:sz w:val="15"/>
                <w:szCs w:val="15"/>
                <w:color w:val="auto"/>
              </w:rPr>
            </w:pPr>
          </w:p>
        </w:tc>
        <w:tc>
          <w:tcPr>
            <w:tcW w:w="1580" w:type="dxa"/>
            <w:vAlign w:val="bottom"/>
          </w:tcPr>
          <w:p>
            <w:pPr>
              <w:jc w:val="center"/>
              <w:ind w:right="9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jc w:val="center"/>
              <w:ind w:right="9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or Paid in Cash ($)</w:t>
            </w:r>
          </w:p>
        </w:tc>
        <w:tc>
          <w:tcPr>
            <w:tcW w:w="1400" w:type="dxa"/>
            <w:vAlign w:val="bottom"/>
            <w:tcBorders>
              <w:bottom w:val="single" w:sz="8" w:color="auto"/>
            </w:tcBorders>
          </w:tcPr>
          <w:p>
            <w:pPr>
              <w:jc w:val="right"/>
              <w:ind w:right="70"/>
              <w:spacing w:after="0" w:line="200" w:lineRule="exact"/>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580" w:type="dxa"/>
            <w:vAlign w:val="bottom"/>
            <w:tcBorders>
              <w:bottom w:val="single" w:sz="8" w:color="auto"/>
            </w:tcBorders>
          </w:tcPr>
          <w:p>
            <w:pPr>
              <w:jc w:val="center"/>
              <w:ind w:right="50"/>
              <w:spacing w:after="0" w:line="200" w:lineRule="exact"/>
              <w:rPr>
                <w:sz w:val="20"/>
                <w:szCs w:val="20"/>
                <w:color w:val="auto"/>
              </w:rPr>
            </w:pPr>
            <w:r>
              <w:rPr>
                <w:rFonts w:ascii="Arial" w:cs="Arial" w:eastAsia="Arial" w:hAnsi="Arial"/>
                <w:sz w:val="14"/>
                <w:szCs w:val="14"/>
                <w:b w:val="1"/>
                <w:bCs w:val="1"/>
                <w:color w:val="auto"/>
                <w:w w:val="99"/>
              </w:rPr>
              <w:t>and Payments ($)</w:t>
            </w:r>
            <w:r>
              <w:rPr>
                <w:rFonts w:ascii="Arial" w:cs="Arial" w:eastAsia="Arial" w:hAnsi="Arial"/>
                <w:sz w:val="18"/>
                <w:szCs w:val="18"/>
                <w:b w:val="1"/>
                <w:bCs w:val="1"/>
                <w:color w:val="auto"/>
                <w:w w:val="99"/>
                <w:vertAlign w:val="superscript"/>
              </w:rPr>
              <w:t>2</w:t>
            </w:r>
          </w:p>
        </w:tc>
        <w:tc>
          <w:tcPr>
            <w:tcW w:w="114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4"/>
                <w:szCs w:val="14"/>
                <w:b w:val="1"/>
                <w:bCs w:val="1"/>
                <w:color w:val="auto"/>
              </w:rPr>
              <w:t>Total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2"/>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Mr. Alvarez</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$136,000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$316,000</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Dr. Baicker</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$136,000</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tcPr>
          <w:p>
            <w:pPr>
              <w:ind w:left="260"/>
              <w:spacing w:after="0"/>
              <w:rPr>
                <w:sz w:val="20"/>
                <w:szCs w:val="20"/>
                <w:color w:val="auto"/>
              </w:rPr>
            </w:pPr>
            <w:r>
              <w:rPr>
                <w:rFonts w:ascii="Arial" w:cs="Arial" w:eastAsia="Arial" w:hAnsi="Arial"/>
                <w:sz w:val="14"/>
                <w:szCs w:val="14"/>
                <w:color w:val="auto"/>
              </w:rPr>
              <w:t>$316,000</w:t>
            </w:r>
          </w:p>
        </w:tc>
        <w:tc>
          <w:tcPr>
            <w:tcW w:w="0" w:type="dxa"/>
            <w:vAlign w:val="bottom"/>
          </w:tcPr>
          <w:p>
            <w:pPr>
              <w:spacing w:after="0"/>
              <w:rPr>
                <w:sz w:val="1"/>
                <w:szCs w:val="1"/>
                <w:color w:val="auto"/>
              </w:rPr>
            </w:pPr>
          </w:p>
        </w:tc>
      </w:tr>
      <w:tr>
        <w:trPr>
          <w:trHeight w:val="229"/>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Mr. Fyrwald</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$119,000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$24,882</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$323,882</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Dr. Hedley</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$74,855</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$120,000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tcPr>
          <w:p>
            <w:pPr>
              <w:ind w:left="260"/>
              <w:spacing w:after="0"/>
              <w:rPr>
                <w:sz w:val="20"/>
                <w:szCs w:val="20"/>
                <w:color w:val="auto"/>
              </w:rPr>
            </w:pPr>
            <w:r>
              <w:rPr>
                <w:rFonts w:ascii="Arial" w:cs="Arial" w:eastAsia="Arial" w:hAnsi="Arial"/>
                <w:sz w:val="14"/>
                <w:szCs w:val="14"/>
                <w:color w:val="auto"/>
              </w:rPr>
              <w:t>$194,855</w:t>
            </w:r>
          </w:p>
        </w:tc>
        <w:tc>
          <w:tcPr>
            <w:tcW w:w="0" w:type="dxa"/>
            <w:vAlign w:val="bottom"/>
          </w:tcPr>
          <w:p>
            <w:pPr>
              <w:spacing w:after="0"/>
              <w:rPr>
                <w:sz w:val="1"/>
                <w:szCs w:val="1"/>
                <w:color w:val="auto"/>
              </w:rPr>
            </w:pPr>
          </w:p>
        </w:tc>
      </w:tr>
      <w:tr>
        <w:trPr>
          <w:trHeight w:val="229"/>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Mr. Jackson</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$141,000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$321,000</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Ms. Johnson</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$116,000</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tcPr>
          <w:p>
            <w:pPr>
              <w:ind w:left="260"/>
              <w:spacing w:after="0"/>
              <w:rPr>
                <w:sz w:val="20"/>
                <w:szCs w:val="20"/>
                <w:color w:val="auto"/>
              </w:rPr>
            </w:pPr>
            <w:r>
              <w:rPr>
                <w:rFonts w:ascii="Arial" w:cs="Arial" w:eastAsia="Arial" w:hAnsi="Arial"/>
                <w:sz w:val="14"/>
                <w:szCs w:val="14"/>
                <w:color w:val="auto"/>
              </w:rPr>
              <w:t>$296,000</w:t>
            </w:r>
          </w:p>
        </w:tc>
        <w:tc>
          <w:tcPr>
            <w:tcW w:w="0" w:type="dxa"/>
            <w:vAlign w:val="bottom"/>
          </w:tcPr>
          <w:p>
            <w:pPr>
              <w:spacing w:after="0"/>
              <w:rPr>
                <w:sz w:val="1"/>
                <w:szCs w:val="1"/>
                <w:color w:val="auto"/>
              </w:rPr>
            </w:pPr>
          </w:p>
        </w:tc>
      </w:tr>
      <w:tr>
        <w:trPr>
          <w:trHeight w:val="229"/>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Dr. Kaelin</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$137,000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$9,500</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$326,500</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Mr. Luciano</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$162,288</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tcPr>
          <w:p>
            <w:pPr>
              <w:ind w:left="260"/>
              <w:spacing w:after="0"/>
              <w:rPr>
                <w:sz w:val="20"/>
                <w:szCs w:val="20"/>
                <w:color w:val="auto"/>
              </w:rPr>
            </w:pPr>
            <w:r>
              <w:rPr>
                <w:rFonts w:ascii="Arial" w:cs="Arial" w:eastAsia="Arial" w:hAnsi="Arial"/>
                <w:sz w:val="14"/>
                <w:szCs w:val="14"/>
                <w:color w:val="auto"/>
              </w:rPr>
              <w:t>$342,288</w:t>
            </w:r>
          </w:p>
        </w:tc>
        <w:tc>
          <w:tcPr>
            <w:tcW w:w="0" w:type="dxa"/>
            <w:vAlign w:val="bottom"/>
          </w:tcPr>
          <w:p>
            <w:pPr>
              <w:spacing w:after="0"/>
              <w:rPr>
                <w:sz w:val="1"/>
                <w:szCs w:val="1"/>
                <w:color w:val="auto"/>
              </w:rPr>
            </w:pPr>
          </w:p>
        </w:tc>
      </w:tr>
      <w:tr>
        <w:trPr>
          <w:trHeight w:val="229"/>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Dr. Runge</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$119,000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$299,000</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4"/>
                <w:szCs w:val="14"/>
                <w:color w:val="auto"/>
              </w:rPr>
              <w:t>Ms. Sulzberger</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$119,000</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$0</w:t>
            </w:r>
          </w:p>
        </w:tc>
        <w:tc>
          <w:tcPr>
            <w:tcW w:w="1140" w:type="dxa"/>
            <w:vAlign w:val="bottom"/>
          </w:tcPr>
          <w:p>
            <w:pPr>
              <w:ind w:left="260"/>
              <w:spacing w:after="0"/>
              <w:rPr>
                <w:sz w:val="20"/>
                <w:szCs w:val="20"/>
                <w:color w:val="auto"/>
              </w:rPr>
            </w:pPr>
            <w:r>
              <w:rPr>
                <w:rFonts w:ascii="Arial" w:cs="Arial" w:eastAsia="Arial" w:hAnsi="Arial"/>
                <w:sz w:val="14"/>
                <w:szCs w:val="14"/>
                <w:color w:val="auto"/>
              </w:rPr>
              <w:t>$299,000</w:t>
            </w:r>
          </w:p>
        </w:tc>
        <w:tc>
          <w:tcPr>
            <w:tcW w:w="0" w:type="dxa"/>
            <w:vAlign w:val="bottom"/>
          </w:tcPr>
          <w:p>
            <w:pPr>
              <w:spacing w:after="0"/>
              <w:rPr>
                <w:sz w:val="1"/>
                <w:szCs w:val="1"/>
                <w:color w:val="auto"/>
              </w:rPr>
            </w:pPr>
          </w:p>
        </w:tc>
      </w:tr>
      <w:tr>
        <w:trPr>
          <w:trHeight w:val="229"/>
        </w:trPr>
        <w:tc>
          <w:tcPr>
            <w:tcW w:w="1700" w:type="dxa"/>
            <w:vAlign w:val="bottom"/>
            <w:shd w:val="clear" w:color="auto" w:fill="F2F2F2"/>
          </w:tcPr>
          <w:p>
            <w:pPr>
              <w:spacing w:after="0"/>
              <w:rPr>
                <w:sz w:val="20"/>
                <w:szCs w:val="20"/>
                <w:color w:val="auto"/>
              </w:rPr>
            </w:pPr>
            <w:r>
              <w:rPr>
                <w:rFonts w:ascii="Arial" w:cs="Arial" w:eastAsia="Arial" w:hAnsi="Arial"/>
                <w:sz w:val="14"/>
                <w:szCs w:val="14"/>
                <w:color w:val="auto"/>
              </w:rPr>
              <w:t>Mr. Tai</w:t>
            </w:r>
          </w:p>
        </w:tc>
        <w:tc>
          <w:tcPr>
            <w:tcW w:w="1900" w:type="dxa"/>
            <w:vAlign w:val="bottom"/>
            <w:shd w:val="clear" w:color="auto" w:fill="F2F2F2"/>
          </w:tcPr>
          <w:p>
            <w:pPr>
              <w:jc w:val="right"/>
              <w:ind w:right="290"/>
              <w:spacing w:after="0"/>
              <w:rPr>
                <w:sz w:val="20"/>
                <w:szCs w:val="20"/>
                <w:color w:val="auto"/>
              </w:rPr>
            </w:pPr>
            <w:r>
              <w:rPr>
                <w:rFonts w:ascii="Arial" w:cs="Arial" w:eastAsia="Arial" w:hAnsi="Arial"/>
                <w:sz w:val="14"/>
                <w:szCs w:val="14"/>
                <w:color w:val="auto"/>
              </w:rPr>
              <w:t>$119,000</w:t>
            </w:r>
          </w:p>
        </w:tc>
        <w:tc>
          <w:tcPr>
            <w:tcW w:w="1400" w:type="dxa"/>
            <w:vAlign w:val="bottom"/>
            <w:shd w:val="clear" w:color="auto" w:fill="F2F2F2"/>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shd w:val="clear" w:color="auto" w:fill="F2F2F2"/>
          </w:tcPr>
          <w:p>
            <w:pPr>
              <w:jc w:val="right"/>
              <w:ind w:right="330"/>
              <w:spacing w:after="0"/>
              <w:rPr>
                <w:sz w:val="20"/>
                <w:szCs w:val="20"/>
                <w:color w:val="auto"/>
              </w:rPr>
            </w:pPr>
            <w:r>
              <w:rPr>
                <w:rFonts w:ascii="Arial" w:cs="Arial" w:eastAsia="Arial" w:hAnsi="Arial"/>
                <w:sz w:val="14"/>
                <w:szCs w:val="14"/>
                <w:color w:val="auto"/>
              </w:rPr>
              <w:t>$30,000</w:t>
            </w:r>
          </w:p>
        </w:tc>
        <w:tc>
          <w:tcPr>
            <w:tcW w:w="1140" w:type="dxa"/>
            <w:vAlign w:val="bottom"/>
            <w:shd w:val="clear" w:color="auto" w:fill="F2F2F2"/>
          </w:tcPr>
          <w:p>
            <w:pPr>
              <w:ind w:left="260"/>
              <w:spacing w:after="0"/>
              <w:rPr>
                <w:sz w:val="20"/>
                <w:szCs w:val="20"/>
                <w:color w:val="auto"/>
              </w:rPr>
            </w:pPr>
            <w:r>
              <w:rPr>
                <w:rFonts w:ascii="Arial" w:cs="Arial" w:eastAsia="Arial" w:hAnsi="Arial"/>
                <w:sz w:val="14"/>
                <w:szCs w:val="14"/>
                <w:color w:val="auto"/>
              </w:rPr>
              <w:t>$329,000</w:t>
            </w:r>
          </w:p>
        </w:tc>
        <w:tc>
          <w:tcPr>
            <w:tcW w:w="0" w:type="dxa"/>
            <w:vAlign w:val="bottom"/>
          </w:tcPr>
          <w:p>
            <w:pPr>
              <w:spacing w:after="0"/>
              <w:rPr>
                <w:sz w:val="1"/>
                <w:szCs w:val="1"/>
                <w:color w:val="auto"/>
              </w:rPr>
            </w:pPr>
          </w:p>
        </w:tc>
      </w:tr>
      <w:tr>
        <w:trPr>
          <w:trHeight w:val="208"/>
        </w:trPr>
        <w:tc>
          <w:tcPr>
            <w:tcW w:w="1700" w:type="dxa"/>
            <w:vAlign w:val="bottom"/>
          </w:tcPr>
          <w:p>
            <w:pPr>
              <w:spacing w:after="0"/>
              <w:rPr>
                <w:sz w:val="20"/>
                <w:szCs w:val="20"/>
                <w:color w:val="auto"/>
              </w:rPr>
            </w:pPr>
            <w:r>
              <w:rPr>
                <w:rFonts w:ascii="Arial" w:cs="Arial" w:eastAsia="Arial" w:hAnsi="Arial"/>
                <w:sz w:val="14"/>
                <w:szCs w:val="14"/>
                <w:color w:val="auto"/>
              </w:rPr>
              <w:t>Ms. Walker</w:t>
            </w:r>
          </w:p>
        </w:tc>
        <w:tc>
          <w:tcPr>
            <w:tcW w:w="1900" w:type="dxa"/>
            <w:vAlign w:val="bottom"/>
          </w:tcPr>
          <w:p>
            <w:pPr>
              <w:jc w:val="right"/>
              <w:ind w:right="290"/>
              <w:spacing w:after="0"/>
              <w:rPr>
                <w:sz w:val="20"/>
                <w:szCs w:val="20"/>
                <w:color w:val="auto"/>
              </w:rPr>
            </w:pPr>
            <w:r>
              <w:rPr>
                <w:rFonts w:ascii="Arial" w:cs="Arial" w:eastAsia="Arial" w:hAnsi="Arial"/>
                <w:sz w:val="14"/>
                <w:szCs w:val="14"/>
                <w:color w:val="auto"/>
              </w:rPr>
              <w:t>$119,000</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$180,000</w:t>
            </w:r>
          </w:p>
        </w:tc>
        <w:tc>
          <w:tcPr>
            <w:tcW w:w="1580" w:type="dxa"/>
            <w:vAlign w:val="bottom"/>
          </w:tcPr>
          <w:p>
            <w:pPr>
              <w:jc w:val="right"/>
              <w:ind w:right="330"/>
              <w:spacing w:after="0"/>
              <w:rPr>
                <w:sz w:val="20"/>
                <w:szCs w:val="20"/>
                <w:color w:val="auto"/>
              </w:rPr>
            </w:pPr>
            <w:r>
              <w:rPr>
                <w:rFonts w:ascii="Arial" w:cs="Arial" w:eastAsia="Arial" w:hAnsi="Arial"/>
                <w:sz w:val="14"/>
                <w:szCs w:val="14"/>
                <w:color w:val="auto"/>
              </w:rPr>
              <w:t>$20,000</w:t>
            </w:r>
          </w:p>
        </w:tc>
        <w:tc>
          <w:tcPr>
            <w:tcW w:w="1140" w:type="dxa"/>
            <w:vAlign w:val="bottom"/>
          </w:tcPr>
          <w:p>
            <w:pPr>
              <w:ind w:left="260"/>
              <w:spacing w:after="0"/>
              <w:rPr>
                <w:sz w:val="20"/>
                <w:szCs w:val="20"/>
                <w:color w:val="auto"/>
              </w:rPr>
            </w:pPr>
            <w:r>
              <w:rPr>
                <w:rFonts w:ascii="Arial" w:cs="Arial" w:eastAsia="Arial" w:hAnsi="Arial"/>
                <w:sz w:val="14"/>
                <w:szCs w:val="14"/>
                <w:color w:val="auto"/>
              </w:rPr>
              <w:t>$319,000</w:t>
            </w:r>
          </w:p>
        </w:tc>
        <w:tc>
          <w:tcPr>
            <w:tcW w:w="0" w:type="dxa"/>
            <w:vAlign w:val="bottom"/>
          </w:tcPr>
          <w:p>
            <w:pPr>
              <w:spacing w:after="0"/>
              <w:rPr>
                <w:sz w:val="1"/>
                <w:szCs w:val="1"/>
                <w:color w:val="auto"/>
              </w:rPr>
            </w:pPr>
          </w:p>
        </w:tc>
      </w:tr>
      <w:tr>
        <w:trPr>
          <w:trHeight w:val="96"/>
        </w:trPr>
        <w:tc>
          <w:tcPr>
            <w:tcW w:w="17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20"/>
                <w:szCs w:val="20"/>
                <w:color w:val="auto"/>
              </w:rPr>
            </w:pPr>
            <w:r>
              <w:rPr>
                <w:rFonts w:ascii="Arial" w:cs="Arial" w:eastAsia="Arial" w:hAnsi="Arial"/>
                <w:sz w:val="14"/>
                <w:szCs w:val="14"/>
                <w:b w:val="1"/>
                <w:bCs w:val="1"/>
                <w:i w:val="1"/>
                <w:iCs w:val="1"/>
                <w:color w:val="auto"/>
              </w:rPr>
              <w:t>Former Director:</w:t>
            </w:r>
          </w:p>
        </w:tc>
        <w:tc>
          <w:tcPr>
            <w:tcW w:w="1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4"/>
                <w:szCs w:val="14"/>
                <w:color w:val="auto"/>
              </w:rPr>
              <w:t>Mr. Eskew</w:t>
            </w:r>
            <w:r>
              <w:rPr>
                <w:rFonts w:ascii="Arial" w:cs="Arial" w:eastAsia="Arial" w:hAnsi="Arial"/>
                <w:sz w:val="18"/>
                <w:szCs w:val="18"/>
                <w:color w:val="auto"/>
                <w:vertAlign w:val="superscript"/>
              </w:rPr>
              <w:t>4</w:t>
            </w:r>
          </w:p>
        </w:tc>
        <w:tc>
          <w:tcPr>
            <w:tcW w:w="1900" w:type="dxa"/>
            <w:vAlign w:val="bottom"/>
            <w:tcBorders>
              <w:bottom w:val="single" w:sz="8" w:color="auto"/>
            </w:tcBorders>
            <w:shd w:val="clear" w:color="auto" w:fill="F2F2F2"/>
          </w:tcPr>
          <w:p>
            <w:pPr>
              <w:jc w:val="right"/>
              <w:ind w:right="290"/>
              <w:spacing w:after="0"/>
              <w:rPr>
                <w:sz w:val="20"/>
                <w:szCs w:val="20"/>
                <w:color w:val="auto"/>
              </w:rPr>
            </w:pPr>
            <w:r>
              <w:rPr>
                <w:rFonts w:ascii="Arial" w:cs="Arial" w:eastAsia="Arial" w:hAnsi="Arial"/>
                <w:sz w:val="14"/>
                <w:szCs w:val="14"/>
                <w:color w:val="auto"/>
              </w:rPr>
              <w:t>$46,065</w:t>
            </w:r>
          </w:p>
        </w:tc>
        <w:tc>
          <w:tcPr>
            <w:tcW w:w="1400" w:type="dxa"/>
            <w:vAlign w:val="bottom"/>
            <w:tcBorders>
              <w:bottom w:val="single" w:sz="8" w:color="auto"/>
            </w:tcBorders>
            <w:shd w:val="clear" w:color="auto" w:fill="F2F2F2"/>
          </w:tcPr>
          <w:p>
            <w:pPr>
              <w:jc w:val="right"/>
              <w:ind w:right="370"/>
              <w:spacing w:after="0"/>
              <w:rPr>
                <w:sz w:val="20"/>
                <w:szCs w:val="20"/>
                <w:color w:val="auto"/>
              </w:rPr>
            </w:pPr>
            <w:r>
              <w:rPr>
                <w:rFonts w:ascii="Arial" w:cs="Arial" w:eastAsia="Arial" w:hAnsi="Arial"/>
                <w:sz w:val="14"/>
                <w:szCs w:val="14"/>
                <w:color w:val="auto"/>
              </w:rPr>
              <w:t>$75,000</w:t>
            </w:r>
          </w:p>
        </w:tc>
        <w:tc>
          <w:tcPr>
            <w:tcW w:w="1580" w:type="dxa"/>
            <w:vAlign w:val="bottom"/>
            <w:tcBorders>
              <w:bottom w:val="single" w:sz="8" w:color="auto"/>
            </w:tcBorders>
            <w:shd w:val="clear" w:color="auto" w:fill="F2F2F2"/>
          </w:tcPr>
          <w:p>
            <w:pPr>
              <w:jc w:val="right"/>
              <w:ind w:right="330"/>
              <w:spacing w:after="0"/>
              <w:rPr>
                <w:sz w:val="20"/>
                <w:szCs w:val="20"/>
                <w:color w:val="auto"/>
              </w:rPr>
            </w:pPr>
            <w:r>
              <w:rPr>
                <w:rFonts w:ascii="Arial" w:cs="Arial" w:eastAsia="Arial" w:hAnsi="Arial"/>
                <w:sz w:val="14"/>
                <w:szCs w:val="14"/>
                <w:color w:val="auto"/>
              </w:rPr>
              <w:t>$27,500</w:t>
            </w:r>
          </w:p>
        </w:tc>
        <w:tc>
          <w:tcPr>
            <w:tcW w:w="1140" w:type="dxa"/>
            <w:vAlign w:val="bottom"/>
            <w:tcBorders>
              <w:bottom w:val="single" w:sz="8" w:color="auto"/>
            </w:tcBorders>
            <w:shd w:val="clear" w:color="auto" w:fill="F2F2F2"/>
          </w:tcPr>
          <w:p>
            <w:pPr>
              <w:ind w:left="260"/>
              <w:spacing w:after="0"/>
              <w:rPr>
                <w:sz w:val="20"/>
                <w:szCs w:val="20"/>
                <w:color w:val="auto"/>
              </w:rPr>
            </w:pPr>
            <w:r>
              <w:rPr>
                <w:rFonts w:ascii="Arial" w:cs="Arial" w:eastAsia="Arial" w:hAnsi="Arial"/>
                <w:sz w:val="14"/>
                <w:szCs w:val="14"/>
                <w:color w:val="auto"/>
              </w:rPr>
              <w:t>$148,565</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7" w:right="40" w:hanging="147"/>
        <w:spacing w:after="0" w:line="252" w:lineRule="auto"/>
        <w:tabs>
          <w:tab w:leader="none" w:pos="86" w:val="left"/>
        </w:tabs>
        <w:numPr>
          <w:ilvl w:val="0"/>
          <w:numId w:val="107"/>
        </w:numPr>
        <w:rPr>
          <w:rFonts w:ascii="Arial" w:cs="Arial" w:eastAsia="Arial" w:hAnsi="Arial"/>
          <w:sz w:val="16"/>
          <w:szCs w:val="16"/>
          <w:color w:val="auto"/>
          <w:vertAlign w:val="superscript"/>
        </w:rPr>
      </w:pPr>
      <w:r>
        <w:rPr>
          <w:rFonts w:ascii="Arial" w:cs="Arial" w:eastAsia="Arial" w:hAnsi="Arial"/>
          <w:sz w:val="12"/>
          <w:szCs w:val="12"/>
          <w:color w:val="auto"/>
        </w:rPr>
        <w:t>Each non-employee director received an equity-based award of units valued at $180,000 (approximately 498 units) except Dr. Hedley, and Mr. Eskew who both received a pro-rated award for a partial year of service.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2022,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9" w:lineRule="exact"/>
        <w:rPr>
          <w:sz w:val="20"/>
          <w:szCs w:val="20"/>
          <w:color w:val="auto"/>
        </w:rPr>
      </w:pPr>
    </w:p>
    <w:p>
      <w:pPr>
        <w:ind w:left="147" w:hanging="147"/>
        <w:spacing w:after="0" w:line="249" w:lineRule="auto"/>
        <w:tabs>
          <w:tab w:leader="none" w:pos="86" w:val="left"/>
        </w:tabs>
        <w:numPr>
          <w:ilvl w:val="0"/>
          <w:numId w:val="108"/>
        </w:numPr>
        <w:rPr>
          <w:rFonts w:ascii="Arial" w:cs="Arial" w:eastAsia="Arial" w:hAnsi="Arial"/>
          <w:sz w:val="16"/>
          <w:szCs w:val="16"/>
          <w:color w:val="auto"/>
          <w:vertAlign w:val="superscript"/>
        </w:rPr>
      </w:pPr>
      <w:r>
        <w:rPr>
          <w:rFonts w:ascii="Arial" w:cs="Arial" w:eastAsia="Arial" w:hAnsi="Arial"/>
          <w:sz w:val="12"/>
          <w:szCs w:val="12"/>
          <w:color w:val="auto"/>
        </w:rPr>
        <w:t>The amount for Mr. Eskew includes a $10,000 donation by the Foundation to a charity of Mr. Eskew's choosing in honor of his retirement from the board, consistent with the company’s traditional practice for retiring directors. 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expected payments in 2023 related to matching contributions for donations made by non-employee directors at the end of 2022 include for Mr. Fyrwald - $25,884; Mr. Tai - $30,000; Ms. Sulzberger - $16,500 and Ms. Walker - $20,000.</w:t>
      </w:r>
    </w:p>
    <w:p>
      <w:pPr>
        <w:spacing w:after="0" w:line="12" w:lineRule="exact"/>
        <w:rPr>
          <w:sz w:val="20"/>
          <w:szCs w:val="20"/>
          <w:color w:val="auto"/>
        </w:rPr>
      </w:pPr>
    </w:p>
    <w:p>
      <w:pPr>
        <w:ind w:left="87" w:hanging="87"/>
        <w:spacing w:after="0"/>
        <w:tabs>
          <w:tab w:leader="none" w:pos="87" w:val="left"/>
        </w:tabs>
        <w:numPr>
          <w:ilvl w:val="0"/>
          <w:numId w:val="109"/>
        </w:numPr>
        <w:rPr>
          <w:rFonts w:ascii="Arial" w:cs="Arial" w:eastAsia="Arial" w:hAnsi="Arial"/>
          <w:sz w:val="16"/>
          <w:szCs w:val="16"/>
          <w:color w:val="auto"/>
          <w:vertAlign w:val="superscript"/>
        </w:rPr>
      </w:pPr>
      <w:r>
        <w:rPr>
          <w:rFonts w:ascii="Arial" w:cs="Arial" w:eastAsia="Arial" w:hAnsi="Arial"/>
          <w:sz w:val="12"/>
          <w:szCs w:val="12"/>
          <w:color w:val="auto"/>
        </w:rPr>
        <w:t>Non-employee directors do not participate in a company pension plan or non-equity incentive plan.</w:t>
      </w:r>
    </w:p>
    <w:p>
      <w:pPr>
        <w:spacing w:after="0" w:line="34" w:lineRule="exact"/>
        <w:rPr>
          <w:rFonts w:ascii="Arial" w:cs="Arial" w:eastAsia="Arial" w:hAnsi="Arial"/>
          <w:sz w:val="16"/>
          <w:szCs w:val="16"/>
          <w:color w:val="auto"/>
          <w:vertAlign w:val="superscript"/>
        </w:rPr>
      </w:pPr>
    </w:p>
    <w:p>
      <w:pPr>
        <w:ind w:left="7"/>
        <w:spacing w:after="0"/>
        <w:rPr>
          <w:rFonts w:ascii="Arial" w:cs="Arial" w:eastAsia="Arial" w:hAnsi="Arial"/>
          <w:sz w:val="16"/>
          <w:szCs w:val="16"/>
          <w:color w:val="auto"/>
          <w:vertAlign w:val="superscript"/>
        </w:rPr>
      </w:pPr>
      <w:r>
        <w:rPr>
          <w:rFonts w:ascii="Arial" w:cs="Arial" w:eastAsia="Arial" w:hAnsi="Arial"/>
          <w:sz w:val="8"/>
          <w:szCs w:val="8"/>
          <w:color w:val="auto"/>
        </w:rPr>
        <w:t xml:space="preserve">4 </w:t>
      </w:r>
      <w:r>
        <w:rPr>
          <w:rFonts w:ascii="Arial" w:cs="Arial" w:eastAsia="Arial" w:hAnsi="Arial"/>
          <w:sz w:val="12"/>
          <w:szCs w:val="12"/>
          <w:color w:val="auto"/>
        </w:rPr>
        <w:t>Mr. Eskew retired following the 2022 annual meeting.</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Communication with the Board of Directors</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6"/>
          <w:szCs w:val="16"/>
          <w:color w:val="auto"/>
        </w:rPr>
        <w:t>You may send written communications to members of the board, including independent directors, addressed to:</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6"/>
          <w:szCs w:val="16"/>
          <w:color w:val="auto"/>
        </w:rPr>
        <w:t>Board of Directors</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Eli Lilly and Company</w:t>
      </w:r>
    </w:p>
    <w:p>
      <w:pPr>
        <w:spacing w:after="0" w:line="3" w:lineRule="exact"/>
        <w:rPr>
          <w:sz w:val="20"/>
          <w:szCs w:val="20"/>
          <w:color w:val="auto"/>
        </w:rPr>
      </w:pPr>
    </w:p>
    <w:p>
      <w:pPr>
        <w:ind w:left="7"/>
        <w:spacing w:after="0"/>
        <w:rPr>
          <w:sz w:val="20"/>
          <w:szCs w:val="20"/>
          <w:color w:val="auto"/>
        </w:rPr>
      </w:pPr>
      <w:r>
        <w:rPr>
          <w:rFonts w:ascii="Arial" w:cs="Arial" w:eastAsia="Arial" w:hAnsi="Arial"/>
          <w:sz w:val="16"/>
          <w:szCs w:val="16"/>
          <w:color w:val="auto"/>
        </w:rPr>
        <w:t>c/o General Counsel and Secretary</w:t>
      </w:r>
    </w:p>
    <w:p>
      <w:pPr>
        <w:spacing w:after="0" w:line="3" w:lineRule="exact"/>
        <w:rPr>
          <w:sz w:val="20"/>
          <w:szCs w:val="20"/>
          <w:color w:val="auto"/>
        </w:rPr>
      </w:pPr>
    </w:p>
    <w:p>
      <w:pPr>
        <w:ind w:left="7"/>
        <w:spacing w:after="0"/>
        <w:rPr>
          <w:sz w:val="20"/>
          <w:szCs w:val="20"/>
          <w:color w:val="auto"/>
        </w:rPr>
      </w:pPr>
      <w:r>
        <w:rPr>
          <w:rFonts w:ascii="Arial" w:cs="Arial" w:eastAsia="Arial" w:hAnsi="Arial"/>
          <w:sz w:val="16"/>
          <w:szCs w:val="16"/>
          <w:color w:val="auto"/>
        </w:rPr>
        <w:t>Lilly Corporate Center</w:t>
      </w:r>
    </w:p>
    <w:p>
      <w:pPr>
        <w:spacing w:after="0" w:line="3" w:lineRule="exact"/>
        <w:rPr>
          <w:sz w:val="20"/>
          <w:szCs w:val="20"/>
          <w:color w:val="auto"/>
        </w:rPr>
      </w:pPr>
    </w:p>
    <w:p>
      <w:pPr>
        <w:ind w:left="7"/>
        <w:spacing w:after="0"/>
        <w:rPr>
          <w:sz w:val="20"/>
          <w:szCs w:val="20"/>
          <w:color w:val="auto"/>
        </w:rPr>
      </w:pPr>
      <w:r>
        <w:rPr>
          <w:rFonts w:ascii="Arial" w:cs="Arial" w:eastAsia="Arial" w:hAnsi="Arial"/>
          <w:sz w:val="16"/>
          <w:szCs w:val="16"/>
          <w:color w:val="auto"/>
        </w:rPr>
        <w:t>Indianapolis, IN 46285</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Shareholder Engagement on Governance Issues</w:t>
      </w:r>
    </w:p>
    <w:p>
      <w:pPr>
        <w:spacing w:after="0" w:line="57" w:lineRule="exact"/>
        <w:rPr>
          <w:sz w:val="20"/>
          <w:szCs w:val="20"/>
          <w:color w:val="auto"/>
        </w:rPr>
      </w:pPr>
    </w:p>
    <w:p>
      <w:pPr>
        <w:ind w:left="7" w:right="180"/>
        <w:spacing w:after="0" w:line="289" w:lineRule="auto"/>
        <w:rPr>
          <w:sz w:val="20"/>
          <w:szCs w:val="20"/>
          <w:color w:val="auto"/>
        </w:rPr>
      </w:pPr>
      <w:r>
        <w:rPr>
          <w:rFonts w:ascii="Arial" w:cs="Arial" w:eastAsia="Arial" w:hAnsi="Arial"/>
          <w:sz w:val="14"/>
          <w:szCs w:val="14"/>
          <w:color w:val="auto"/>
        </w:rPr>
        <w:t>To ensure that a variety of perspectives are thoughtfully considered on several issues, each year the company engages large shareholders and other key constituents to discuss areas of interest or concern related to corporate governance, as well as any specific issues for the coming proxy season. Since our 2022 annual meeting of shareholders, we have spoken with a number of investors on an array of subjects, including board leadership; environmental, social and governance matters; drug pricing transparency and global access to our products; product quality and safety; key enterprise risks; executive compensation; DEI; and human capital management.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w:t>
      </w: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868" w:right="339" w:bottom="1440" w:gutter="0" w:footer="0" w:header="0"/>
        </w:sectPr>
      </w:pPr>
    </w:p>
    <w:bookmarkStart w:id="50" w:name="page51"/>
    <w:bookmarkEnd w:id="50"/>
    <w:p>
      <w:pPr>
        <w:spacing w:after="0" w:line="252" w:lineRule="auto"/>
        <w:rPr>
          <w:sz w:val="20"/>
          <w:szCs w:val="20"/>
          <w:color w:val="auto"/>
        </w:rPr>
      </w:pPr>
      <w:r>
        <w:rPr>
          <w:rFonts w:ascii="Arial" w:cs="Arial" w:eastAsia="Arial" w:hAnsi="Arial"/>
          <w:sz w:val="16"/>
          <w:szCs w:val="16"/>
          <w:color w:val="auto"/>
        </w:rPr>
        <w:t>Compensation Committee, and our Directors and Corporate Governance Committee, and it was a key input into board discussions on corporate governance topics. As a result of these discussions and its own deliberations, the board decided to recommend in favor of the two management proposals described below. We are committed to continuing to engage with our investors to ensure that their diverse perspectives on corporate governance and other issues are thoughtfully considered.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Management Proposals to Eliminate Classified Board and Supermajority Voting Requirements</w:t>
      </w:r>
    </w:p>
    <w:p>
      <w:pPr>
        <w:spacing w:after="0" w:line="6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Each year between 2007 and 2012, and again from 2018 through 2022, our management put forward proposals to eliminate the company’s classified board structure. The proposals did not pass because they failed to receive a “supermajority vote” of 80 percent of the outstanding shares of our common stock, as required in the company’s articles of incorporation. In addition, each year from 2011 through 2013, and again from 2019 through 2023, we submitted management proposals to eliminate the supermajority voting requirements. Those proposals also did not receive the required 80 percent vote.</w:t>
      </w:r>
    </w:p>
    <w:p>
      <w:pPr>
        <w:spacing w:after="0" w:line="115"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Prior to 2012, these proposals received support ranging from 72 to 77 percent of our outstanding shares. In 2012, the vote in support of these proposals was approximately 63 percent of our outstanding shares, driven in part by a 2012 NYSE rule revision prohibiting brokers from voting their clients’ shares on corporate governance matters absent specific instructions from such clients. In 2018, 2019, 2020, 2021 and 2022, the vote in support was approximately 62, 66, 69, 70 and 70 percent of our outstanding shares, respectively.</w:t>
      </w:r>
    </w:p>
    <w:p>
      <w:pPr>
        <w:spacing w:after="0" w:line="115"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After considering the interests of the company and our shareholders, we have resubmitted for consideration at the Annual Meeting management proposals to eliminate the classified board structure and supermajority voting requirements (</w:t>
      </w:r>
      <w:r>
        <w:rPr>
          <w:rFonts w:ascii="Arial" w:cs="Arial" w:eastAsia="Arial" w:hAnsi="Arial"/>
          <w:sz w:val="16"/>
          <w:szCs w:val="16"/>
          <w:u w:val="single" w:color="auto"/>
          <w:color w:val="0000FF"/>
        </w:rPr>
        <w:t>see Items 5 and 6</w:t>
      </w:r>
      <w:r>
        <w:rPr>
          <w:rFonts w:ascii="Arial" w:cs="Arial" w:eastAsia="Arial" w:hAnsi="Arial"/>
          <w:sz w:val="16"/>
          <w:szCs w:val="16"/>
          <w:color w:val="auto"/>
        </w:rPr>
        <w:t>).</w:t>
      </w:r>
    </w:p>
    <w:p>
      <w:pPr>
        <w:spacing w:after="0" w:line="98" w:lineRule="exact"/>
        <w:rPr>
          <w:sz w:val="20"/>
          <w:szCs w:val="20"/>
          <w:color w:val="auto"/>
        </w:rPr>
      </w:pPr>
    </w:p>
    <w:p>
      <w:pPr>
        <w:ind w:right="780"/>
        <w:spacing w:after="0" w:line="271" w:lineRule="auto"/>
        <w:rPr>
          <w:sz w:val="20"/>
          <w:szCs w:val="20"/>
          <w:color w:val="auto"/>
        </w:rPr>
      </w:pPr>
      <w:r>
        <w:rPr>
          <w:rFonts w:ascii="Arial" w:cs="Arial" w:eastAsia="Arial" w:hAnsi="Arial"/>
          <w:sz w:val="16"/>
          <w:szCs w:val="16"/>
          <w:color w:val="auto"/>
        </w:rPr>
        <w:t>We will continue to engage with our shareholders on these and other topics to ensure that we continue to demonstrate strong corporate governance and accountability to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Shareholder Proposals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Shareholder Proposals under Rule 14a-8</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Shareholders interested in submitting a proposal considered for inclusion in the proxy statement for the 2024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 </w:t>
      </w:r>
      <w:r>
        <w:rPr>
          <w:rFonts w:ascii="Arial" w:cs="Arial" w:eastAsia="Arial" w:hAnsi="Arial"/>
          <w:sz w:val="16"/>
          <w:szCs w:val="16"/>
          <w:color w:val="D52B1E"/>
        </w:rPr>
        <w:t>shareholderproposals@lilly.com</w:t>
      </w:r>
      <w:r>
        <w:rPr>
          <w:rFonts w:ascii="Arial" w:cs="Arial" w:eastAsia="Arial" w:hAnsi="Arial"/>
          <w:sz w:val="16"/>
          <w:szCs w:val="16"/>
          <w:color w:val="auto"/>
        </w:rPr>
        <w:t>. In general, to be eligible for inclusion in the proxy statement for the 2024 annual meeting, shareholder proposals must be received no later than November 18,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Other Shareholder Proposals</w:t>
      </w:r>
    </w:p>
    <w:p>
      <w:pPr>
        <w:spacing w:after="0" w:line="14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 xml:space="preserve">In addition, under section 1.8 of the company’s bylaws, any shareholder of record wishing to propose business (other than pursuant to Rule 14a-8 or related to the nomination of directors) at the 2024 annual meeting of shareholders, must give the company written notice no later than the close of business on November 18, 2023, and no earlier than the close of business on September 19, 2023. However, if the date of the 2024 annual meeting is changed by more than 30 days from May 1, 2024 (the date contemplated for the 2024 annual meeting as set forth in this proxy statement), a shareholder must give the company written notice no later than the close of business on the later of 120 days in advance of the 2024 annual meeting or 10 days following the date we first publicly announce the date of the 2024 annual meeting. Any such notice must also comply with the timing, disclosure, procedural and other requirements as set forth in the bylaws. A copy of the bylaws is available online at </w:t>
      </w:r>
      <w:r>
        <w:rPr>
          <w:rFonts w:ascii="Arial" w:cs="Arial" w:eastAsia="Arial" w:hAnsi="Arial"/>
          <w:sz w:val="16"/>
          <w:szCs w:val="16"/>
          <w:color w:val="D52B1E"/>
        </w:rPr>
        <w:t>lilly.com/leadership/governance</w:t>
      </w:r>
      <w:r>
        <w:rPr>
          <w:rFonts w:ascii="Arial" w:cs="Arial" w:eastAsia="Arial" w:hAnsi="Arial"/>
          <w:sz w:val="16"/>
          <w:szCs w:val="16"/>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1" w:name="page52"/>
    <w:bookmarkEnd w:id="51"/>
    <w:p>
      <w:pPr>
        <w:ind w:left="7"/>
        <w:spacing w:after="0"/>
        <w:rPr>
          <w:sz w:val="20"/>
          <w:szCs w:val="20"/>
          <w:color w:val="auto"/>
        </w:rPr>
      </w:pPr>
      <w:r>
        <w:rPr>
          <w:rFonts w:ascii="Arial" w:cs="Arial" w:eastAsia="Arial" w:hAnsi="Arial"/>
          <w:sz w:val="45"/>
          <w:szCs w:val="45"/>
          <w:b w:val="1"/>
          <w:bCs w:val="1"/>
          <w:color w:val="auto"/>
        </w:rPr>
        <w:t>Ownership of Company Stock</w:t>
      </w:r>
    </w:p>
    <w:p>
      <w:pPr>
        <w:spacing w:after="0" w:line="356"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Common Stock Ownership by Directors and Executive Officers</w:t>
      </w:r>
    </w:p>
    <w:p>
      <w:pPr>
        <w:spacing w:after="0" w:line="73" w:lineRule="exact"/>
        <w:rPr>
          <w:sz w:val="20"/>
          <w:szCs w:val="20"/>
          <w:color w:val="auto"/>
        </w:rPr>
      </w:pPr>
    </w:p>
    <w:p>
      <w:pPr>
        <w:ind w:left="7" w:right="100"/>
        <w:spacing w:after="0" w:line="257" w:lineRule="auto"/>
        <w:rPr>
          <w:sz w:val="20"/>
          <w:szCs w:val="20"/>
          <w:color w:val="auto"/>
        </w:rPr>
      </w:pPr>
      <w:r>
        <w:rPr>
          <w:rFonts w:ascii="Arial" w:cs="Arial" w:eastAsia="Arial" w:hAnsi="Arial"/>
          <w:sz w:val="16"/>
          <w:szCs w:val="16"/>
          <w:color w:val="auto"/>
        </w:rPr>
        <w:t>The following table sets forth the number of shares of company common stock beneficially owned by directors, named executive officers, and all directors and executive officers as a group, as of February 21, 2023. On February 21, 2023, there were 950,296,153 shares of the company’s common stock outstanding. None of the stock or stock units owned by any of the listed individuals has been pledged as collateral for a loan or other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93980</wp:posOffset>
            </wp:positionV>
            <wp:extent cx="1758315" cy="7429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58315" cy="74295"/>
                    </a:xfrm>
                    <a:prstGeom prst="rect">
                      <a:avLst/>
                    </a:prstGeom>
                    <a:noFill/>
                  </pic:spPr>
                </pic:pic>
              </a:graphicData>
            </a:graphic>
          </wp:anchor>
        </w:drawing>
      </w:r>
    </w:p>
    <w:p>
      <w:pPr>
        <w:spacing w:after="0" w:line="245" w:lineRule="exact"/>
        <w:rPr>
          <w:sz w:val="20"/>
          <w:szCs w:val="20"/>
          <w:color w:val="auto"/>
        </w:rPr>
      </w:pPr>
    </w:p>
    <w:p>
      <w:pPr>
        <w:ind w:left="3787"/>
        <w:spacing w:after="0"/>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4984750" cy="2222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984750" cy="222250"/>
                    </a:xfrm>
                    <a:prstGeom prst="rect">
                      <a:avLst/>
                    </a:prstGeom>
                    <a:noFill/>
                  </pic:spPr>
                </pic:pic>
              </a:graphicData>
            </a:graphic>
          </wp:anchor>
        </w:drawing>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Stock Units</w:t>
            </w:r>
          </w:p>
        </w:tc>
        <w:tc>
          <w:tcPr>
            <w:tcW w:w="6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Stock Units Not</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3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Shares Owned</w:t>
            </w:r>
            <w:r>
              <w:rPr>
                <w:rFonts w:ascii="Arial" w:cs="Arial" w:eastAsia="Arial" w:hAnsi="Arial"/>
                <w:sz w:val="16"/>
                <w:szCs w:val="16"/>
                <w:b w:val="1"/>
                <w:bCs w:val="1"/>
                <w:color w:val="auto"/>
                <w:vertAlign w:val="superscript"/>
              </w:rPr>
              <w:t>2</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Distributable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Percent</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Distributable Within 60</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Beneficial Owners</w:t>
            </w:r>
          </w:p>
        </w:tc>
        <w:tc>
          <w:tcPr>
            <w:tcW w:w="13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Within 60 Days</w:t>
            </w:r>
            <w:r>
              <w:rPr>
                <w:rFonts w:ascii="Arial" w:cs="Arial" w:eastAsia="Arial" w:hAnsi="Arial"/>
                <w:sz w:val="16"/>
                <w:szCs w:val="16"/>
                <w:b w:val="1"/>
                <w:bCs w:val="1"/>
                <w:color w:val="auto"/>
                <w:vertAlign w:val="superscript"/>
              </w:rPr>
              <w:t>3</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of Class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Days</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202"/>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Ralph Alvarez</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52,772</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Anat Ashkenazi</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38,305</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11,499</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Katherine Baicker, Ph.D.</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22,154</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J. Erik Fyrwald</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100</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70,539</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Anat Hakim</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22,189</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4,442</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Mary Lynne Hedley</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Jamere Jackson</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8,392</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Kimberly H. Johnson</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2,010</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Patrik Jonsson</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43,417</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4,124</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William G. Kaelin, Jr., M.D.</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20,525</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Juan R. Luciano</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14,783</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David A. Ricks</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644,144</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29,611</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Marschall S. Runge, M.D., Ph.D.</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202</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15,928</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Daniel Skovronsky, M.D., Ph.D.</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175,587</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9,941</w:t>
            </w:r>
          </w:p>
        </w:tc>
        <w:tc>
          <w:tcPr>
            <w:tcW w:w="0" w:type="dxa"/>
            <w:vAlign w:val="bottom"/>
          </w:tcPr>
          <w:p>
            <w:pPr>
              <w:spacing w:after="0"/>
              <w:rPr>
                <w:sz w:val="1"/>
                <w:szCs w:val="1"/>
                <w:color w:val="auto"/>
              </w:rPr>
            </w:pPr>
          </w:p>
        </w:tc>
      </w:tr>
      <w:tr>
        <w:trPr>
          <w:trHeight w:val="231"/>
        </w:trPr>
        <w:tc>
          <w:tcPr>
            <w:tcW w:w="3040" w:type="dxa"/>
            <w:vAlign w:val="bottom"/>
            <w:shd w:val="clear" w:color="auto" w:fill="F2F2F2"/>
          </w:tcPr>
          <w:p>
            <w:pPr>
              <w:spacing w:after="0"/>
              <w:rPr>
                <w:sz w:val="20"/>
                <w:szCs w:val="20"/>
                <w:color w:val="auto"/>
              </w:rPr>
            </w:pPr>
            <w:r>
              <w:rPr>
                <w:rFonts w:ascii="Arial" w:cs="Arial" w:eastAsia="Arial" w:hAnsi="Arial"/>
                <w:sz w:val="12"/>
                <w:szCs w:val="12"/>
                <w:color w:val="auto"/>
              </w:rPr>
              <w:t>Gabrielle Sulzberger</w:t>
            </w:r>
          </w:p>
        </w:tc>
        <w:tc>
          <w:tcPr>
            <w:tcW w:w="1300" w:type="dxa"/>
            <w:vAlign w:val="bottom"/>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1,614</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2"/>
                <w:szCs w:val="12"/>
                <w:color w:val="auto"/>
              </w:rPr>
              <w:t>Jackson P. Tai</w:t>
            </w:r>
          </w:p>
        </w:tc>
        <w:tc>
          <w:tcPr>
            <w:tcW w:w="1300" w:type="dxa"/>
            <w:vAlign w:val="bottom"/>
          </w:tcPr>
          <w:p>
            <w:pPr>
              <w:jc w:val="right"/>
              <w:ind w:right="278"/>
              <w:spacing w:after="0"/>
              <w:rPr>
                <w:sz w:val="20"/>
                <w:szCs w:val="20"/>
                <w:color w:val="auto"/>
              </w:rPr>
            </w:pPr>
            <w:r>
              <w:rPr>
                <w:rFonts w:ascii="Arial" w:cs="Arial" w:eastAsia="Arial" w:hAnsi="Arial"/>
                <w:sz w:val="12"/>
                <w:szCs w:val="12"/>
                <w:color w:val="auto"/>
              </w:rPr>
              <w:t>47,592</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Pr>
          <w:p>
            <w:pPr>
              <w:jc w:val="right"/>
              <w:ind w:right="378"/>
              <w:spacing w:after="0"/>
              <w:rPr>
                <w:sz w:val="20"/>
                <w:szCs w:val="20"/>
                <w:color w:val="auto"/>
              </w:rPr>
            </w:pPr>
            <w:r>
              <w:rPr>
                <w:rFonts w:ascii="Arial" w:cs="Arial" w:eastAsia="Arial" w:hAnsi="Arial"/>
                <w:sz w:val="12"/>
                <w:szCs w:val="12"/>
                <w:color w:val="auto"/>
              </w:rPr>
              <w:t>15,864</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Karen Walker</w:t>
            </w:r>
          </w:p>
        </w:tc>
        <w:tc>
          <w:tcPr>
            <w:tcW w:w="1300" w:type="dxa"/>
            <w:vAlign w:val="bottom"/>
            <w:tcBorders>
              <w:bottom w:val="single" w:sz="8" w:color="auto"/>
            </w:tcBorders>
            <w:shd w:val="clear" w:color="auto" w:fill="F2F2F2"/>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Borders>
              <w:bottom w:val="single" w:sz="8" w:color="auto"/>
            </w:tcBorders>
            <w:shd w:val="clear" w:color="auto" w:fill="F2F2F2"/>
          </w:tcPr>
          <w:p>
            <w:pPr>
              <w:jc w:val="right"/>
              <w:ind w:right="378"/>
              <w:spacing w:after="0"/>
              <w:rPr>
                <w:sz w:val="20"/>
                <w:szCs w:val="20"/>
                <w:color w:val="auto"/>
              </w:rPr>
            </w:pPr>
            <w:r>
              <w:rPr>
                <w:rFonts w:ascii="Arial" w:cs="Arial" w:eastAsia="Arial" w:hAnsi="Arial"/>
                <w:sz w:val="12"/>
                <w:szCs w:val="12"/>
                <w:color w:val="auto"/>
              </w:rPr>
              <w:t>5,529</w:t>
            </w:r>
          </w:p>
        </w:tc>
        <w:tc>
          <w:tcPr>
            <w:tcW w:w="0" w:type="dxa"/>
            <w:vAlign w:val="bottom"/>
          </w:tcPr>
          <w:p>
            <w:pPr>
              <w:spacing w:after="0"/>
              <w:rPr>
                <w:sz w:val="1"/>
                <w:szCs w:val="1"/>
                <w:color w:val="auto"/>
              </w:rPr>
            </w:pPr>
          </w:p>
        </w:tc>
      </w:tr>
      <w:tr>
        <w:trPr>
          <w:trHeight w:val="167"/>
        </w:trPr>
        <w:tc>
          <w:tcPr>
            <w:tcW w:w="3040" w:type="dxa"/>
            <w:vAlign w:val="bottom"/>
          </w:tcPr>
          <w:p>
            <w:pPr>
              <w:jc w:val="right"/>
              <w:ind w:right="118"/>
              <w:spacing w:after="0"/>
              <w:rPr>
                <w:sz w:val="20"/>
                <w:szCs w:val="20"/>
                <w:color w:val="auto"/>
              </w:rPr>
            </w:pPr>
            <w:r>
              <w:rPr>
                <w:rFonts w:ascii="Arial" w:cs="Arial" w:eastAsia="Arial" w:hAnsi="Arial"/>
                <w:sz w:val="12"/>
                <w:szCs w:val="12"/>
                <w:b w:val="1"/>
                <w:bCs w:val="1"/>
                <w:color w:val="auto"/>
              </w:rPr>
              <w:t>All directors and current executive officers as a</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group (27 people):</w:t>
            </w:r>
          </w:p>
        </w:tc>
        <w:tc>
          <w:tcPr>
            <w:tcW w:w="130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1,212,249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5,271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w:t>
            </w:r>
          </w:p>
        </w:tc>
        <w:tc>
          <w:tcPr>
            <w:tcW w:w="15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rPr>
              <w:t>341,071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-229235</wp:posOffset>
            </wp:positionV>
            <wp:extent cx="7620" cy="146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-207010</wp:posOffset>
            </wp:positionV>
            <wp:extent cx="76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-192405</wp:posOffset>
            </wp:positionV>
            <wp:extent cx="762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-177165</wp:posOffset>
            </wp:positionV>
            <wp:extent cx="76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-162560</wp:posOffset>
            </wp:positionV>
            <wp:extent cx="762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-147955</wp:posOffset>
            </wp:positionV>
            <wp:extent cx="762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-132715</wp:posOffset>
            </wp:positionV>
            <wp:extent cx="76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-118110</wp:posOffset>
            </wp:positionV>
            <wp:extent cx="762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-103505</wp:posOffset>
            </wp:positionV>
            <wp:extent cx="76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-88265</wp:posOffset>
            </wp:positionV>
            <wp:extent cx="762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-73660</wp:posOffset>
            </wp:positionV>
            <wp:extent cx="762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-58420</wp:posOffset>
            </wp:positionV>
            <wp:extent cx="762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-43815</wp:posOffset>
            </wp:positionV>
            <wp:extent cx="762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-29210</wp:posOffset>
            </wp:positionV>
            <wp:extent cx="762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-13970</wp:posOffset>
            </wp:positionV>
            <wp:extent cx="76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-229235</wp:posOffset>
            </wp:positionV>
            <wp:extent cx="7620" cy="146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-207010</wp:posOffset>
            </wp:positionV>
            <wp:extent cx="762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-192405</wp:posOffset>
            </wp:positionV>
            <wp:extent cx="76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-177165</wp:posOffset>
            </wp:positionV>
            <wp:extent cx="76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-162560</wp:posOffset>
            </wp:positionV>
            <wp:extent cx="762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-147955</wp:posOffset>
            </wp:positionV>
            <wp:extent cx="762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-132715</wp:posOffset>
            </wp:positionV>
            <wp:extent cx="76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-118110</wp:posOffset>
            </wp:positionV>
            <wp:extent cx="762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-103505</wp:posOffset>
            </wp:positionV>
            <wp:extent cx="762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-88265</wp:posOffset>
            </wp:positionV>
            <wp:extent cx="762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-73660</wp:posOffset>
            </wp:positionV>
            <wp:extent cx="76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-58420</wp:posOffset>
            </wp:positionV>
            <wp:extent cx="762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-43815</wp:posOffset>
            </wp:positionV>
            <wp:extent cx="76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-29210</wp:posOffset>
            </wp:positionV>
            <wp:extent cx="762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-13970</wp:posOffset>
            </wp:positionV>
            <wp:extent cx="762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-362585</wp:posOffset>
            </wp:positionV>
            <wp:extent cx="762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-347980</wp:posOffset>
            </wp:positionV>
            <wp:extent cx="762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-333375</wp:posOffset>
            </wp:positionV>
            <wp:extent cx="762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-318135</wp:posOffset>
            </wp:positionV>
            <wp:extent cx="762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-303530</wp:posOffset>
            </wp:positionV>
            <wp:extent cx="762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-288925</wp:posOffset>
            </wp:positionV>
            <wp:extent cx="762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-273685</wp:posOffset>
            </wp:positionV>
            <wp:extent cx="762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-259080</wp:posOffset>
            </wp:positionV>
            <wp:extent cx="762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-243840</wp:posOffset>
            </wp:positionV>
            <wp:extent cx="762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-362585</wp:posOffset>
            </wp:positionV>
            <wp:extent cx="762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-347980</wp:posOffset>
            </wp:positionV>
            <wp:extent cx="762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-333375</wp:posOffset>
            </wp:positionV>
            <wp:extent cx="76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-318135</wp:posOffset>
            </wp:positionV>
            <wp:extent cx="762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-303530</wp:posOffset>
            </wp:positionV>
            <wp:extent cx="76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-288925</wp:posOffset>
            </wp:positionV>
            <wp:extent cx="762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-273685</wp:posOffset>
            </wp:positionV>
            <wp:extent cx="762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-259080</wp:posOffset>
            </wp:positionV>
            <wp:extent cx="762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-243840</wp:posOffset>
            </wp:positionV>
            <wp:extent cx="762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-503555</wp:posOffset>
            </wp:positionV>
            <wp:extent cx="76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-488950</wp:posOffset>
            </wp:positionV>
            <wp:extent cx="762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-474345</wp:posOffset>
            </wp:positionV>
            <wp:extent cx="762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-459105</wp:posOffset>
            </wp:positionV>
            <wp:extent cx="76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-444500</wp:posOffset>
            </wp:positionV>
            <wp:extent cx="762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-429895</wp:posOffset>
            </wp:positionV>
            <wp:extent cx="76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-414655</wp:posOffset>
            </wp:positionV>
            <wp:extent cx="762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-400050</wp:posOffset>
            </wp:positionV>
            <wp:extent cx="762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-384810</wp:posOffset>
            </wp:positionV>
            <wp:extent cx="7620" cy="146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-503555</wp:posOffset>
            </wp:positionV>
            <wp:extent cx="762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-488950</wp:posOffset>
            </wp:positionV>
            <wp:extent cx="76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-474345</wp:posOffset>
            </wp:positionV>
            <wp:extent cx="76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-459105</wp:posOffset>
            </wp:positionV>
            <wp:extent cx="76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-444500</wp:posOffset>
            </wp:positionV>
            <wp:extent cx="76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-429895</wp:posOffset>
            </wp:positionV>
            <wp:extent cx="762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-414655</wp:posOffset>
            </wp:positionV>
            <wp:extent cx="762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-400050</wp:posOffset>
            </wp:positionV>
            <wp:extent cx="762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-384810</wp:posOffset>
            </wp:positionV>
            <wp:extent cx="7620" cy="1460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-644525</wp:posOffset>
            </wp:positionV>
            <wp:extent cx="762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-629920</wp:posOffset>
            </wp:positionV>
            <wp:extent cx="762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-615315</wp:posOffset>
            </wp:positionV>
            <wp:extent cx="762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-600075</wp:posOffset>
            </wp:positionV>
            <wp:extent cx="76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-585470</wp:posOffset>
            </wp:positionV>
            <wp:extent cx="762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-570230</wp:posOffset>
            </wp:positionV>
            <wp:extent cx="762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-555625</wp:posOffset>
            </wp:positionV>
            <wp:extent cx="762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-541020</wp:posOffset>
            </wp:positionV>
            <wp:extent cx="762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-525780</wp:posOffset>
            </wp:positionV>
            <wp:extent cx="7620" cy="1460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-644525</wp:posOffset>
            </wp:positionV>
            <wp:extent cx="762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-629920</wp:posOffset>
            </wp:positionV>
            <wp:extent cx="762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-615315</wp:posOffset>
            </wp:positionV>
            <wp:extent cx="76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-600075</wp:posOffset>
            </wp:positionV>
            <wp:extent cx="762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-585470</wp:posOffset>
            </wp:positionV>
            <wp:extent cx="762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-570230</wp:posOffset>
            </wp:positionV>
            <wp:extent cx="762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-555625</wp:posOffset>
            </wp:positionV>
            <wp:extent cx="762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-541020</wp:posOffset>
            </wp:positionV>
            <wp:extent cx="762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-525780</wp:posOffset>
            </wp:positionV>
            <wp:extent cx="7620" cy="1460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-785495</wp:posOffset>
            </wp:positionV>
            <wp:extent cx="76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-770890</wp:posOffset>
            </wp:positionV>
            <wp:extent cx="762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-756285</wp:posOffset>
            </wp:positionV>
            <wp:extent cx="762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-741045</wp:posOffset>
            </wp:positionV>
            <wp:extent cx="762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-726440</wp:posOffset>
            </wp:positionV>
            <wp:extent cx="762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-711200</wp:posOffset>
            </wp:positionV>
            <wp:extent cx="762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-696595</wp:posOffset>
            </wp:positionV>
            <wp:extent cx="76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-681990</wp:posOffset>
            </wp:positionV>
            <wp:extent cx="762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-666750</wp:posOffset>
            </wp:positionV>
            <wp:extent cx="7620" cy="146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-785495</wp:posOffset>
            </wp:positionV>
            <wp:extent cx="762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-770890</wp:posOffset>
            </wp:positionV>
            <wp:extent cx="762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-756285</wp:posOffset>
            </wp:positionV>
            <wp:extent cx="762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-741045</wp:posOffset>
            </wp:positionV>
            <wp:extent cx="762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-726440</wp:posOffset>
            </wp:positionV>
            <wp:extent cx="762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-711200</wp:posOffset>
            </wp:positionV>
            <wp:extent cx="762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-696595</wp:posOffset>
            </wp:positionV>
            <wp:extent cx="762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-681990</wp:posOffset>
            </wp:positionV>
            <wp:extent cx="762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-666750</wp:posOffset>
            </wp:positionV>
            <wp:extent cx="7620" cy="146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-926465</wp:posOffset>
            </wp:positionV>
            <wp:extent cx="762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-911860</wp:posOffset>
            </wp:positionV>
            <wp:extent cx="762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-896620</wp:posOffset>
            </wp:positionV>
            <wp:extent cx="762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-882015</wp:posOffset>
            </wp:positionV>
            <wp:extent cx="762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-867410</wp:posOffset>
            </wp:positionV>
            <wp:extent cx="762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-852170</wp:posOffset>
            </wp:positionV>
            <wp:extent cx="762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-837565</wp:posOffset>
            </wp:positionV>
            <wp:extent cx="762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-822960</wp:posOffset>
            </wp:positionV>
            <wp:extent cx="762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-807720</wp:posOffset>
            </wp:positionV>
            <wp:extent cx="7620" cy="146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-926465</wp:posOffset>
            </wp:positionV>
            <wp:extent cx="762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-911860</wp:posOffset>
            </wp:positionV>
            <wp:extent cx="762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-896620</wp:posOffset>
            </wp:positionV>
            <wp:extent cx="762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-882015</wp:posOffset>
            </wp:positionV>
            <wp:extent cx="762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-867410</wp:posOffset>
            </wp:positionV>
            <wp:extent cx="762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-852170</wp:posOffset>
            </wp:positionV>
            <wp:extent cx="762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-837565</wp:posOffset>
            </wp:positionV>
            <wp:extent cx="762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-822960</wp:posOffset>
            </wp:positionV>
            <wp:extent cx="762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-807720</wp:posOffset>
            </wp:positionV>
            <wp:extent cx="7620" cy="146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-1067435</wp:posOffset>
            </wp:positionV>
            <wp:extent cx="762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-1052830</wp:posOffset>
            </wp:positionV>
            <wp:extent cx="762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-1037590</wp:posOffset>
            </wp:positionV>
            <wp:extent cx="762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-1022985</wp:posOffset>
            </wp:positionV>
            <wp:extent cx="762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-1008380</wp:posOffset>
            </wp:positionV>
            <wp:extent cx="762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-993140</wp:posOffset>
            </wp:positionV>
            <wp:extent cx="762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-978535</wp:posOffset>
            </wp:positionV>
            <wp:extent cx="762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-963930</wp:posOffset>
            </wp:positionV>
            <wp:extent cx="762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-948690</wp:posOffset>
            </wp:positionV>
            <wp:extent cx="7620" cy="146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-1067435</wp:posOffset>
            </wp:positionV>
            <wp:extent cx="762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-1052830</wp:posOffset>
            </wp:positionV>
            <wp:extent cx="762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-1037590</wp:posOffset>
            </wp:positionV>
            <wp:extent cx="762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-1022985</wp:posOffset>
            </wp:positionV>
            <wp:extent cx="762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-1008380</wp:posOffset>
            </wp:positionV>
            <wp:extent cx="762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-993140</wp:posOffset>
            </wp:positionV>
            <wp:extent cx="762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-978535</wp:posOffset>
            </wp:positionV>
            <wp:extent cx="762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-963930</wp:posOffset>
            </wp:positionV>
            <wp:extent cx="762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-948690</wp:posOffset>
            </wp:positionV>
            <wp:extent cx="7620" cy="1460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-1208405</wp:posOffset>
            </wp:positionV>
            <wp:extent cx="762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-1193800</wp:posOffset>
            </wp:positionV>
            <wp:extent cx="762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-1178560</wp:posOffset>
            </wp:positionV>
            <wp:extent cx="7620"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-1163955</wp:posOffset>
            </wp:positionV>
            <wp:extent cx="762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-1149350</wp:posOffset>
            </wp:positionV>
            <wp:extent cx="762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-1134110</wp:posOffset>
            </wp:positionV>
            <wp:extent cx="762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-1119505</wp:posOffset>
            </wp:positionV>
            <wp:extent cx="7620"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-1104900</wp:posOffset>
            </wp:positionV>
            <wp:extent cx="762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-1089660</wp:posOffset>
            </wp:positionV>
            <wp:extent cx="7620" cy="1460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-1208405</wp:posOffset>
            </wp:positionV>
            <wp:extent cx="7620"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-1193800</wp:posOffset>
            </wp:positionV>
            <wp:extent cx="762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-1178560</wp:posOffset>
            </wp:positionV>
            <wp:extent cx="762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-1163955</wp:posOffset>
            </wp:positionV>
            <wp:extent cx="762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-1149350</wp:posOffset>
            </wp:positionV>
            <wp:extent cx="762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-1134110</wp:posOffset>
            </wp:positionV>
            <wp:extent cx="762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-1119505</wp:posOffset>
            </wp:positionV>
            <wp:extent cx="762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-1104900</wp:posOffset>
            </wp:positionV>
            <wp:extent cx="762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-1089660</wp:posOffset>
            </wp:positionV>
            <wp:extent cx="7620" cy="146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-1349375</wp:posOffset>
            </wp:positionV>
            <wp:extent cx="762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-1334770</wp:posOffset>
            </wp:positionV>
            <wp:extent cx="762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-1319530</wp:posOffset>
            </wp:positionV>
            <wp:extent cx="7620"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-1304925</wp:posOffset>
            </wp:positionV>
            <wp:extent cx="7620"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-1290320</wp:posOffset>
            </wp:positionV>
            <wp:extent cx="762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-1275080</wp:posOffset>
            </wp:positionV>
            <wp:extent cx="762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-1260475</wp:posOffset>
            </wp:positionV>
            <wp:extent cx="762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-1245870</wp:posOffset>
            </wp:positionV>
            <wp:extent cx="762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-1230630</wp:posOffset>
            </wp:positionV>
            <wp:extent cx="7620" cy="1460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-1349375</wp:posOffset>
            </wp:positionV>
            <wp:extent cx="762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-1334770</wp:posOffset>
            </wp:positionV>
            <wp:extent cx="762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-1319530</wp:posOffset>
            </wp:positionV>
            <wp:extent cx="762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-1304925</wp:posOffset>
            </wp:positionV>
            <wp:extent cx="7620"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-1290320</wp:posOffset>
            </wp:positionV>
            <wp:extent cx="762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-1275080</wp:posOffset>
            </wp:positionV>
            <wp:extent cx="762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-1260475</wp:posOffset>
            </wp:positionV>
            <wp:extent cx="762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-1245870</wp:posOffset>
            </wp:positionV>
            <wp:extent cx="762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-1230630</wp:posOffset>
            </wp:positionV>
            <wp:extent cx="7620" cy="1460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-1490345</wp:posOffset>
            </wp:positionV>
            <wp:extent cx="762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-1475740</wp:posOffset>
            </wp:positionV>
            <wp:extent cx="762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-1460500</wp:posOffset>
            </wp:positionV>
            <wp:extent cx="762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-1445895</wp:posOffset>
            </wp:positionV>
            <wp:extent cx="7620"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-1431290</wp:posOffset>
            </wp:positionV>
            <wp:extent cx="7620"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-1416050</wp:posOffset>
            </wp:positionV>
            <wp:extent cx="7620" cy="76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-1401445</wp:posOffset>
            </wp:positionV>
            <wp:extent cx="762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-1386205</wp:posOffset>
            </wp:positionV>
            <wp:extent cx="7620" cy="76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-1371600</wp:posOffset>
            </wp:positionV>
            <wp:extent cx="7620" cy="146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-1490345</wp:posOffset>
            </wp:positionV>
            <wp:extent cx="762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-1475740</wp:posOffset>
            </wp:positionV>
            <wp:extent cx="762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-1460500</wp:posOffset>
            </wp:positionV>
            <wp:extent cx="762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-1445895</wp:posOffset>
            </wp:positionV>
            <wp:extent cx="762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-1431290</wp:posOffset>
            </wp:positionV>
            <wp:extent cx="762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-1416050</wp:posOffset>
            </wp:positionV>
            <wp:extent cx="762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-1401445</wp:posOffset>
            </wp:positionV>
            <wp:extent cx="762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-1386205</wp:posOffset>
            </wp:positionV>
            <wp:extent cx="762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-1371600</wp:posOffset>
            </wp:positionV>
            <wp:extent cx="7620" cy="1460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-1631315</wp:posOffset>
            </wp:positionV>
            <wp:extent cx="762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-1616710</wp:posOffset>
            </wp:positionV>
            <wp:extent cx="762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-1601470</wp:posOffset>
            </wp:positionV>
            <wp:extent cx="7620"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-1586865</wp:posOffset>
            </wp:positionV>
            <wp:extent cx="762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-1572260</wp:posOffset>
            </wp:positionV>
            <wp:extent cx="762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-1557020</wp:posOffset>
            </wp:positionV>
            <wp:extent cx="762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-1542415</wp:posOffset>
            </wp:positionV>
            <wp:extent cx="7620"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-1527175</wp:posOffset>
            </wp:positionV>
            <wp:extent cx="762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-1512570</wp:posOffset>
            </wp:positionV>
            <wp:extent cx="7620" cy="146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-1631315</wp:posOffset>
            </wp:positionV>
            <wp:extent cx="762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-1616710</wp:posOffset>
            </wp:positionV>
            <wp:extent cx="762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-1601470</wp:posOffset>
            </wp:positionV>
            <wp:extent cx="762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-1586865</wp:posOffset>
            </wp:positionV>
            <wp:extent cx="762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-1572260</wp:posOffset>
            </wp:positionV>
            <wp:extent cx="762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-1557020</wp:posOffset>
            </wp:positionV>
            <wp:extent cx="762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-1542415</wp:posOffset>
            </wp:positionV>
            <wp:extent cx="762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-1527175</wp:posOffset>
            </wp:positionV>
            <wp:extent cx="762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-1512570</wp:posOffset>
            </wp:positionV>
            <wp:extent cx="7620" cy="146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-1772285</wp:posOffset>
            </wp:positionV>
            <wp:extent cx="762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-1757680</wp:posOffset>
            </wp:positionV>
            <wp:extent cx="762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-1742440</wp:posOffset>
            </wp:positionV>
            <wp:extent cx="762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-1727835</wp:posOffset>
            </wp:positionV>
            <wp:extent cx="7620"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-1712595</wp:posOffset>
            </wp:positionV>
            <wp:extent cx="762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-1697990</wp:posOffset>
            </wp:positionV>
            <wp:extent cx="762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-1683385</wp:posOffset>
            </wp:positionV>
            <wp:extent cx="762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-1668145</wp:posOffset>
            </wp:positionV>
            <wp:extent cx="762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-1653540</wp:posOffset>
            </wp:positionV>
            <wp:extent cx="7620" cy="146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-1772285</wp:posOffset>
            </wp:positionV>
            <wp:extent cx="762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-1757680</wp:posOffset>
            </wp:positionV>
            <wp:extent cx="7620"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-1742440</wp:posOffset>
            </wp:positionV>
            <wp:extent cx="762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-1727835</wp:posOffset>
            </wp:positionV>
            <wp:extent cx="762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-1712595</wp:posOffset>
            </wp:positionV>
            <wp:extent cx="762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-1697990</wp:posOffset>
            </wp:positionV>
            <wp:extent cx="762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-1683385</wp:posOffset>
            </wp:positionV>
            <wp:extent cx="762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-1668145</wp:posOffset>
            </wp:positionV>
            <wp:extent cx="762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-1653540</wp:posOffset>
            </wp:positionV>
            <wp:extent cx="7620" cy="1460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-1913255</wp:posOffset>
            </wp:positionV>
            <wp:extent cx="762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-1898015</wp:posOffset>
            </wp:positionV>
            <wp:extent cx="762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-1883410</wp:posOffset>
            </wp:positionV>
            <wp:extent cx="762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-1868805</wp:posOffset>
            </wp:positionV>
            <wp:extent cx="7620"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-1853565</wp:posOffset>
            </wp:positionV>
            <wp:extent cx="762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-1838960</wp:posOffset>
            </wp:positionV>
            <wp:extent cx="762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-1824355</wp:posOffset>
            </wp:positionV>
            <wp:extent cx="762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-1809115</wp:posOffset>
            </wp:positionV>
            <wp:extent cx="7620" cy="76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-1794510</wp:posOffset>
            </wp:positionV>
            <wp:extent cx="7620" cy="1460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-1913255</wp:posOffset>
            </wp:positionV>
            <wp:extent cx="762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-1898015</wp:posOffset>
            </wp:positionV>
            <wp:extent cx="762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-1883410</wp:posOffset>
            </wp:positionV>
            <wp:extent cx="762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-1868805</wp:posOffset>
            </wp:positionV>
            <wp:extent cx="762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-1853565</wp:posOffset>
            </wp:positionV>
            <wp:extent cx="762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-1838960</wp:posOffset>
            </wp:positionV>
            <wp:extent cx="762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-1824355</wp:posOffset>
            </wp:positionV>
            <wp:extent cx="762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-1809115</wp:posOffset>
            </wp:positionV>
            <wp:extent cx="7620"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-1794510</wp:posOffset>
            </wp:positionV>
            <wp:extent cx="7620" cy="1460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-2054225</wp:posOffset>
            </wp:positionV>
            <wp:extent cx="7620" cy="76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-2038985</wp:posOffset>
            </wp:positionV>
            <wp:extent cx="7620"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-2024380</wp:posOffset>
            </wp:positionV>
            <wp:extent cx="7620"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-2009775</wp:posOffset>
            </wp:positionV>
            <wp:extent cx="7620" cy="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-1994535</wp:posOffset>
            </wp:positionV>
            <wp:extent cx="7620"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-1979930</wp:posOffset>
            </wp:positionV>
            <wp:extent cx="7620"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-1965325</wp:posOffset>
            </wp:positionV>
            <wp:extent cx="7620"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-1950085</wp:posOffset>
            </wp:positionV>
            <wp:extent cx="762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-1935480</wp:posOffset>
            </wp:positionV>
            <wp:extent cx="7620" cy="1460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-2054225</wp:posOffset>
            </wp:positionV>
            <wp:extent cx="762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-2038985</wp:posOffset>
            </wp:positionV>
            <wp:extent cx="7620"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-2024380</wp:posOffset>
            </wp:positionV>
            <wp:extent cx="762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-2009775</wp:posOffset>
            </wp:positionV>
            <wp:extent cx="7620"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-1994535</wp:posOffset>
            </wp:positionV>
            <wp:extent cx="7620"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-1979930</wp:posOffset>
            </wp:positionV>
            <wp:extent cx="762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-1965325</wp:posOffset>
            </wp:positionV>
            <wp:extent cx="7620"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-1950085</wp:posOffset>
            </wp:positionV>
            <wp:extent cx="762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-1935480</wp:posOffset>
            </wp:positionV>
            <wp:extent cx="7620" cy="1460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-2195195</wp:posOffset>
            </wp:positionV>
            <wp:extent cx="7620"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-2179955</wp:posOffset>
            </wp:positionV>
            <wp:extent cx="7620" cy="76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-2165350</wp:posOffset>
            </wp:positionV>
            <wp:extent cx="7620" cy="76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-2150745</wp:posOffset>
            </wp:positionV>
            <wp:extent cx="7620"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-2135505</wp:posOffset>
            </wp:positionV>
            <wp:extent cx="7620"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-2120900</wp:posOffset>
            </wp:positionV>
            <wp:extent cx="7620" cy="76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-2106295</wp:posOffset>
            </wp:positionV>
            <wp:extent cx="7620"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-2091055</wp:posOffset>
            </wp:positionV>
            <wp:extent cx="762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-2076450</wp:posOffset>
            </wp:positionV>
            <wp:extent cx="7620" cy="1460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-2195195</wp:posOffset>
            </wp:positionV>
            <wp:extent cx="7620" cy="76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-2179955</wp:posOffset>
            </wp:positionV>
            <wp:extent cx="7620"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-2165350</wp:posOffset>
            </wp:positionV>
            <wp:extent cx="7620"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-2150745</wp:posOffset>
            </wp:positionV>
            <wp:extent cx="7620"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-2135505</wp:posOffset>
            </wp:positionV>
            <wp:extent cx="7620"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-2120900</wp:posOffset>
            </wp:positionV>
            <wp:extent cx="7620"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-2106295</wp:posOffset>
            </wp:positionV>
            <wp:extent cx="7620"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-2091055</wp:posOffset>
            </wp:positionV>
            <wp:extent cx="7620"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-2076450</wp:posOffset>
            </wp:positionV>
            <wp:extent cx="7620" cy="1460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-2336165</wp:posOffset>
            </wp:positionV>
            <wp:extent cx="762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-2320925</wp:posOffset>
            </wp:positionV>
            <wp:extent cx="762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-2306320</wp:posOffset>
            </wp:positionV>
            <wp:extent cx="7620"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-2291715</wp:posOffset>
            </wp:positionV>
            <wp:extent cx="7620" cy="76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-2276475</wp:posOffset>
            </wp:positionV>
            <wp:extent cx="7620"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-2261870</wp:posOffset>
            </wp:positionV>
            <wp:extent cx="7620" cy="76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-2247265</wp:posOffset>
            </wp:positionV>
            <wp:extent cx="7620"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-2232025</wp:posOffset>
            </wp:positionV>
            <wp:extent cx="7620" cy="76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-2217420</wp:posOffset>
            </wp:positionV>
            <wp:extent cx="7620" cy="1460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-2336165</wp:posOffset>
            </wp:positionV>
            <wp:extent cx="7620"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-2320925</wp:posOffset>
            </wp:positionV>
            <wp:extent cx="762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-2306320</wp:posOffset>
            </wp:positionV>
            <wp:extent cx="7620"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-2291715</wp:posOffset>
            </wp:positionV>
            <wp:extent cx="7620" cy="76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-2276475</wp:posOffset>
            </wp:positionV>
            <wp:extent cx="762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-2261870</wp:posOffset>
            </wp:positionV>
            <wp:extent cx="762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-2247265</wp:posOffset>
            </wp:positionV>
            <wp:extent cx="762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-2232025</wp:posOffset>
            </wp:positionV>
            <wp:extent cx="7620"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-2217420</wp:posOffset>
            </wp:positionV>
            <wp:extent cx="7620" cy="1460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-2477135</wp:posOffset>
            </wp:positionV>
            <wp:extent cx="762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-2461895</wp:posOffset>
            </wp:positionV>
            <wp:extent cx="762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-2447290</wp:posOffset>
            </wp:positionV>
            <wp:extent cx="7620"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-2432685</wp:posOffset>
            </wp:positionV>
            <wp:extent cx="762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-2417445</wp:posOffset>
            </wp:positionV>
            <wp:extent cx="762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-2402840</wp:posOffset>
            </wp:positionV>
            <wp:extent cx="7620"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-2387600</wp:posOffset>
            </wp:positionV>
            <wp:extent cx="7620" cy="762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-2372995</wp:posOffset>
            </wp:positionV>
            <wp:extent cx="7620" cy="76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-2358390</wp:posOffset>
            </wp:positionV>
            <wp:extent cx="7620" cy="1460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-2477135</wp:posOffset>
            </wp:positionV>
            <wp:extent cx="7620" cy="76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-2461895</wp:posOffset>
            </wp:positionV>
            <wp:extent cx="7620"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-2447290</wp:posOffset>
            </wp:positionV>
            <wp:extent cx="7620" cy="76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-2432685</wp:posOffset>
            </wp:positionV>
            <wp:extent cx="7620" cy="76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-2417445</wp:posOffset>
            </wp:positionV>
            <wp:extent cx="7620"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-2402840</wp:posOffset>
            </wp:positionV>
            <wp:extent cx="7620" cy="76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-2387600</wp:posOffset>
            </wp:positionV>
            <wp:extent cx="762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-2372995</wp:posOffset>
            </wp:positionV>
            <wp:extent cx="7620" cy="76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-2358390</wp:posOffset>
            </wp:positionV>
            <wp:extent cx="7620" cy="1460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-2625090</wp:posOffset>
            </wp:positionV>
            <wp:extent cx="7620" cy="1460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-2602865</wp:posOffset>
            </wp:positionV>
            <wp:extent cx="7620" cy="762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-2588260</wp:posOffset>
            </wp:positionV>
            <wp:extent cx="7620"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-2573655</wp:posOffset>
            </wp:positionV>
            <wp:extent cx="762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-2558415</wp:posOffset>
            </wp:positionV>
            <wp:extent cx="762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-2543810</wp:posOffset>
            </wp:positionV>
            <wp:extent cx="7620"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-2528570</wp:posOffset>
            </wp:positionV>
            <wp:extent cx="7620"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-2513965</wp:posOffset>
            </wp:positionV>
            <wp:extent cx="762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-2499360</wp:posOffset>
            </wp:positionV>
            <wp:extent cx="7620" cy="1460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-2625090</wp:posOffset>
            </wp:positionV>
            <wp:extent cx="7620" cy="1460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-2602865</wp:posOffset>
            </wp:positionV>
            <wp:extent cx="7620"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-2588260</wp:posOffset>
            </wp:positionV>
            <wp:extent cx="7620" cy="76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-2573655</wp:posOffset>
            </wp:positionV>
            <wp:extent cx="7620" cy="76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-2558415</wp:posOffset>
            </wp:positionV>
            <wp:extent cx="7620" cy="76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-2543810</wp:posOffset>
            </wp:positionV>
            <wp:extent cx="7620" cy="76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-2528570</wp:posOffset>
            </wp:positionV>
            <wp:extent cx="7620" cy="76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-2513965</wp:posOffset>
            </wp:positionV>
            <wp:extent cx="7620" cy="762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-2499360</wp:posOffset>
            </wp:positionV>
            <wp:extent cx="7620" cy="1460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-2951480</wp:posOffset>
            </wp:positionV>
            <wp:extent cx="7620" cy="76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-2936875</wp:posOffset>
            </wp:positionV>
            <wp:extent cx="7620" cy="76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-2922270</wp:posOffset>
            </wp:positionV>
            <wp:extent cx="7620" cy="762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-2907030</wp:posOffset>
            </wp:positionV>
            <wp:extent cx="7620" cy="762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-2892425</wp:posOffset>
            </wp:positionV>
            <wp:extent cx="7620" cy="76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-2877185</wp:posOffset>
            </wp:positionV>
            <wp:extent cx="7620" cy="76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-2862580</wp:posOffset>
            </wp:positionV>
            <wp:extent cx="7620" cy="76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-2847975</wp:posOffset>
            </wp:positionV>
            <wp:extent cx="7620" cy="76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-2832735</wp:posOffset>
            </wp:positionV>
            <wp:extent cx="7620" cy="76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-2818130</wp:posOffset>
            </wp:positionV>
            <wp:extent cx="7620"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-2803525</wp:posOffset>
            </wp:positionV>
            <wp:extent cx="762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-2788285</wp:posOffset>
            </wp:positionV>
            <wp:extent cx="762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-2773680</wp:posOffset>
            </wp:positionV>
            <wp:extent cx="7620" cy="76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-2759075</wp:posOffset>
            </wp:positionV>
            <wp:extent cx="7620" cy="762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-2743835</wp:posOffset>
            </wp:positionV>
            <wp:extent cx="7620" cy="762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-2729230</wp:posOffset>
            </wp:positionV>
            <wp:extent cx="7620"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-2713990</wp:posOffset>
            </wp:positionV>
            <wp:extent cx="7620"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-2699385</wp:posOffset>
            </wp:positionV>
            <wp:extent cx="7620"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-2684780</wp:posOffset>
            </wp:positionV>
            <wp:extent cx="7620" cy="762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-2669540</wp:posOffset>
            </wp:positionV>
            <wp:extent cx="7620" cy="762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-2654935</wp:posOffset>
            </wp:positionV>
            <wp:extent cx="7620" cy="762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-2640330</wp:posOffset>
            </wp:positionV>
            <wp:extent cx="7620" cy="762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-2951480</wp:posOffset>
            </wp:positionV>
            <wp:extent cx="7620" cy="762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-2936875</wp:posOffset>
            </wp:positionV>
            <wp:extent cx="7620" cy="762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-2922270</wp:posOffset>
            </wp:positionV>
            <wp:extent cx="7620" cy="76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-2907030</wp:posOffset>
            </wp:positionV>
            <wp:extent cx="7620" cy="76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-2892425</wp:posOffset>
            </wp:positionV>
            <wp:extent cx="7620" cy="76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-2877185</wp:posOffset>
            </wp:positionV>
            <wp:extent cx="7620" cy="762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-2862580</wp:posOffset>
            </wp:positionV>
            <wp:extent cx="7620" cy="762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-2847975</wp:posOffset>
            </wp:positionV>
            <wp:extent cx="7620" cy="76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-2832735</wp:posOffset>
            </wp:positionV>
            <wp:extent cx="7620" cy="76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-2818130</wp:posOffset>
            </wp:positionV>
            <wp:extent cx="7620" cy="762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-2803525</wp:posOffset>
            </wp:positionV>
            <wp:extent cx="7620" cy="762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-2788285</wp:posOffset>
            </wp:positionV>
            <wp:extent cx="7620" cy="762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-2773680</wp:posOffset>
            </wp:positionV>
            <wp:extent cx="7620" cy="762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-2759075</wp:posOffset>
            </wp:positionV>
            <wp:extent cx="7620" cy="76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-2743835</wp:posOffset>
            </wp:positionV>
            <wp:extent cx="7620" cy="762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-2729230</wp:posOffset>
            </wp:positionV>
            <wp:extent cx="7620" cy="762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-2713990</wp:posOffset>
            </wp:positionV>
            <wp:extent cx="7620" cy="762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-2699385</wp:posOffset>
            </wp:positionV>
            <wp:extent cx="7620" cy="76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-2684780</wp:posOffset>
            </wp:positionV>
            <wp:extent cx="7620" cy="76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-2669540</wp:posOffset>
            </wp:positionV>
            <wp:extent cx="7620" cy="762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-2654935</wp:posOffset>
            </wp:positionV>
            <wp:extent cx="7620" cy="762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-2640330</wp:posOffset>
            </wp:positionV>
            <wp:extent cx="7620" cy="762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01" w:lineRule="exact"/>
        <w:rPr>
          <w:sz w:val="20"/>
          <w:szCs w:val="20"/>
          <w:color w:val="auto"/>
        </w:rPr>
      </w:pPr>
    </w:p>
    <w:p>
      <w:pPr>
        <w:ind w:left="7"/>
        <w:spacing w:after="0"/>
        <w:rPr>
          <w:sz w:val="20"/>
          <w:szCs w:val="20"/>
          <w:color w:val="auto"/>
        </w:rPr>
      </w:pPr>
      <w:r>
        <w:rPr>
          <w:rFonts w:ascii="Arial" w:cs="Arial" w:eastAsia="Arial" w:hAnsi="Arial"/>
          <w:sz w:val="12"/>
          <w:szCs w:val="12"/>
          <w:color w:val="auto"/>
        </w:rPr>
        <w:t>* Less than 1.0 percent of the outstanding common stock of the company.</w:t>
      </w:r>
    </w:p>
    <w:p>
      <w:pPr>
        <w:spacing w:after="0" w:line="61" w:lineRule="exact"/>
        <w:rPr>
          <w:sz w:val="20"/>
          <w:szCs w:val="20"/>
          <w:color w:val="auto"/>
        </w:rPr>
      </w:pPr>
    </w:p>
    <w:p>
      <w:pPr>
        <w:ind w:left="67" w:right="100" w:hanging="67"/>
        <w:spacing w:after="0" w:line="227" w:lineRule="auto"/>
        <w:tabs>
          <w:tab w:leader="none" w:pos="76" w:val="left"/>
        </w:tabs>
        <w:numPr>
          <w:ilvl w:val="0"/>
          <w:numId w:val="110"/>
        </w:numPr>
        <w:rPr>
          <w:rFonts w:ascii="Arial" w:cs="Arial" w:eastAsia="Arial" w:hAnsi="Arial"/>
          <w:sz w:val="16"/>
          <w:szCs w:val="16"/>
          <w:color w:val="auto"/>
          <w:vertAlign w:val="superscript"/>
        </w:rPr>
      </w:pPr>
      <w:r>
        <w:rPr>
          <w:rFonts w:ascii="Arial" w:cs="Arial" w:eastAsia="Arial" w:hAnsi="Arial"/>
          <w:sz w:val="12"/>
          <w:szCs w:val="12"/>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34" w:lineRule="exact"/>
        <w:rPr>
          <w:sz w:val="20"/>
          <w:szCs w:val="20"/>
          <w:color w:val="auto"/>
        </w:rPr>
      </w:pPr>
    </w:p>
    <w:p>
      <w:pPr>
        <w:ind w:left="87" w:hanging="87"/>
        <w:spacing w:after="0"/>
        <w:tabs>
          <w:tab w:leader="none" w:pos="87" w:val="left"/>
        </w:tabs>
        <w:numPr>
          <w:ilvl w:val="0"/>
          <w:numId w:val="111"/>
        </w:numPr>
        <w:rPr>
          <w:rFonts w:ascii="Arial" w:cs="Arial" w:eastAsia="Arial" w:hAnsi="Arial"/>
          <w:sz w:val="8"/>
          <w:szCs w:val="8"/>
          <w:color w:val="auto"/>
        </w:rPr>
      </w:pPr>
      <w:r>
        <w:rPr>
          <w:rFonts w:ascii="Arial" w:cs="Arial" w:eastAsia="Arial" w:hAnsi="Arial"/>
          <w:sz w:val="12"/>
          <w:szCs w:val="12"/>
          <w:color w:val="auto"/>
        </w:rPr>
        <w:t>This column includes the number of shares of common stock held directly or indirectly, including the number of 401(k) Plan shares held by the beneficial owners indirectly through the 401(k) Plan.</w:t>
      </w:r>
    </w:p>
    <w:p>
      <w:pPr>
        <w:spacing w:after="0" w:line="57" w:lineRule="exact"/>
        <w:rPr>
          <w:rFonts w:ascii="Arial" w:cs="Arial" w:eastAsia="Arial" w:hAnsi="Arial"/>
          <w:sz w:val="8"/>
          <w:szCs w:val="8"/>
          <w:color w:val="auto"/>
        </w:rPr>
      </w:pPr>
    </w:p>
    <w:p>
      <w:pPr>
        <w:ind w:left="7"/>
        <w:spacing w:after="0"/>
        <w:rPr>
          <w:rFonts w:ascii="Arial" w:cs="Arial" w:eastAsia="Arial" w:hAnsi="Arial"/>
          <w:sz w:val="8"/>
          <w:szCs w:val="8"/>
          <w:color w:val="auto"/>
        </w:rPr>
      </w:pPr>
      <w:r>
        <w:rPr>
          <w:rFonts w:ascii="Arial" w:cs="Arial" w:eastAsia="Arial" w:hAnsi="Arial"/>
          <w:sz w:val="16"/>
          <w:szCs w:val="16"/>
          <w:color w:val="auto"/>
          <w:vertAlign w:val="superscript"/>
        </w:rPr>
        <w:t>3</w:t>
      </w:r>
      <w:r>
        <w:rPr>
          <w:rFonts w:ascii="Arial" w:cs="Arial" w:eastAsia="Arial" w:hAnsi="Arial"/>
          <w:sz w:val="12"/>
          <w:szCs w:val="12"/>
          <w:color w:val="auto"/>
        </w:rPr>
        <w:t xml:space="preserve"> This column sets forth restricted stock units that vest within 60 days of February 21, 2023.</w:t>
      </w:r>
    </w:p>
    <w:p>
      <w:pPr>
        <w:spacing w:after="0" w:line="23" w:lineRule="exact"/>
        <w:rPr>
          <w:sz w:val="20"/>
          <w:szCs w:val="20"/>
          <w:color w:val="auto"/>
        </w:rPr>
      </w:pPr>
    </w:p>
    <w:p>
      <w:pPr>
        <w:ind w:left="67" w:right="500" w:hanging="67"/>
        <w:spacing w:after="0" w:line="232" w:lineRule="auto"/>
        <w:tabs>
          <w:tab w:leader="none" w:pos="76" w:val="left"/>
        </w:tabs>
        <w:numPr>
          <w:ilvl w:val="0"/>
          <w:numId w:val="112"/>
        </w:numPr>
        <w:rPr>
          <w:rFonts w:ascii="Arial" w:cs="Arial" w:eastAsia="Arial" w:hAnsi="Arial"/>
          <w:sz w:val="16"/>
          <w:szCs w:val="16"/>
          <w:color w:val="auto"/>
          <w:vertAlign w:val="superscript"/>
        </w:rPr>
      </w:pPr>
      <w:r>
        <w:rPr>
          <w:rFonts w:ascii="Arial" w:cs="Arial" w:eastAsia="Arial" w:hAnsi="Arial"/>
          <w:sz w:val="12"/>
          <w:szCs w:val="12"/>
          <w:color w:val="auto"/>
        </w:rPr>
        <w:t>For the executive officers, this column reflects restricted stock units that will not vest within 60 days of February 21, 2023. For the non-employee directors, this column reflects the number of units representing the right to receive shares of company stock credited to the directors’ accounts in the Lilly Directors’ Deferral Plan.</w:t>
      </w:r>
    </w:p>
    <w:p>
      <w:pPr>
        <w:spacing w:after="0" w:line="23" w:lineRule="exact"/>
        <w:rPr>
          <w:sz w:val="20"/>
          <w:szCs w:val="20"/>
          <w:color w:val="auto"/>
        </w:rPr>
      </w:pPr>
    </w:p>
    <w:p>
      <w:pPr>
        <w:ind w:left="67" w:hanging="67"/>
        <w:spacing w:after="0" w:line="310" w:lineRule="auto"/>
        <w:tabs>
          <w:tab w:leader="none" w:pos="76" w:val="left"/>
        </w:tabs>
        <w:numPr>
          <w:ilvl w:val="0"/>
          <w:numId w:val="113"/>
        </w:numPr>
        <w:rPr>
          <w:rFonts w:ascii="Arial" w:cs="Arial" w:eastAsia="Arial" w:hAnsi="Arial"/>
          <w:sz w:val="8"/>
          <w:szCs w:val="8"/>
          <w:color w:val="auto"/>
        </w:rPr>
      </w:pPr>
      <w:r>
        <w:rPr>
          <w:rFonts w:ascii="Arial" w:cs="Arial" w:eastAsia="Arial" w:hAnsi="Arial"/>
          <w:sz w:val="12"/>
          <w:szCs w:val="12"/>
          <w:color w:val="auto"/>
        </w:rPr>
        <w:t>The shares shown for Mr. Ricks include 55,497 shares that are owned by a family foundation for which he is a director. Mr. Ricks has shared voting power and shared investment power with respect to the shares held by the foundation.</w:t>
      </w:r>
    </w:p>
    <w:p>
      <w:pPr>
        <w:spacing w:after="0" w:line="7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Common Stock Ownership of Certain Beneficial Holders</w:t>
      </w:r>
    </w:p>
    <w:p>
      <w:pPr>
        <w:spacing w:after="0" w:line="57" w:lineRule="exact"/>
        <w:rPr>
          <w:sz w:val="20"/>
          <w:szCs w:val="20"/>
          <w:color w:val="auto"/>
        </w:rPr>
      </w:pPr>
    </w:p>
    <w:p>
      <w:pPr>
        <w:ind w:left="7" w:right="200"/>
        <w:spacing w:after="0" w:line="271" w:lineRule="auto"/>
        <w:rPr>
          <w:sz w:val="20"/>
          <w:szCs w:val="20"/>
          <w:color w:val="auto"/>
        </w:rPr>
      </w:pPr>
      <w:r>
        <w:rPr>
          <w:rFonts w:ascii="Arial" w:cs="Arial" w:eastAsia="Arial" w:hAnsi="Arial"/>
          <w:sz w:val="16"/>
          <w:szCs w:val="16"/>
          <w:color w:val="auto"/>
        </w:rPr>
        <w:t>The following table sets forth the number of shares of company common stock beneficially owned as of December 31, 2022, unless otherwise indicated, by each person known to the company to beneficially own more than 5 percent of the outstanding shares of the company’s common stock:</w:t>
      </w:r>
    </w:p>
    <w:p>
      <w:pPr>
        <w:spacing w:after="0" w:line="200" w:lineRule="exact"/>
        <w:rPr>
          <w:sz w:val="20"/>
          <w:szCs w:val="20"/>
          <w:color w:val="auto"/>
        </w:rPr>
      </w:pPr>
    </w:p>
    <w:p>
      <w:pPr>
        <w:spacing w:after="0" w:line="252"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993" w:right="339" w:bottom="1440" w:gutter="0" w:footer="0" w:header="0"/>
        </w:sectPr>
      </w:pPr>
    </w:p>
    <w:bookmarkStart w:id="52" w:name="page53"/>
    <w:bookmarkEnd w:id="52"/>
    <w:tbl>
      <w:tblPr>
        <w:tblLayout w:type="fixed"/>
        <w:tblInd w:w="7" w:type="dxa"/>
        <w:tblCellMar>
          <w:top w:w="0" w:type="dxa"/>
          <w:left w:w="0" w:type="dxa"/>
          <w:bottom w:w="0" w:type="dxa"/>
          <w:right w:w="0" w:type="dxa"/>
        </w:tblCellMar>
      </w:tblPr>
      <w:tr>
        <w:trPr>
          <w:trHeight w:val="140"/>
        </w:trPr>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Arial" w:cs="Arial" w:eastAsia="Arial" w:hAnsi="Arial"/>
                <w:sz w:val="12"/>
                <w:szCs w:val="12"/>
                <w:b w:val="1"/>
                <w:bCs w:val="1"/>
                <w:color w:val="auto"/>
              </w:rPr>
              <w:t>Number of Shares</w:t>
            </w:r>
          </w:p>
        </w:tc>
        <w:tc>
          <w:tcPr>
            <w:tcW w:w="1720" w:type="dxa"/>
            <w:vAlign w:val="bottom"/>
            <w:vMerge w:val="restart"/>
          </w:tcPr>
          <w:p>
            <w:pPr>
              <w:ind w:left="440"/>
              <w:spacing w:after="0"/>
              <w:rPr>
                <w:sz w:val="20"/>
                <w:szCs w:val="20"/>
                <w:color w:val="auto"/>
              </w:rPr>
            </w:pPr>
            <w:r>
              <w:rPr>
                <w:rFonts w:ascii="Arial" w:cs="Arial" w:eastAsia="Arial" w:hAnsi="Arial"/>
                <w:sz w:val="12"/>
                <w:szCs w:val="12"/>
                <w:b w:val="1"/>
                <w:bCs w:val="1"/>
                <w:color w:val="auto"/>
              </w:rPr>
              <w:t>Percent of Class</w:t>
            </w:r>
            <w:r>
              <w:rPr>
                <w:rFonts w:ascii="Arial" w:cs="Arial" w:eastAsia="Arial" w:hAnsi="Arial"/>
                <w:sz w:val="16"/>
                <w:szCs w:val="16"/>
                <w:b w:val="1"/>
                <w:bCs w:val="1"/>
                <w:color w:val="auto"/>
                <w:vertAlign w:val="superscript"/>
              </w:rPr>
              <w:t>*</w:t>
            </w:r>
          </w:p>
        </w:tc>
        <w:tc>
          <w:tcPr>
            <w:tcW w:w="0" w:type="dxa"/>
            <w:vAlign w:val="bottom"/>
          </w:tcPr>
          <w:p>
            <w:pPr>
              <w:spacing w:after="0"/>
              <w:rPr>
                <w:sz w:val="1"/>
                <w:szCs w:val="1"/>
                <w:color w:val="auto"/>
              </w:rPr>
            </w:pPr>
          </w:p>
        </w:tc>
      </w:tr>
      <w:tr>
        <w:trPr>
          <w:trHeight w:val="183"/>
        </w:trPr>
        <w:tc>
          <w:tcPr>
            <w:tcW w:w="2200" w:type="dxa"/>
            <w:vAlign w:val="bottom"/>
          </w:tcPr>
          <w:p>
            <w:pPr>
              <w:ind w:left="560"/>
              <w:spacing w:after="0"/>
              <w:rPr>
                <w:sz w:val="20"/>
                <w:szCs w:val="20"/>
                <w:color w:val="auto"/>
              </w:rPr>
            </w:pPr>
            <w:r>
              <w:rPr>
                <w:rFonts w:ascii="Arial" w:cs="Arial" w:eastAsia="Arial" w:hAnsi="Arial"/>
                <w:sz w:val="12"/>
                <w:szCs w:val="12"/>
                <w:b w:val="1"/>
                <w:bCs w:val="1"/>
                <w:color w:val="auto"/>
              </w:rPr>
              <w:t>Name and Address</w:t>
            </w:r>
          </w:p>
        </w:tc>
        <w:tc>
          <w:tcPr>
            <w:tcW w:w="360" w:type="dxa"/>
            <w:vAlign w:val="bottom"/>
            <w:vMerge w:val="restart"/>
          </w:tcPr>
          <w:p>
            <w:pPr>
              <w:jc w:val="right"/>
              <w:ind w:right="200"/>
              <w:spacing w:after="0"/>
              <w:rPr>
                <w:sz w:val="20"/>
                <w:szCs w:val="20"/>
                <w:color w:val="auto"/>
              </w:rPr>
            </w:pPr>
            <w:r>
              <w:rPr>
                <w:rFonts w:ascii="Arial" w:cs="Arial" w:eastAsia="Arial" w:hAnsi="Arial"/>
                <w:sz w:val="8"/>
                <w:szCs w:val="8"/>
                <w:color w:val="auto"/>
              </w:rPr>
              <w:t>1</w:t>
            </w:r>
          </w:p>
        </w:tc>
        <w:tc>
          <w:tcPr>
            <w:tcW w:w="1820" w:type="dxa"/>
            <w:vAlign w:val="bottom"/>
          </w:tcPr>
          <w:p>
            <w:pPr>
              <w:ind w:left="220"/>
              <w:spacing w:after="0"/>
              <w:rPr>
                <w:sz w:val="20"/>
                <w:szCs w:val="20"/>
                <w:color w:val="auto"/>
              </w:rPr>
            </w:pPr>
            <w:r>
              <w:rPr>
                <w:rFonts w:ascii="Arial" w:cs="Arial" w:eastAsia="Arial" w:hAnsi="Arial"/>
                <w:sz w:val="12"/>
                <w:szCs w:val="12"/>
                <w:b w:val="1"/>
                <w:bCs w:val="1"/>
                <w:color w:val="auto"/>
              </w:rPr>
              <w:t>Beneficially Owned</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200" w:type="dxa"/>
            <w:vAlign w:val="bottom"/>
            <w:vMerge w:val="restart"/>
          </w:tcPr>
          <w:p>
            <w:pPr>
              <w:spacing w:after="0"/>
              <w:rPr>
                <w:sz w:val="20"/>
                <w:szCs w:val="20"/>
                <w:color w:val="auto"/>
              </w:rPr>
            </w:pPr>
            <w:r>
              <w:rPr>
                <w:rFonts w:ascii="Arial" w:cs="Arial" w:eastAsia="Arial" w:hAnsi="Arial"/>
                <w:sz w:val="12"/>
                <w:szCs w:val="12"/>
                <w:color w:val="auto"/>
              </w:rPr>
              <w:t>Lilly Endowment Inc. (the Endowment)</w:t>
            </w:r>
          </w:p>
        </w:tc>
        <w:tc>
          <w:tcPr>
            <w:tcW w:w="360" w:type="dxa"/>
            <w:vAlign w:val="bottom"/>
            <w:vMerge w:val="continue"/>
          </w:tcPr>
          <w:p>
            <w:pPr>
              <w:spacing w:after="0"/>
              <w:rPr>
                <w:sz w:val="7"/>
                <w:szCs w:val="7"/>
                <w:color w:val="auto"/>
              </w:rPr>
            </w:pPr>
          </w:p>
        </w:tc>
        <w:tc>
          <w:tcPr>
            <w:tcW w:w="1820" w:type="dxa"/>
            <w:vAlign w:val="bottom"/>
            <w:vMerge w:val="restart"/>
          </w:tcPr>
          <w:p>
            <w:pPr>
              <w:jc w:val="center"/>
              <w:ind w:right="158"/>
              <w:spacing w:after="0"/>
              <w:rPr>
                <w:sz w:val="20"/>
                <w:szCs w:val="20"/>
                <w:color w:val="auto"/>
              </w:rPr>
            </w:pPr>
            <w:r>
              <w:rPr>
                <w:rFonts w:ascii="Arial" w:cs="Arial" w:eastAsia="Arial" w:hAnsi="Arial"/>
                <w:sz w:val="12"/>
                <w:szCs w:val="12"/>
                <w:color w:val="auto"/>
              </w:rPr>
              <w:t>102,948,810</w:t>
            </w:r>
          </w:p>
        </w:tc>
        <w:tc>
          <w:tcPr>
            <w:tcW w:w="1720" w:type="dxa"/>
            <w:vAlign w:val="bottom"/>
            <w:vMerge w:val="restart"/>
          </w:tcPr>
          <w:p>
            <w:pPr>
              <w:jc w:val="center"/>
              <w:ind w:left="98"/>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color w:val="auto"/>
              </w:rPr>
              <w:t>2801 North Meridian Street</w:t>
            </w: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20"/>
                <w:szCs w:val="20"/>
                <w:color w:val="auto"/>
              </w:rPr>
            </w:pPr>
            <w:r>
              <w:rPr>
                <w:rFonts w:ascii="Arial" w:cs="Arial" w:eastAsia="Arial" w:hAnsi="Arial"/>
                <w:sz w:val="12"/>
                <w:szCs w:val="12"/>
                <w:color w:val="auto"/>
              </w:rPr>
              <w:t>Indianapolis, IN 46208</w:t>
            </w:r>
          </w:p>
        </w:tc>
        <w:tc>
          <w:tcPr>
            <w:tcW w:w="360" w:type="dxa"/>
            <w:vAlign w:val="bottom"/>
            <w:vMerge w:val="restart"/>
          </w:tcPr>
          <w:p>
            <w:pPr>
              <w:jc w:val="right"/>
              <w:ind w:right="200"/>
              <w:spacing w:after="0"/>
              <w:rPr>
                <w:sz w:val="20"/>
                <w:szCs w:val="20"/>
                <w:color w:val="auto"/>
              </w:rPr>
            </w:pPr>
            <w:r>
              <w:rPr>
                <w:rFonts w:ascii="Arial" w:cs="Arial" w:eastAsia="Arial" w:hAnsi="Arial"/>
                <w:sz w:val="8"/>
                <w:szCs w:val="8"/>
                <w:color w:val="auto"/>
              </w:rPr>
              <w:t>2</w:t>
            </w: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200" w:type="dxa"/>
            <w:vAlign w:val="bottom"/>
            <w:vMerge w:val="restart"/>
          </w:tcPr>
          <w:p>
            <w:pPr>
              <w:spacing w:after="0"/>
              <w:rPr>
                <w:sz w:val="20"/>
                <w:szCs w:val="20"/>
                <w:color w:val="auto"/>
              </w:rPr>
            </w:pPr>
            <w:r>
              <w:rPr>
                <w:rFonts w:ascii="Arial" w:cs="Arial" w:eastAsia="Arial" w:hAnsi="Arial"/>
                <w:sz w:val="12"/>
                <w:szCs w:val="12"/>
                <w:color w:val="auto"/>
              </w:rPr>
              <w:t>The Vanguard Group</w:t>
            </w:r>
          </w:p>
        </w:tc>
        <w:tc>
          <w:tcPr>
            <w:tcW w:w="360" w:type="dxa"/>
            <w:vAlign w:val="bottom"/>
            <w:vMerge w:val="continue"/>
          </w:tcPr>
          <w:p>
            <w:pPr>
              <w:spacing w:after="0"/>
              <w:rPr>
                <w:sz w:val="7"/>
                <w:szCs w:val="7"/>
                <w:color w:val="auto"/>
              </w:rPr>
            </w:pPr>
          </w:p>
        </w:tc>
        <w:tc>
          <w:tcPr>
            <w:tcW w:w="1820" w:type="dxa"/>
            <w:vAlign w:val="bottom"/>
            <w:vMerge w:val="restart"/>
          </w:tcPr>
          <w:p>
            <w:pPr>
              <w:jc w:val="center"/>
              <w:ind w:right="178"/>
              <w:spacing w:after="0"/>
              <w:rPr>
                <w:sz w:val="20"/>
                <w:szCs w:val="20"/>
                <w:color w:val="auto"/>
              </w:rPr>
            </w:pPr>
            <w:r>
              <w:rPr>
                <w:rFonts w:ascii="Arial" w:cs="Arial" w:eastAsia="Arial" w:hAnsi="Arial"/>
                <w:sz w:val="12"/>
                <w:szCs w:val="12"/>
                <w:color w:val="auto"/>
              </w:rPr>
              <w:t>73,429,863</w:t>
            </w:r>
          </w:p>
        </w:tc>
        <w:tc>
          <w:tcPr>
            <w:tcW w:w="1720" w:type="dxa"/>
            <w:vAlign w:val="bottom"/>
            <w:vMerge w:val="restart"/>
          </w:tcPr>
          <w:p>
            <w:pPr>
              <w:jc w:val="center"/>
              <w:ind w:left="98"/>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color w:val="auto"/>
              </w:rPr>
              <w:t>100 Vanguard Blvd.</w:t>
            </w: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20"/>
                <w:szCs w:val="20"/>
                <w:color w:val="auto"/>
              </w:rPr>
            </w:pPr>
            <w:r>
              <w:rPr>
                <w:rFonts w:ascii="Arial" w:cs="Arial" w:eastAsia="Arial" w:hAnsi="Arial"/>
                <w:sz w:val="12"/>
                <w:szCs w:val="12"/>
                <w:color w:val="auto"/>
              </w:rPr>
              <w:t>Malvern, PA 19355</w:t>
            </w:r>
          </w:p>
        </w:tc>
        <w:tc>
          <w:tcPr>
            <w:tcW w:w="360" w:type="dxa"/>
            <w:vAlign w:val="bottom"/>
            <w:vMerge w:val="restart"/>
          </w:tcPr>
          <w:p>
            <w:pPr>
              <w:jc w:val="right"/>
              <w:ind w:right="200"/>
              <w:spacing w:after="0"/>
              <w:rPr>
                <w:sz w:val="20"/>
                <w:szCs w:val="20"/>
                <w:color w:val="auto"/>
              </w:rPr>
            </w:pPr>
            <w:r>
              <w:rPr>
                <w:rFonts w:ascii="Arial" w:cs="Arial" w:eastAsia="Arial" w:hAnsi="Arial"/>
                <w:sz w:val="8"/>
                <w:szCs w:val="8"/>
                <w:color w:val="auto"/>
              </w:rPr>
              <w:t>3</w:t>
            </w: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200" w:type="dxa"/>
            <w:vAlign w:val="bottom"/>
            <w:vMerge w:val="restart"/>
          </w:tcPr>
          <w:p>
            <w:pPr>
              <w:spacing w:after="0"/>
              <w:rPr>
                <w:sz w:val="20"/>
                <w:szCs w:val="20"/>
                <w:color w:val="auto"/>
              </w:rPr>
            </w:pPr>
            <w:r>
              <w:rPr>
                <w:rFonts w:ascii="Arial" w:cs="Arial" w:eastAsia="Arial" w:hAnsi="Arial"/>
                <w:sz w:val="12"/>
                <w:szCs w:val="12"/>
                <w:color w:val="auto"/>
              </w:rPr>
              <w:t>BlackRock, Inc.</w:t>
            </w:r>
          </w:p>
        </w:tc>
        <w:tc>
          <w:tcPr>
            <w:tcW w:w="360" w:type="dxa"/>
            <w:vAlign w:val="bottom"/>
            <w:vMerge w:val="continue"/>
          </w:tcPr>
          <w:p>
            <w:pPr>
              <w:spacing w:after="0"/>
              <w:rPr>
                <w:sz w:val="8"/>
                <w:szCs w:val="8"/>
                <w:color w:val="auto"/>
              </w:rPr>
            </w:pPr>
          </w:p>
        </w:tc>
        <w:tc>
          <w:tcPr>
            <w:tcW w:w="1820" w:type="dxa"/>
            <w:vAlign w:val="bottom"/>
            <w:vMerge w:val="restart"/>
          </w:tcPr>
          <w:p>
            <w:pPr>
              <w:jc w:val="center"/>
              <w:ind w:right="178"/>
              <w:spacing w:after="0"/>
              <w:rPr>
                <w:sz w:val="20"/>
                <w:szCs w:val="20"/>
                <w:color w:val="auto"/>
              </w:rPr>
            </w:pPr>
            <w:r>
              <w:rPr>
                <w:rFonts w:ascii="Arial" w:cs="Arial" w:eastAsia="Arial" w:hAnsi="Arial"/>
                <w:sz w:val="12"/>
                <w:szCs w:val="12"/>
                <w:color w:val="auto"/>
              </w:rPr>
              <w:t>65,467,793</w:t>
            </w:r>
          </w:p>
        </w:tc>
        <w:tc>
          <w:tcPr>
            <w:tcW w:w="1720" w:type="dxa"/>
            <w:vAlign w:val="bottom"/>
            <w:vMerge w:val="restart"/>
          </w:tcPr>
          <w:p>
            <w:pPr>
              <w:jc w:val="center"/>
              <w:ind w:left="98"/>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color w:val="auto"/>
              </w:rPr>
              <w:t>55 East 52nd Street</w:t>
            </w: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20"/>
                <w:szCs w:val="20"/>
                <w:color w:val="auto"/>
              </w:rPr>
            </w:pPr>
            <w:r>
              <w:rPr>
                <w:rFonts w:ascii="Arial" w:cs="Arial" w:eastAsia="Arial" w:hAnsi="Arial"/>
                <w:sz w:val="12"/>
                <w:szCs w:val="12"/>
                <w:color w:val="auto"/>
              </w:rPr>
              <w:t>New York, NY 10055</w:t>
            </w: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rPr>
                <w:sz w:val="20"/>
                <w:szCs w:val="20"/>
                <w:color w:val="auto"/>
              </w:rPr>
            </w:pPr>
            <w:r>
              <w:rPr>
                <w:rFonts w:ascii="Arial" w:cs="Arial" w:eastAsia="Arial" w:hAnsi="Arial"/>
                <w:sz w:val="12"/>
                <w:szCs w:val="12"/>
                <w:color w:val="auto"/>
              </w:rPr>
              <w:t xml:space="preserve">The PNC Financial Services Group, Inc. </w:t>
            </w:r>
            <w:r>
              <w:rPr>
                <w:rFonts w:ascii="Arial" w:cs="Arial" w:eastAsia="Arial" w:hAnsi="Arial"/>
                <w:sz w:val="16"/>
                <w:szCs w:val="16"/>
                <w:color w:val="auto"/>
                <w:vertAlign w:val="superscript"/>
              </w:rPr>
              <w:t>4</w:t>
            </w:r>
          </w:p>
        </w:tc>
        <w:tc>
          <w:tcPr>
            <w:tcW w:w="1820" w:type="dxa"/>
            <w:vAlign w:val="bottom"/>
          </w:tcPr>
          <w:p>
            <w:pPr>
              <w:jc w:val="center"/>
              <w:ind w:right="178"/>
              <w:spacing w:after="0"/>
              <w:rPr>
                <w:sz w:val="20"/>
                <w:szCs w:val="20"/>
                <w:color w:val="auto"/>
              </w:rPr>
            </w:pPr>
            <w:r>
              <w:rPr>
                <w:rFonts w:ascii="Arial" w:cs="Arial" w:eastAsia="Arial" w:hAnsi="Arial"/>
                <w:sz w:val="12"/>
                <w:szCs w:val="12"/>
                <w:color w:val="auto"/>
              </w:rPr>
              <w:t>51,829,873</w:t>
            </w:r>
          </w:p>
        </w:tc>
        <w:tc>
          <w:tcPr>
            <w:tcW w:w="1720" w:type="dxa"/>
            <w:vAlign w:val="bottom"/>
          </w:tcPr>
          <w:p>
            <w:pPr>
              <w:jc w:val="center"/>
              <w:ind w:left="98"/>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color w:val="auto"/>
              </w:rPr>
              <w:t>300 Fifth Avenue</w:t>
            </w: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20"/>
                <w:szCs w:val="20"/>
                <w:color w:val="auto"/>
              </w:rPr>
            </w:pPr>
            <w:r>
              <w:rPr>
                <w:rFonts w:ascii="Arial" w:cs="Arial" w:eastAsia="Arial" w:hAnsi="Arial"/>
                <w:sz w:val="12"/>
                <w:szCs w:val="12"/>
                <w:color w:val="auto"/>
              </w:rPr>
              <w:t>Pittsburgh, PA 15222</w:t>
            </w: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511810</wp:posOffset>
            </wp:positionV>
            <wp:extent cx="3872230" cy="762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8722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-659765</wp:posOffset>
            </wp:positionV>
            <wp:extent cx="3872230" cy="3263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872230" cy="3263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-1312545</wp:posOffset>
            </wp:positionV>
            <wp:extent cx="3872230" cy="3263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872230" cy="326390"/>
                    </a:xfrm>
                    <a:prstGeom prst="rect">
                      <a:avLst/>
                    </a:prstGeom>
                    <a:noFill/>
                  </pic:spPr>
                </pic:pic>
              </a:graphicData>
            </a:graphic>
          </wp:anchor>
        </w:drawing>
      </w:r>
    </w:p>
    <w:p>
      <w:pPr>
        <w:spacing w:after="0" w:line="136" w:lineRule="exact"/>
        <w:rPr>
          <w:sz w:val="20"/>
          <w:szCs w:val="20"/>
          <w:color w:val="auto"/>
        </w:rPr>
      </w:pPr>
    </w:p>
    <w:p>
      <w:pPr>
        <w:ind w:left="7"/>
        <w:spacing w:after="0"/>
        <w:rPr>
          <w:sz w:val="20"/>
          <w:szCs w:val="20"/>
          <w:color w:val="auto"/>
        </w:rPr>
      </w:pPr>
      <w:r>
        <w:rPr>
          <w:rFonts w:ascii="Arial" w:cs="Arial" w:eastAsia="Arial" w:hAnsi="Arial"/>
          <w:sz w:val="12"/>
          <w:szCs w:val="12"/>
          <w:color w:val="auto"/>
        </w:rPr>
        <w:t>*Percent of class is calculated based on the shares of our common stock outstanding as of February 21, 2023.</w:t>
      </w:r>
    </w:p>
    <w:p>
      <w:pPr>
        <w:spacing w:after="0" w:line="61" w:lineRule="exact"/>
        <w:rPr>
          <w:sz w:val="20"/>
          <w:szCs w:val="20"/>
          <w:color w:val="auto"/>
        </w:rPr>
      </w:pPr>
    </w:p>
    <w:p>
      <w:pPr>
        <w:ind w:left="67" w:right="200" w:hanging="67"/>
        <w:spacing w:after="0" w:line="235" w:lineRule="auto"/>
        <w:tabs>
          <w:tab w:leader="none" w:pos="76" w:val="left"/>
        </w:tabs>
        <w:numPr>
          <w:ilvl w:val="0"/>
          <w:numId w:val="114"/>
        </w:numPr>
        <w:rPr>
          <w:rFonts w:ascii="Arial" w:cs="Arial" w:eastAsia="Arial" w:hAnsi="Arial"/>
          <w:sz w:val="16"/>
          <w:szCs w:val="16"/>
          <w:color w:val="auto"/>
          <w:vertAlign w:val="superscript"/>
        </w:rPr>
      </w:pPr>
      <w:r>
        <w:rPr>
          <w:rFonts w:ascii="Arial" w:cs="Arial" w:eastAsia="Arial" w:hAnsi="Arial"/>
          <w:sz w:val="12"/>
          <w:szCs w:val="12"/>
          <w:color w:val="auto"/>
        </w:rPr>
        <w:t>Based on information provided to Lilly by the Endowment as of January 6, 2023, and a Schedule 13G/A filed by the Endowment with the SEC on January 25, 2023, the Endowment has sole voting and sole dispositive power with respect to all of its shares.</w:t>
      </w:r>
    </w:p>
    <w:p>
      <w:pPr>
        <w:spacing w:after="0" w:line="35" w:lineRule="exact"/>
        <w:rPr>
          <w:sz w:val="20"/>
          <w:szCs w:val="20"/>
          <w:color w:val="auto"/>
        </w:rPr>
      </w:pPr>
    </w:p>
    <w:p>
      <w:pPr>
        <w:ind w:left="67" w:right="40" w:hanging="67"/>
        <w:spacing w:after="0" w:line="238" w:lineRule="auto"/>
        <w:tabs>
          <w:tab w:leader="none" w:pos="76" w:val="left"/>
        </w:tabs>
        <w:numPr>
          <w:ilvl w:val="0"/>
          <w:numId w:val="115"/>
        </w:numPr>
        <w:rPr>
          <w:rFonts w:ascii="Arial" w:cs="Arial" w:eastAsia="Arial" w:hAnsi="Arial"/>
          <w:sz w:val="16"/>
          <w:szCs w:val="16"/>
          <w:color w:val="auto"/>
          <w:vertAlign w:val="superscript"/>
        </w:rPr>
      </w:pPr>
      <w:r>
        <w:rPr>
          <w:rFonts w:ascii="Arial" w:cs="Arial" w:eastAsia="Arial" w:hAnsi="Arial"/>
          <w:sz w:val="12"/>
          <w:szCs w:val="12"/>
          <w:color w:val="auto"/>
        </w:rPr>
        <w:t>Based solely on the Schedule 13G/A filed with the SEC on February 9, 2023, by The Vanguard Group, it beneficially owns 73,429,863 shares altogether. It does not have sole voting power with respect to any of its shares and it has shared voting power with respect to 1,190,462 of its shares. It has sole dispositive power with respect to 70,058,275 of its shares and shared dispositive power with respect to 3,371,588 of its shares.</w:t>
      </w:r>
    </w:p>
    <w:p>
      <w:pPr>
        <w:spacing w:after="0" w:line="34" w:lineRule="exact"/>
        <w:rPr>
          <w:sz w:val="20"/>
          <w:szCs w:val="20"/>
          <w:color w:val="auto"/>
        </w:rPr>
      </w:pPr>
    </w:p>
    <w:p>
      <w:pPr>
        <w:ind w:left="67" w:right="120" w:hanging="67"/>
        <w:spacing w:after="0" w:line="235" w:lineRule="auto"/>
        <w:tabs>
          <w:tab w:leader="none" w:pos="76"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Based solely on the Schedule 13G/A filed with the SEC on February 1, 2023, by BlackRock, Inc., it has sole voting power with respect to 58,947,344 of its shares and sole dispositive power with respect to 65,467,793 of its shares.</w:t>
      </w:r>
    </w:p>
    <w:p>
      <w:pPr>
        <w:spacing w:after="0" w:line="35" w:lineRule="exact"/>
        <w:rPr>
          <w:sz w:val="20"/>
          <w:szCs w:val="20"/>
          <w:color w:val="auto"/>
        </w:rPr>
      </w:pPr>
    </w:p>
    <w:p>
      <w:pPr>
        <w:ind w:left="67" w:right="60" w:hanging="67"/>
        <w:spacing w:after="0" w:line="249" w:lineRule="auto"/>
        <w:tabs>
          <w:tab w:leader="none" w:pos="76" w:val="left"/>
        </w:tabs>
        <w:numPr>
          <w:ilvl w:val="0"/>
          <w:numId w:val="117"/>
        </w:numPr>
        <w:rPr>
          <w:rFonts w:ascii="Arial" w:cs="Arial" w:eastAsia="Arial" w:hAnsi="Arial"/>
          <w:sz w:val="16"/>
          <w:szCs w:val="16"/>
          <w:color w:val="auto"/>
          <w:vertAlign w:val="superscript"/>
        </w:rPr>
      </w:pPr>
      <w:r>
        <w:rPr>
          <w:rFonts w:ascii="Arial" w:cs="Arial" w:eastAsia="Arial" w:hAnsi="Arial"/>
          <w:sz w:val="12"/>
          <w:szCs w:val="12"/>
          <w:color w:val="auto"/>
        </w:rPr>
        <w:t>Based solely on the Schedule 13G/A filed with the SEC on February 10, 2023, by The PNC Financial Services Group, Inc.; PNC Bancorp, Inc.; PNC Bank, National Association (PNC Bank); PNC Delaware Trust Company; and PNC Investments LLC (collectively, PNC), PNC beneficially owns 51,829,873 shares altogether. PNC has sole voting power with respect to 1,795,248 of its shares and shared voting power with respect to 50,007,832 of its shares. PNC has sole dispositive power with respect to 1,472,029 of its shares and shared dispositive power with respect to 50,311,228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Delinquent Section 16(a) Reports</w:t>
      </w:r>
    </w:p>
    <w:p>
      <w:pPr>
        <w:spacing w:after="0" w:line="57" w:lineRule="exact"/>
        <w:rPr>
          <w:sz w:val="20"/>
          <w:szCs w:val="20"/>
          <w:color w:val="auto"/>
        </w:rPr>
      </w:pPr>
    </w:p>
    <w:p>
      <w:pPr>
        <w:ind w:left="7" w:right="140"/>
        <w:spacing w:after="0" w:line="252"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reports of ownership of, and transactions in, our equity securities with the SEC. Based on a review of the copies of these reports, and on written representations from our reporting persons, we believe that all such reports were timely filed, except that, due to administrative error, Marschall Runge was four days late in reporting an open market purchase of common stock.</w:t>
      </w:r>
    </w:p>
    <w:p>
      <w:pPr>
        <w:spacing w:after="0" w:line="200" w:lineRule="exact"/>
        <w:rPr>
          <w:sz w:val="20"/>
          <w:szCs w:val="20"/>
          <w:color w:val="auto"/>
        </w:rPr>
      </w:pPr>
    </w:p>
    <w:p>
      <w:pPr>
        <w:spacing w:after="0" w:line="246" w:lineRule="exact"/>
        <w:rPr>
          <w:sz w:val="20"/>
          <w:szCs w:val="20"/>
          <w:color w:val="auto"/>
        </w:rPr>
      </w:pPr>
    </w:p>
    <w:p>
      <w:pPr>
        <w:ind w:left="7"/>
        <w:spacing w:after="0"/>
        <w:rPr>
          <w:sz w:val="20"/>
          <w:szCs w:val="20"/>
          <w:color w:val="auto"/>
        </w:rPr>
      </w:pPr>
      <w:r>
        <w:rPr>
          <w:rFonts w:ascii="Arial" w:cs="Arial" w:eastAsia="Arial" w:hAnsi="Arial"/>
          <w:sz w:val="45"/>
          <w:szCs w:val="45"/>
          <w:b w:val="1"/>
          <w:bCs w:val="1"/>
          <w:color w:val="auto"/>
        </w:rPr>
        <w:t>Compensation</w:t>
      </w:r>
    </w:p>
    <w:p>
      <w:pPr>
        <w:spacing w:after="0" w:line="356"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Item 2. Advisory Vote on Compensation Paid to Named Executive Officers</w:t>
      </w:r>
    </w:p>
    <w:p>
      <w:pPr>
        <w:spacing w:after="0" w:line="73" w:lineRule="exact"/>
        <w:rPr>
          <w:sz w:val="20"/>
          <w:szCs w:val="20"/>
          <w:color w:val="auto"/>
        </w:rPr>
      </w:pPr>
    </w:p>
    <w:p>
      <w:pPr>
        <w:ind w:left="7" w:right="80"/>
        <w:spacing w:after="0" w:line="252" w:lineRule="auto"/>
        <w:rPr>
          <w:sz w:val="20"/>
          <w:szCs w:val="20"/>
          <w:color w:val="auto"/>
        </w:rPr>
      </w:pPr>
      <w:r>
        <w:rPr>
          <w:rFonts w:ascii="Arial" w:cs="Arial" w:eastAsia="Arial" w:hAnsi="Arial"/>
          <w:sz w:val="16"/>
          <w:szCs w:val="16"/>
          <w:color w:val="auto"/>
        </w:rPr>
        <w:t>Section 14A of the Securities Exchange Act of 1934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115" w:lineRule="exact"/>
        <w:rPr>
          <w:sz w:val="20"/>
          <w:szCs w:val="20"/>
          <w:color w:val="auto"/>
        </w:rPr>
      </w:pPr>
    </w:p>
    <w:p>
      <w:pPr>
        <w:ind w:left="7" w:right="140"/>
        <w:spacing w:after="0" w:line="257" w:lineRule="auto"/>
        <w:rPr>
          <w:sz w:val="20"/>
          <w:szCs w:val="20"/>
          <w:color w:val="auto"/>
        </w:rPr>
      </w:pPr>
      <w:r>
        <w:rPr>
          <w:rFonts w:ascii="Arial" w:cs="Arial" w:eastAsia="Arial" w:hAnsi="Arial"/>
          <w:sz w:val="16"/>
          <w:szCs w:val="16"/>
          <w:color w:val="auto"/>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110" w:lineRule="exact"/>
        <w:rPr>
          <w:sz w:val="20"/>
          <w:szCs w:val="20"/>
          <w:color w:val="auto"/>
        </w:rPr>
      </w:pPr>
    </w:p>
    <w:p>
      <w:pPr>
        <w:ind w:left="7"/>
        <w:spacing w:after="0" w:line="271" w:lineRule="auto"/>
        <w:rPr>
          <w:sz w:val="20"/>
          <w:szCs w:val="20"/>
          <w:color w:val="auto"/>
        </w:rPr>
      </w:pPr>
      <w:r>
        <w:rPr>
          <w:rFonts w:ascii="Arial" w:cs="Arial" w:eastAsia="Arial" w:hAnsi="Arial"/>
          <w:sz w:val="16"/>
          <w:szCs w:val="16"/>
          <w:color w:val="auto"/>
        </w:rPr>
        <w:t>We request shareholder approval, on an advisory basis, of the compensation of the company’s named executive officers as disclosed in this proxy statement. As an advisory vote, this proposal is not binding on the company.</w:t>
      </w:r>
    </w:p>
    <w:p>
      <w:pPr>
        <w:spacing w:after="0" w:line="3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879" w:right="319" w:bottom="1440" w:gutter="0" w:footer="0" w:header="0"/>
        </w:sectPr>
      </w:pPr>
    </w:p>
    <w:bookmarkStart w:id="53" w:name="page54"/>
    <w:bookmarkEnd w:id="53"/>
    <w:p>
      <w:pPr>
        <w:ind w:right="560"/>
        <w:spacing w:after="0" w:line="271" w:lineRule="auto"/>
        <w:rPr>
          <w:sz w:val="20"/>
          <w:szCs w:val="20"/>
          <w:color w:val="auto"/>
        </w:rPr>
      </w:pPr>
      <w:r>
        <w:rPr>
          <w:rFonts w:ascii="Arial" w:cs="Arial" w:eastAsia="Arial" w:hAnsi="Arial"/>
          <w:sz w:val="16"/>
          <w:szCs w:val="16"/>
          <w:color w:val="auto"/>
        </w:rPr>
        <w:t>However, the Talent and Compensation Committee values input from shareholders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984750" cy="7493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984750" cy="749300"/>
                    </a:xfrm>
                    <a:prstGeom prst="rect">
                      <a:avLst/>
                    </a:prstGeom>
                    <a:noFill/>
                  </pic:spPr>
                </pic:pic>
              </a:graphicData>
            </a:graphic>
          </wp:anchor>
        </w:drawing>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50" w:lineRule="exact"/>
        <w:rPr>
          <w:sz w:val="20"/>
          <w:szCs w:val="20"/>
          <w:color w:val="auto"/>
        </w:rPr>
      </w:pPr>
    </w:p>
    <w:p>
      <w:pPr>
        <w:ind w:left="160" w:right="3400"/>
        <w:spacing w:after="0" w:line="263"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Talent and Compensation Committee Matters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Background</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Role of the Independent Consultant in Assessing Executive Compensation</w:t>
      </w:r>
    </w:p>
    <w:p>
      <w:pPr>
        <w:spacing w:after="0" w:line="47" w:lineRule="exact"/>
        <w:rPr>
          <w:sz w:val="20"/>
          <w:szCs w:val="20"/>
          <w:color w:val="auto"/>
        </w:rPr>
      </w:pPr>
    </w:p>
    <w:p>
      <w:pPr>
        <w:jc w:val="both"/>
        <w:ind w:right="280"/>
        <w:spacing w:after="0" w:line="257" w:lineRule="auto"/>
        <w:rPr>
          <w:sz w:val="20"/>
          <w:szCs w:val="20"/>
          <w:color w:val="auto"/>
        </w:rPr>
      </w:pPr>
      <w:r>
        <w:rPr>
          <w:rFonts w:ascii="Arial" w:cs="Arial" w:eastAsia="Arial" w:hAnsi="Arial"/>
          <w:sz w:val="16"/>
          <w:szCs w:val="16"/>
          <w:color w:val="auto"/>
        </w:rPr>
        <w:t>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w:t>
      </w:r>
    </w:p>
    <w:p>
      <w:pPr>
        <w:spacing w:after="0" w:line="16" w:lineRule="exact"/>
        <w:rPr>
          <w:sz w:val="20"/>
          <w:szCs w:val="20"/>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review the company’s total compensation philosophy, peer group, and target competitive positioning for reasonableness and appropriateness;</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review the company’s executive compensation program and advise the Talent and Compensation Committee of evolving best practices;</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provide independent analyses and recommendations to the Talent and Compensation Committee on the CEO’s pay;</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review the draft CD&amp;A and related tables for the proxy statement;</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proactively advise the Talent and Compensation Committee on best practices for board governance of executive compensation; and</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6"/>
          <w:szCs w:val="16"/>
          <w:color w:val="auto"/>
        </w:rPr>
        <w:t>undertake special projects at the request of the Talent and Compensation Committee or its chair.</w:t>
      </w:r>
    </w:p>
    <w:p>
      <w:pPr>
        <w:spacing w:after="0" w:line="50"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color w:val="auto"/>
        </w:rPr>
        <w:t>FW Cook interacts directly with members of company management only on matters under the Talent and Compensation Committee’s oversight and with the knowledge and permission of the Talent and Compensation Committee chair.</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Role of Executive Officers and Management in Assessing Executive Compensation</w:t>
      </w:r>
    </w:p>
    <w:p>
      <w:pPr>
        <w:spacing w:after="0" w:line="4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With the oversight of the CEO and the executive vice president of human resources and diversity,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compensation consultant FW Cook. The CEO and the executive vice president of human resources and diversity attend Talent and Compensation Committee meetings; however, they are not present for executive sessions or any discussion of their own compensation. Only non-employee directors and the Talent and Compensation Committee’s consultant attend executive sessions.</w:t>
      </w:r>
    </w:p>
    <w:p>
      <w:pPr>
        <w:spacing w:after="0" w:line="90"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The CEO does not participate in the formulation or discussion of his pay recommendations. He has no prior knowledge of the recommendations that FW Cook makes to the Talent and Compensation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Assessment Process</w:t>
      </w:r>
    </w:p>
    <w:p>
      <w:pPr>
        <w:spacing w:after="0" w:line="4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part of the company’s overall enterprise risk management program, in 2022 (consistent with prior years), the Talent and Compensation Committee reviewed the company’s compensation policies and practices and concluded that the programs and practices are not reasonably 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w:t>
      </w:r>
    </w:p>
    <w:p>
      <w:pPr>
        <w:spacing w:after="0" w:line="22" w:lineRule="exact"/>
        <w:rPr>
          <w:sz w:val="20"/>
          <w:szCs w:val="20"/>
          <w:color w:val="auto"/>
        </w:rPr>
      </w:pPr>
    </w:p>
    <w:p>
      <w:pPr>
        <w:ind w:left="5540" w:right="5380" w:hanging="5406"/>
        <w:spacing w:after="0" w:line="876" w:lineRule="auto"/>
        <w:tabs>
          <w:tab w:leader="none" w:pos="411" w:val="left"/>
        </w:tabs>
        <w:numPr>
          <w:ilvl w:val="0"/>
          <w:numId w:val="119"/>
        </w:numPr>
        <w:rPr>
          <w:rFonts w:ascii="Arial" w:cs="Arial" w:eastAsia="Arial" w:hAnsi="Arial"/>
          <w:sz w:val="13"/>
          <w:szCs w:val="13"/>
          <w:color w:val="auto"/>
        </w:rPr>
      </w:pPr>
      <w:r>
        <w:rPr>
          <w:rFonts w:ascii="Arial" w:cs="Arial" w:eastAsia="Arial" w:hAnsi="Arial"/>
          <w:sz w:val="15"/>
          <w:szCs w:val="15"/>
          <w:color w:val="auto"/>
        </w:rPr>
        <w:t>Only independent directors serve on the Talent and Compensation Committee.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-238760</wp:posOffset>
            </wp:positionV>
            <wp:extent cx="7176135" cy="4000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54" w:name="page55"/>
    <w:bookmarkEnd w:id="54"/>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The Talent and Compensation Committee engages its own independent compensation consultant.</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The Talent and Compensation Committee has downward discretion to lower compensation plan payouts.</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The Talent and Compensation Committee approves all adjustments to financial results that affect compensation calculations.</w:t>
      </w:r>
    </w:p>
    <w:p>
      <w:pPr>
        <w:spacing w:after="0" w:line="49" w:lineRule="exact"/>
        <w:rPr>
          <w:rFonts w:ascii="Arial" w:cs="Arial" w:eastAsia="Arial" w:hAnsi="Arial"/>
          <w:sz w:val="14"/>
          <w:szCs w:val="14"/>
          <w:color w:val="auto"/>
        </w:rPr>
      </w:pPr>
    </w:p>
    <w:p>
      <w:pPr>
        <w:ind w:left="420" w:right="160" w:hanging="286"/>
        <w:spacing w:after="0" w:line="271" w:lineRule="auto"/>
        <w:tabs>
          <w:tab w:leader="none" w:pos="411" w:val="left"/>
        </w:tabs>
        <w:numPr>
          <w:ilvl w:val="0"/>
          <w:numId w:val="120"/>
        </w:numPr>
        <w:rPr>
          <w:rFonts w:ascii="Arial" w:cs="Arial" w:eastAsia="Arial" w:hAnsi="Arial"/>
          <w:sz w:val="14"/>
          <w:szCs w:val="14"/>
          <w:color w:val="auto"/>
        </w:rPr>
      </w:pPr>
      <w:r>
        <w:rPr>
          <w:rFonts w:ascii="Arial" w:cs="Arial" w:eastAsia="Arial" w:hAnsi="Arial"/>
          <w:sz w:val="16"/>
          <w:szCs w:val="16"/>
          <w:color w:val="auto"/>
        </w:rPr>
        <w:t>Different measures and metrics are used across multiple incentive plans that appropriately balance cash/stock, fixed/variable pay, and short-term/long-term incentives.</w:t>
      </w:r>
    </w:p>
    <w:p>
      <w:pPr>
        <w:spacing w:after="0" w:line="5" w:lineRule="exact"/>
        <w:rPr>
          <w:rFonts w:ascii="Arial" w:cs="Arial" w:eastAsia="Arial" w:hAnsi="Arial"/>
          <w:sz w:val="14"/>
          <w:szCs w:val="14"/>
          <w:color w:val="auto"/>
        </w:rPr>
      </w:pPr>
    </w:p>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Incentive plans have predetermined maximum payouts.</w:t>
      </w:r>
    </w:p>
    <w:p>
      <w:pPr>
        <w:spacing w:after="0" w:line="49" w:lineRule="exact"/>
        <w:rPr>
          <w:rFonts w:ascii="Arial" w:cs="Arial" w:eastAsia="Arial" w:hAnsi="Arial"/>
          <w:sz w:val="14"/>
          <w:szCs w:val="14"/>
          <w:color w:val="auto"/>
        </w:rPr>
      </w:pPr>
    </w:p>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Performance objectives are challenging but achievable.</w:t>
      </w:r>
    </w:p>
    <w:p>
      <w:pPr>
        <w:spacing w:after="0" w:line="49" w:lineRule="exact"/>
        <w:rPr>
          <w:rFonts w:ascii="Arial" w:cs="Arial" w:eastAsia="Arial" w:hAnsi="Arial"/>
          <w:sz w:val="14"/>
          <w:szCs w:val="14"/>
          <w:color w:val="auto"/>
        </w:rPr>
      </w:pPr>
    </w:p>
    <w:p>
      <w:pPr>
        <w:ind w:left="420" w:right="160" w:hanging="286"/>
        <w:spacing w:after="0" w:line="271" w:lineRule="auto"/>
        <w:tabs>
          <w:tab w:leader="none" w:pos="411" w:val="left"/>
        </w:tabs>
        <w:numPr>
          <w:ilvl w:val="0"/>
          <w:numId w:val="120"/>
        </w:numPr>
        <w:rPr>
          <w:rFonts w:ascii="Arial" w:cs="Arial" w:eastAsia="Arial" w:hAnsi="Arial"/>
          <w:sz w:val="14"/>
          <w:szCs w:val="14"/>
          <w:color w:val="auto"/>
        </w:rPr>
      </w:pPr>
      <w:r>
        <w:rPr>
          <w:rFonts w:ascii="Arial" w:cs="Arial" w:eastAsia="Arial" w:hAnsi="Arial"/>
          <w:sz w:val="16"/>
          <w:szCs w:val="16"/>
          <w:color w:val="auto"/>
        </w:rPr>
        <w:t>Programs with operational metrics have a continuum of payout multiples based upon achievement of performance milestones, rather than “cliffs” that might encourage suboptimal or improper behavior.</w:t>
      </w:r>
    </w:p>
    <w:p>
      <w:pPr>
        <w:spacing w:after="0" w:line="5" w:lineRule="exact"/>
        <w:rPr>
          <w:rFonts w:ascii="Arial" w:cs="Arial" w:eastAsia="Arial" w:hAnsi="Arial"/>
          <w:sz w:val="14"/>
          <w:szCs w:val="14"/>
          <w:color w:val="auto"/>
        </w:rPr>
      </w:pPr>
    </w:p>
    <w:p>
      <w:pPr>
        <w:ind w:left="420" w:right="460" w:hanging="286"/>
        <w:spacing w:after="0" w:line="271" w:lineRule="auto"/>
        <w:tabs>
          <w:tab w:leader="none" w:pos="411" w:val="left"/>
        </w:tabs>
        <w:numPr>
          <w:ilvl w:val="0"/>
          <w:numId w:val="120"/>
        </w:numPr>
        <w:rPr>
          <w:rFonts w:ascii="Arial" w:cs="Arial" w:eastAsia="Arial" w:hAnsi="Arial"/>
          <w:sz w:val="14"/>
          <w:szCs w:val="14"/>
          <w:color w:val="auto"/>
        </w:rPr>
      </w:pPr>
      <w:r>
        <w:rPr>
          <w:rFonts w:ascii="Arial" w:cs="Arial" w:eastAsia="Arial" w:hAnsi="Arial"/>
          <w:sz w:val="16"/>
          <w:szCs w:val="16"/>
          <w:color w:val="auto"/>
        </w:rPr>
        <w:t>A compensation recovery policy is in place for all members of senior management; negative compensation consequences can result in cases involving serious compliance violations.</w:t>
      </w:r>
    </w:p>
    <w:p>
      <w:pPr>
        <w:spacing w:after="0" w:line="5" w:lineRule="exact"/>
        <w:rPr>
          <w:rFonts w:ascii="Arial" w:cs="Arial" w:eastAsia="Arial" w:hAnsi="Arial"/>
          <w:sz w:val="14"/>
          <w:szCs w:val="14"/>
          <w:color w:val="auto"/>
        </w:rPr>
      </w:pPr>
    </w:p>
    <w:p>
      <w:pPr>
        <w:ind w:left="400" w:hanging="266"/>
        <w:spacing w:after="0"/>
        <w:tabs>
          <w:tab w:leader="none" w:pos="400" w:val="left"/>
        </w:tabs>
        <w:numPr>
          <w:ilvl w:val="0"/>
          <w:numId w:val="120"/>
        </w:numPr>
        <w:rPr>
          <w:rFonts w:ascii="Arial" w:cs="Arial" w:eastAsia="Arial" w:hAnsi="Arial"/>
          <w:sz w:val="14"/>
          <w:szCs w:val="14"/>
          <w:color w:val="auto"/>
        </w:rPr>
      </w:pPr>
      <w:r>
        <w:rPr>
          <w:rFonts w:ascii="Arial" w:cs="Arial" w:eastAsia="Arial" w:hAnsi="Arial"/>
          <w:sz w:val="16"/>
          <w:szCs w:val="16"/>
          <w:color w:val="auto"/>
        </w:rPr>
        <w:t>Meaningful share ownership and retention requirements are in place for all members of senior management and the board.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Talent and Compensation Committee Report</w:t>
      </w:r>
    </w:p>
    <w:p>
      <w:pPr>
        <w:spacing w:after="0" w:line="5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statement and the company’s Annual Report on Form 10-K for the fiscal year ended December 31, 2022, for filing with the SEC.</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and Compensation Committee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Ralph Alvarez,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 Erik Fyrwald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Kimberly H. Johnson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Juan R. Luciano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Compensation Discussion and Analysis</w:t>
      </w:r>
    </w:p>
    <w:p>
      <w:pPr>
        <w:spacing w:after="0" w:line="6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This CD&amp;A describes our executive compensation philosophy, the Talent and Compensation Committee’s process for setting executive compensation, the elements of our compensation program, the factors the Talent and Compensation Committee considered when setting executive compensation for 2022, and how the company’s results affected incentive payouts. This CD&amp;A provides compensation information for our chief executive officer, David Ricks, our chief financial officer, Anat Ashkenazi, and our next three most highly compensated executive officers who were serving as executive officers on December 31, 2022, Daniel Skovronsky, Anat Hakim, and Patrik Jonsson.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55" w:name="page56"/>
    <w:bookmarkEnd w:id="55"/>
    <w:p>
      <w:pPr>
        <w:ind w:left="24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519430</wp:posOffset>
            </wp:positionV>
            <wp:extent cx="4910455" cy="76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4910455" cy="7620"/>
                    </a:xfrm>
                    <a:prstGeom prst="rect">
                      <a:avLst/>
                    </a:prstGeom>
                    <a:noFill/>
                  </pic:spPr>
                </pic:pic>
              </a:graphicData>
            </a:graphic>
          </wp:anchor>
        </w:drawing>
        <w:t>Name and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4910455" cy="61595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4910455" cy="6159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David Ricks</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181610</wp:posOffset>
            </wp:positionV>
            <wp:extent cx="4858385" cy="68262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4858385" cy="68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shd w:val="clear" w:color="auto" w:fill="E6E6E6"/>
        </w:rPr>
        <w:t>Anat Ashkenazi</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189230</wp:posOffset>
            </wp:positionV>
            <wp:extent cx="608330" cy="60833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083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Daniel Skovronsky, M.D., Ph.D.</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Executive Vice President, Chief Scientific and Medical Officer and President, Lilly Research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181610</wp:posOffset>
            </wp:positionV>
            <wp:extent cx="4858385" cy="66738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4858385" cy="66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shd w:val="clear" w:color="auto" w:fill="E6E6E6"/>
        </w:rPr>
        <w:t>Anat Hakim</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181610</wp:posOffset>
            </wp:positionV>
            <wp:extent cx="615950" cy="61595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clrChange>
                        <a:clrFrom>
                          <a:srgbClr val="000000"/>
                        </a:clrFrom>
                        <a:clrTo>
                          <a:srgbClr val="000000">
                            <a:alpha val="0"/>
                          </a:srgbClr>
                        </a:clrTo>
                      </a:clrChange>
                      <a:extLst>
                        <a:ext uri="{28A0092B-C50C-407E-A947-70E740481C1C}"/>
                      </a:extLst>
                    </a:blip>
                    <a:srcRect/>
                    <a:stretch>
                      <a:fillRect/>
                    </a:stretch>
                  </pic:blipFill>
                  <pic:spPr bwMode="auto">
                    <a:xfrm>
                      <a:off x="0" y="0"/>
                      <a:ext cx="615950" cy="6159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181610</wp:posOffset>
            </wp:positionV>
            <wp:extent cx="615950" cy="61595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clrChange>
                        <a:clrFrom>
                          <a:srgbClr val="FFFFFF"/>
                        </a:clrFrom>
                        <a:clrTo>
                          <a:srgbClr val="FFFFFF">
                            <a:alpha val="0"/>
                          </a:srgbClr>
                        </a:clrTo>
                      </a:clrChange>
                      <a:extLst>
                        <a:ext uri="{28A0092B-C50C-407E-A947-70E740481C1C}"/>
                      </a:extLst>
                    </a:blip>
                    <a:srcRect/>
                    <a:stretch>
                      <a:fillRect/>
                    </a:stretch>
                  </pic:blipFill>
                  <pic:spPr bwMode="auto">
                    <a:xfrm>
                      <a:off x="0" y="0"/>
                      <a:ext cx="615950" cy="61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Patrik Jonsson</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Executive Vice President and President, Lilly Immunology, Lilly USA and Chief Customer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4910455" cy="76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4910455"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Our Philosophy on Compensation</w:t>
      </w:r>
    </w:p>
    <w:p>
      <w:pPr>
        <w:spacing w:after="0" w:line="5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and benefits programs are based on the following objectives:</w:t>
      </w:r>
    </w:p>
    <w:p>
      <w:pPr>
        <w:spacing w:after="0" w:line="139" w:lineRule="exact"/>
        <w:rPr>
          <w:sz w:val="20"/>
          <w:szCs w:val="20"/>
          <w:color w:val="auto"/>
        </w:rPr>
      </w:pPr>
    </w:p>
    <w:p>
      <w:pPr>
        <w:ind w:left="560" w:right="20" w:hanging="286"/>
        <w:spacing w:after="0" w:line="280" w:lineRule="auto"/>
        <w:tabs>
          <w:tab w:leader="none" w:pos="550" w:val="left"/>
        </w:tabs>
        <w:numPr>
          <w:ilvl w:val="0"/>
          <w:numId w:val="12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Reflect individual and company performance: </w:t>
      </w:r>
      <w:r>
        <w:rPr>
          <w:rFonts w:ascii="Arial" w:cs="Arial" w:eastAsia="Arial" w:hAnsi="Arial"/>
          <w:sz w:val="15"/>
          <w:szCs w:val="15"/>
          <w:color w:val="000000"/>
        </w:rPr>
        <w:t>We reinforce a high-performance culture by linking pay with individual and company performance.</w:t>
      </w:r>
      <w:r>
        <w:rPr>
          <w:rFonts w:ascii="Arial" w:cs="Arial" w:eastAsia="Arial" w:hAnsi="Arial"/>
          <w:sz w:val="17"/>
          <w:szCs w:val="17"/>
          <w:b w:val="1"/>
          <w:bCs w:val="1"/>
          <w:color w:val="D52B1E"/>
        </w:rPr>
        <w:t xml:space="preserve"> </w:t>
      </w:r>
      <w:r>
        <w:rPr>
          <w:rFonts w:ascii="Arial" w:cs="Arial" w:eastAsia="Arial" w:hAnsi="Arial"/>
          <w:sz w:val="15"/>
          <w:szCs w:val="15"/>
          <w:color w:val="000000"/>
        </w:rPr>
        <w:t>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w:t>
      </w:r>
    </w:p>
    <w:p>
      <w:pPr>
        <w:spacing w:after="0" w:line="67" w:lineRule="exact"/>
        <w:rPr>
          <w:rFonts w:ascii="Arial" w:cs="Arial" w:eastAsia="Arial" w:hAnsi="Arial"/>
          <w:sz w:val="14"/>
          <w:szCs w:val="14"/>
          <w:b w:val="1"/>
          <w:bCs w:val="1"/>
          <w:color w:val="D52B1E"/>
        </w:rPr>
      </w:pPr>
    </w:p>
    <w:p>
      <w:pPr>
        <w:ind w:left="560" w:right="340" w:hanging="286"/>
        <w:spacing w:after="0" w:line="260" w:lineRule="auto"/>
        <w:tabs>
          <w:tab w:leader="none" w:pos="550" w:val="left"/>
        </w:tabs>
        <w:numPr>
          <w:ilvl w:val="0"/>
          <w:numId w:val="12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Attract and retain talented employees: </w:t>
      </w:r>
      <w:r>
        <w:rPr>
          <w:rFonts w:ascii="Arial" w:cs="Arial" w:eastAsia="Arial" w:hAnsi="Arial"/>
          <w:sz w:val="15"/>
          <w:szCs w:val="15"/>
          <w:color w:val="000000"/>
        </w:rPr>
        <w:t>Compensation opportunity is market competitive and reflects the level of job impact and responsibilities.</w:t>
      </w:r>
      <w:r>
        <w:rPr>
          <w:rFonts w:ascii="Arial" w:cs="Arial" w:eastAsia="Arial" w:hAnsi="Arial"/>
          <w:sz w:val="17"/>
          <w:szCs w:val="17"/>
          <w:b w:val="1"/>
          <w:bCs w:val="1"/>
          <w:color w:val="D52B1E"/>
        </w:rPr>
        <w:t xml:space="preserve"> </w:t>
      </w:r>
      <w:r>
        <w:rPr>
          <w:rFonts w:ascii="Arial" w:cs="Arial" w:eastAsia="Arial" w:hAnsi="Arial"/>
          <w:sz w:val="15"/>
          <w:szCs w:val="15"/>
          <w:color w:val="000000"/>
        </w:rPr>
        <w:t>Retention of talent is an important factor in the design of our compensation and benefit programs.</w:t>
      </w:r>
    </w:p>
    <w:p>
      <w:pPr>
        <w:spacing w:after="0" w:line="102" w:lineRule="exact"/>
        <w:rPr>
          <w:rFonts w:ascii="Arial" w:cs="Arial" w:eastAsia="Arial" w:hAnsi="Arial"/>
          <w:sz w:val="14"/>
          <w:szCs w:val="14"/>
          <w:b w:val="1"/>
          <w:bCs w:val="1"/>
          <w:color w:val="D52B1E"/>
        </w:rPr>
      </w:pPr>
    </w:p>
    <w:p>
      <w:pPr>
        <w:ind w:left="560" w:right="380" w:hanging="286"/>
        <w:spacing w:after="0" w:line="289" w:lineRule="auto"/>
        <w:tabs>
          <w:tab w:leader="none" w:pos="550" w:val="left"/>
        </w:tabs>
        <w:numPr>
          <w:ilvl w:val="0"/>
          <w:numId w:val="12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Implement broad-based programs: </w:t>
      </w:r>
      <w:r>
        <w:rPr>
          <w:rFonts w:ascii="Arial" w:cs="Arial" w:eastAsia="Arial" w:hAnsi="Arial"/>
          <w:sz w:val="15"/>
          <w:szCs w:val="15"/>
          <w:color w:val="000000"/>
        </w:rPr>
        <w:t>While the amount of compensation paid to employees varies, the overall structure of our compensation and</w:t>
      </w:r>
      <w:r>
        <w:rPr>
          <w:rFonts w:ascii="Arial" w:cs="Arial" w:eastAsia="Arial" w:hAnsi="Arial"/>
          <w:sz w:val="17"/>
          <w:szCs w:val="17"/>
          <w:b w:val="1"/>
          <w:bCs w:val="1"/>
          <w:color w:val="D52B1E"/>
        </w:rPr>
        <w:t xml:space="preserve"> </w:t>
      </w:r>
      <w:r>
        <w:rPr>
          <w:rFonts w:ascii="Arial" w:cs="Arial" w:eastAsia="Arial" w:hAnsi="Arial"/>
          <w:sz w:val="15"/>
          <w:szCs w:val="15"/>
          <w:color w:val="000000"/>
        </w:rPr>
        <w:t>benefit programs is broadly similar across the organization to encourage and reward all employees who contribute to our success.</w:t>
      </w:r>
    </w:p>
    <w:p>
      <w:pPr>
        <w:spacing w:after="0" w:line="78" w:lineRule="exact"/>
        <w:rPr>
          <w:rFonts w:ascii="Arial" w:cs="Arial" w:eastAsia="Arial" w:hAnsi="Arial"/>
          <w:sz w:val="14"/>
          <w:szCs w:val="14"/>
          <w:b w:val="1"/>
          <w:bCs w:val="1"/>
          <w:color w:val="D52B1E"/>
        </w:rPr>
      </w:pPr>
    </w:p>
    <w:p>
      <w:pPr>
        <w:ind w:left="560" w:hanging="286"/>
        <w:spacing w:after="0" w:line="275" w:lineRule="auto"/>
        <w:tabs>
          <w:tab w:leader="none" w:pos="550" w:val="left"/>
        </w:tabs>
        <w:numPr>
          <w:ilvl w:val="0"/>
          <w:numId w:val="121"/>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Consider shareholder input: </w:t>
      </w:r>
      <w:r>
        <w:rPr>
          <w:rFonts w:ascii="Arial" w:cs="Arial" w:eastAsia="Arial" w:hAnsi="Arial"/>
          <w:sz w:val="15"/>
          <w:szCs w:val="15"/>
          <w:color w:val="000000"/>
        </w:rPr>
        <w:t>Management and the Talent and Compensation Committee consider the results of our annual say-on-pay vote and other</w:t>
      </w:r>
      <w:r>
        <w:rPr>
          <w:rFonts w:ascii="Arial" w:cs="Arial" w:eastAsia="Arial" w:hAnsi="Arial"/>
          <w:sz w:val="17"/>
          <w:szCs w:val="17"/>
          <w:b w:val="1"/>
          <w:bCs w:val="1"/>
          <w:color w:val="D52B1E"/>
        </w:rPr>
        <w:t xml:space="preserve"> </w:t>
      </w:r>
      <w:r>
        <w:rPr>
          <w:rFonts w:ascii="Arial" w:cs="Arial" w:eastAsia="Arial" w:hAnsi="Arial"/>
          <w:sz w:val="15"/>
          <w:szCs w:val="15"/>
          <w:color w:val="000000"/>
        </w:rPr>
        <w:t>sources of shareholder feedback when designing executive compensation and benefit programs.</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840" w:right="39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color w:val="auto"/>
        </w:rPr>
        <w:t>Say-on-Pay Results</w:t>
      </w:r>
    </w:p>
    <w:p>
      <w:pPr>
        <w:spacing w:after="0" w:line="15" w:lineRule="exact"/>
        <w:rPr>
          <w:sz w:val="20"/>
          <w:szCs w:val="20"/>
          <w:color w:val="auto"/>
        </w:rPr>
      </w:pPr>
    </w:p>
    <w:p>
      <w:pPr>
        <w:ind w:right="560"/>
        <w:spacing w:after="0" w:line="248" w:lineRule="auto"/>
        <w:rPr>
          <w:sz w:val="20"/>
          <w:szCs w:val="20"/>
          <w:color w:val="auto"/>
        </w:rPr>
      </w:pPr>
      <w:r>
        <w:rPr>
          <w:rFonts w:ascii="Arial" w:cs="Arial" w:eastAsia="Arial" w:hAnsi="Arial"/>
          <w:sz w:val="16"/>
          <w:szCs w:val="16"/>
          <w:color w:val="auto"/>
        </w:rPr>
        <w:t>At our 2022 annual meeting of shareholders, greater than 94 percent of the votes cast were in favor of the company’s say-on-pay proposal on executive compensation. Management and the Talent and Compensation Committee view this vote as supportive of the company’s overall approach toward executive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Talent and Compensation Committee’s Processes and Analyses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Setting Compensation</w:t>
      </w:r>
    </w:p>
    <w:p>
      <w:pPr>
        <w:spacing w:after="0" w:line="15"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The Talent and Compensation Committee considers individual performance assessments, compensation recommendations from the CEO (with respect to each of the other executive officers), company performance, peer group data, input from its compensation consultant, feedback from shareholders, and its own judgment when determining compensation for the company’s executive officers.</w:t>
      </w:r>
    </w:p>
    <w:p>
      <w:pPr>
        <w:spacing w:after="0" w:line="112" w:lineRule="exact"/>
        <w:rPr>
          <w:sz w:val="20"/>
          <w:szCs w:val="20"/>
          <w:color w:val="auto"/>
        </w:rPr>
      </w:pPr>
    </w:p>
    <w:p>
      <w:pPr>
        <w:ind w:left="540" w:hanging="266"/>
        <w:spacing w:after="0"/>
        <w:tabs>
          <w:tab w:leader="none" w:pos="540" w:val="left"/>
        </w:tabs>
        <w:numPr>
          <w:ilvl w:val="0"/>
          <w:numId w:val="122"/>
        </w:numPr>
        <w:rPr>
          <w:rFonts w:ascii="Arial" w:cs="Arial" w:eastAsia="Arial" w:hAnsi="Arial"/>
          <w:sz w:val="14"/>
          <w:szCs w:val="14"/>
          <w:b w:val="1"/>
          <w:bCs w:val="1"/>
          <w:color w:val="D52B1E"/>
        </w:rPr>
      </w:pPr>
      <w:r>
        <w:rPr>
          <w:rFonts w:ascii="Arial" w:cs="Arial" w:eastAsia="Arial" w:hAnsi="Arial"/>
          <w:sz w:val="17"/>
          <w:szCs w:val="17"/>
          <w:b w:val="1"/>
          <w:bCs w:val="1"/>
          <w:color w:val="D52B1E"/>
        </w:rPr>
        <w:t>Individual performance:</w:t>
      </w:r>
    </w:p>
    <w:p>
      <w:pPr>
        <w:spacing w:after="0" w:line="52" w:lineRule="exact"/>
        <w:rPr>
          <w:rFonts w:ascii="Arial" w:cs="Arial" w:eastAsia="Arial" w:hAnsi="Arial"/>
          <w:sz w:val="14"/>
          <w:szCs w:val="14"/>
          <w:b w:val="1"/>
          <w:bCs w:val="1"/>
          <w:color w:val="D52B1E"/>
        </w:rPr>
      </w:pPr>
    </w:p>
    <w:p>
      <w:pPr>
        <w:ind w:left="840" w:right="180" w:hanging="280"/>
        <w:spacing w:after="0" w:line="253" w:lineRule="auto"/>
        <w:rPr>
          <w:rFonts w:ascii="Arial" w:cs="Arial" w:eastAsia="Arial" w:hAnsi="Arial"/>
          <w:sz w:val="14"/>
          <w:szCs w:val="14"/>
          <w:b w:val="1"/>
          <w:bCs w:val="1"/>
          <w:color w:val="D52B1E"/>
        </w:rPr>
      </w:pPr>
      <w:r>
        <w:rPr>
          <w:rFonts w:ascii="Arial" w:cs="Arial" w:eastAsia="Arial" w:hAnsi="Arial"/>
          <w:sz w:val="16"/>
          <w:szCs w:val="16"/>
          <w:b w:val="1"/>
          <w:bCs w:val="1"/>
          <w:color w:val="00A1DE"/>
        </w:rPr>
        <w:t xml:space="preserve">– CEO: </w:t>
      </w:r>
      <w:r>
        <w:rPr>
          <w:rFonts w:ascii="Arial" w:cs="Arial" w:eastAsia="Arial" w:hAnsi="Arial"/>
          <w:sz w:val="16"/>
          <w:szCs w:val="16"/>
          <w:color w:val="000000"/>
        </w:rPr>
        <w:t>Generally, the independent directors, under the direction of the lead independent director, meet with the CEO at the beginning of each year to</w:t>
      </w:r>
      <w:r>
        <w:rPr>
          <w:rFonts w:ascii="Arial" w:cs="Arial" w:eastAsia="Arial" w:hAnsi="Arial"/>
          <w:sz w:val="16"/>
          <w:szCs w:val="16"/>
          <w:b w:val="1"/>
          <w:bCs w:val="1"/>
          <w:color w:val="00A1DE"/>
        </w:rPr>
        <w:t xml:space="preserve"> </w:t>
      </w:r>
      <w:r>
        <w:rPr>
          <w:rFonts w:ascii="Arial" w:cs="Arial" w:eastAsia="Arial" w:hAnsi="Arial"/>
          <w:sz w:val="16"/>
          <w:szCs w:val="16"/>
          <w:color w:val="000000"/>
        </w:rPr>
        <w:t>establish the CEO’s performance objectives. At the end of the year, the independent directors meet to assess the CEO’s achievement of those objectives along with other factors, including contribution to the company’s performance, environmental, social (DEI) and governance matters, ethics, and integrity. This evaluation is used in setting the CEO’s compensation opportunity for the next year.</w:t>
      </w:r>
    </w:p>
    <w:p>
      <w:pPr>
        <w:spacing w:after="0" w:line="18" w:lineRule="exact"/>
        <w:rPr>
          <w:rFonts w:ascii="Arial" w:cs="Arial" w:eastAsia="Arial" w:hAnsi="Arial"/>
          <w:sz w:val="14"/>
          <w:szCs w:val="14"/>
          <w:b w:val="1"/>
          <w:bCs w:val="1"/>
          <w:color w:val="D52B1E"/>
        </w:rPr>
      </w:pPr>
    </w:p>
    <w:p>
      <w:pPr>
        <w:ind w:left="840" w:right="220" w:hanging="280"/>
        <w:spacing w:after="0" w:line="249" w:lineRule="auto"/>
        <w:rPr>
          <w:rFonts w:ascii="Arial" w:cs="Arial" w:eastAsia="Arial" w:hAnsi="Arial"/>
          <w:sz w:val="14"/>
          <w:szCs w:val="14"/>
          <w:b w:val="1"/>
          <w:bCs w:val="1"/>
          <w:color w:val="D52B1E"/>
        </w:rPr>
      </w:pPr>
      <w:r>
        <w:rPr>
          <w:rFonts w:ascii="Arial" w:cs="Arial" w:eastAsia="Arial" w:hAnsi="Arial"/>
          <w:sz w:val="16"/>
          <w:szCs w:val="16"/>
          <w:b w:val="1"/>
          <w:bCs w:val="1"/>
          <w:color w:val="00A1DE"/>
        </w:rPr>
        <w:t xml:space="preserve">– Other Executives: </w:t>
      </w:r>
      <w:r>
        <w:rPr>
          <w:rFonts w:ascii="Arial" w:cs="Arial" w:eastAsia="Arial" w:hAnsi="Arial"/>
          <w:sz w:val="16"/>
          <w:szCs w:val="16"/>
          <w:color w:val="000000"/>
        </w:rPr>
        <w:t>The Talent and Compensation Committee receives individual performance assessments and target compensation</w:t>
      </w:r>
      <w:r>
        <w:rPr>
          <w:rFonts w:ascii="Arial" w:cs="Arial" w:eastAsia="Arial" w:hAnsi="Arial"/>
          <w:sz w:val="16"/>
          <w:szCs w:val="16"/>
          <w:b w:val="1"/>
          <w:bCs w:val="1"/>
          <w:color w:val="00A1DE"/>
        </w:rPr>
        <w:t xml:space="preserve"> </w:t>
      </w:r>
      <w:r>
        <w:rPr>
          <w:rFonts w:ascii="Arial" w:cs="Arial" w:eastAsia="Arial" w:hAnsi="Arial"/>
          <w:sz w:val="16"/>
          <w:szCs w:val="16"/>
          <w:color w:val="000000"/>
        </w:rPr>
        <w:t>recommendations from the CEO for each of the remaining executive officers. Each executive officer’s performance assessment is based on the achievement of objectives established at the start of the year, as well as other factors, including contribution to the company’s performance, environmental, social (DEI) and governance matters, ethics, and integrity. The Talent and Compensation Committee considers these inputs, its knowledge of and interactions with each executive officer, and its judgment to develop a final individual performance assessment. For new executive officers, target compensation is set by the Talent and Compensation Committee at the time of promotion or appointment.</w:t>
      </w:r>
    </w:p>
    <w:p>
      <w:pPr>
        <w:spacing w:after="0" w:line="160" w:lineRule="exact"/>
        <w:rPr>
          <w:rFonts w:ascii="Arial" w:cs="Arial" w:eastAsia="Arial" w:hAnsi="Arial"/>
          <w:sz w:val="14"/>
          <w:szCs w:val="14"/>
          <w:b w:val="1"/>
          <w:bCs w:val="1"/>
          <w:color w:val="D52B1E"/>
        </w:rPr>
      </w:pPr>
    </w:p>
    <w:p>
      <w:pPr>
        <w:ind w:left="540" w:hanging="266"/>
        <w:spacing w:after="0"/>
        <w:tabs>
          <w:tab w:leader="none" w:pos="540" w:val="left"/>
        </w:tabs>
        <w:numPr>
          <w:ilvl w:val="0"/>
          <w:numId w:val="12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Company performance: </w:t>
      </w:r>
      <w:r>
        <w:rPr>
          <w:rFonts w:ascii="Arial" w:cs="Arial" w:eastAsia="Arial" w:hAnsi="Arial"/>
          <w:sz w:val="15"/>
          <w:szCs w:val="15"/>
          <w:color w:val="000000"/>
        </w:rPr>
        <w:t>Lilly performance is considered in multiple ways:</w:t>
      </w:r>
    </w:p>
    <w:p>
      <w:pPr>
        <w:spacing w:after="0" w:line="77" w:lineRule="exact"/>
        <w:rPr>
          <w:rFonts w:ascii="Arial" w:cs="Arial" w:eastAsia="Arial" w:hAnsi="Arial"/>
          <w:sz w:val="14"/>
          <w:szCs w:val="14"/>
          <w:b w:val="1"/>
          <w:bCs w:val="1"/>
          <w:color w:val="D52B1E"/>
        </w:rPr>
      </w:pPr>
    </w:p>
    <w:p>
      <w:pPr>
        <w:ind w:left="560"/>
        <w:spacing w:after="0"/>
        <w:rPr>
          <w:rFonts w:ascii="Arial" w:cs="Arial" w:eastAsia="Arial" w:hAnsi="Arial"/>
          <w:sz w:val="14"/>
          <w:szCs w:val="14"/>
          <w:b w:val="1"/>
          <w:bCs w:val="1"/>
          <w:color w:val="D52B1E"/>
        </w:rPr>
      </w:pPr>
      <w:r>
        <w:rPr>
          <w:rFonts w:ascii="Arial" w:cs="Arial" w:eastAsia="Arial" w:hAnsi="Arial"/>
          <w:sz w:val="16"/>
          <w:szCs w:val="16"/>
          <w:color w:val="auto"/>
        </w:rPr>
        <w:t>–  Overall prior year performance is a factor in setting target compensation for the upcoming year.</w:t>
      </w:r>
    </w:p>
    <w:p>
      <w:pPr>
        <w:spacing w:after="0" w:line="49" w:lineRule="exact"/>
        <w:rPr>
          <w:rFonts w:ascii="Arial" w:cs="Arial" w:eastAsia="Arial" w:hAnsi="Arial"/>
          <w:sz w:val="14"/>
          <w:szCs w:val="14"/>
          <w:b w:val="1"/>
          <w:bCs w:val="1"/>
          <w:color w:val="D52B1E"/>
        </w:rPr>
      </w:pPr>
    </w:p>
    <w:p>
      <w:pPr>
        <w:ind w:left="840" w:right="680" w:hanging="280"/>
        <w:spacing w:after="0" w:line="271" w:lineRule="auto"/>
        <w:rPr>
          <w:rFonts w:ascii="Arial" w:cs="Arial" w:eastAsia="Arial" w:hAnsi="Arial"/>
          <w:sz w:val="14"/>
          <w:szCs w:val="14"/>
          <w:b w:val="1"/>
          <w:bCs w:val="1"/>
          <w:color w:val="D52B1E"/>
        </w:rPr>
      </w:pPr>
      <w:r>
        <w:rPr>
          <w:rFonts w:ascii="Arial" w:cs="Arial" w:eastAsia="Arial" w:hAnsi="Arial"/>
          <w:sz w:val="16"/>
          <w:szCs w:val="16"/>
          <w:color w:val="auto"/>
        </w:rPr>
        <w:t>– At the beginning of each calendar year, annual performance goals are established and approved by the Talent and Compensation Committee. Performance against these annual goals is used to determine the short-term cash incentive payout.</w:t>
      </w:r>
    </w:p>
    <w:p>
      <w:pPr>
        <w:spacing w:after="0" w:line="5" w:lineRule="exact"/>
        <w:rPr>
          <w:rFonts w:ascii="Arial" w:cs="Arial" w:eastAsia="Arial" w:hAnsi="Arial"/>
          <w:sz w:val="14"/>
          <w:szCs w:val="14"/>
          <w:b w:val="1"/>
          <w:bCs w:val="1"/>
          <w:color w:val="D52B1E"/>
        </w:rPr>
      </w:pPr>
    </w:p>
    <w:p>
      <w:pPr>
        <w:ind w:left="840" w:right="60" w:hanging="280"/>
        <w:spacing w:after="0" w:line="271" w:lineRule="auto"/>
        <w:rPr>
          <w:rFonts w:ascii="Arial" w:cs="Arial" w:eastAsia="Arial" w:hAnsi="Arial"/>
          <w:sz w:val="14"/>
          <w:szCs w:val="14"/>
          <w:b w:val="1"/>
          <w:bCs w:val="1"/>
          <w:color w:val="D52B1E"/>
        </w:rPr>
      </w:pPr>
      <w:r>
        <w:rPr>
          <w:rFonts w:ascii="Arial" w:cs="Arial" w:eastAsia="Arial" w:hAnsi="Arial"/>
          <w:sz w:val="16"/>
          <w:szCs w:val="16"/>
          <w:color w:val="auto"/>
        </w:rPr>
        <w:t>– Prior to the annual equity grant, multi-year performance goals are established and approved by the Talent and Compensation Committee. Performance against these multi-year objectives is used to determine the long-term incentive equity payout.</w:t>
      </w:r>
    </w:p>
    <w:p>
      <w:pPr>
        <w:spacing w:after="0" w:line="47" w:lineRule="exact"/>
        <w:rPr>
          <w:rFonts w:ascii="Arial" w:cs="Arial" w:eastAsia="Arial" w:hAnsi="Arial"/>
          <w:sz w:val="14"/>
          <w:szCs w:val="14"/>
          <w:b w:val="1"/>
          <w:bCs w:val="1"/>
          <w:color w:val="D52B1E"/>
        </w:rPr>
      </w:pPr>
    </w:p>
    <w:p>
      <w:pPr>
        <w:ind w:left="560" w:hanging="286"/>
        <w:spacing w:after="0" w:line="260" w:lineRule="auto"/>
        <w:tabs>
          <w:tab w:leader="none" w:pos="550" w:val="left"/>
        </w:tabs>
        <w:numPr>
          <w:ilvl w:val="0"/>
          <w:numId w:val="12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Peer group analysis: </w:t>
      </w:r>
      <w:r>
        <w:rPr>
          <w:rFonts w:ascii="Arial" w:cs="Arial" w:eastAsia="Arial" w:hAnsi="Arial"/>
          <w:sz w:val="15"/>
          <w:szCs w:val="15"/>
          <w:color w:val="000000"/>
        </w:rPr>
        <w:t>The Talent and Compensation Committee uses data from the peer group described below as a market check for compensation</w:t>
      </w:r>
      <w:r>
        <w:rPr>
          <w:rFonts w:ascii="Arial" w:cs="Arial" w:eastAsia="Arial" w:hAnsi="Arial"/>
          <w:sz w:val="17"/>
          <w:szCs w:val="17"/>
          <w:b w:val="1"/>
          <w:bCs w:val="1"/>
          <w:color w:val="D52B1E"/>
        </w:rPr>
        <w:t xml:space="preserve"> </w:t>
      </w:r>
      <w:r>
        <w:rPr>
          <w:rFonts w:ascii="Arial" w:cs="Arial" w:eastAsia="Arial" w:hAnsi="Arial"/>
          <w:sz w:val="15"/>
          <w:szCs w:val="15"/>
          <w:color w:val="000000"/>
        </w:rPr>
        <w:t>decisions but does not use these data as the sole basis for its compensation targets and does not target a specific position within that range of market data.</w:t>
      </w:r>
    </w:p>
    <w:p>
      <w:pPr>
        <w:spacing w:after="0" w:line="102" w:lineRule="exact"/>
        <w:rPr>
          <w:rFonts w:ascii="Arial" w:cs="Arial" w:eastAsia="Arial" w:hAnsi="Arial"/>
          <w:sz w:val="14"/>
          <w:szCs w:val="14"/>
          <w:b w:val="1"/>
          <w:bCs w:val="1"/>
          <w:color w:val="D52B1E"/>
        </w:rPr>
      </w:pPr>
    </w:p>
    <w:p>
      <w:pPr>
        <w:ind w:left="560" w:right="960" w:hanging="286"/>
        <w:spacing w:after="0" w:line="289" w:lineRule="auto"/>
        <w:tabs>
          <w:tab w:leader="none" w:pos="550" w:val="left"/>
        </w:tabs>
        <w:numPr>
          <w:ilvl w:val="0"/>
          <w:numId w:val="122"/>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Input from independent compensation consultant: </w:t>
      </w:r>
      <w:r>
        <w:rPr>
          <w:rFonts w:ascii="Arial" w:cs="Arial" w:eastAsia="Arial" w:hAnsi="Arial"/>
          <w:sz w:val="15"/>
          <w:szCs w:val="15"/>
          <w:color w:val="000000"/>
        </w:rPr>
        <w:t>The Talent and Compensation Committee considers the advice of its independent</w:t>
      </w:r>
      <w:r>
        <w:rPr>
          <w:rFonts w:ascii="Arial" w:cs="Arial" w:eastAsia="Arial" w:hAnsi="Arial"/>
          <w:sz w:val="17"/>
          <w:szCs w:val="17"/>
          <w:b w:val="1"/>
          <w:bCs w:val="1"/>
          <w:color w:val="D52B1E"/>
        </w:rPr>
        <w:t xml:space="preserve"> </w:t>
      </w:r>
      <w:r>
        <w:rPr>
          <w:rFonts w:ascii="Arial" w:cs="Arial" w:eastAsia="Arial" w:hAnsi="Arial"/>
          <w:sz w:val="15"/>
          <w:szCs w:val="15"/>
          <w:color w:val="000000"/>
        </w:rPr>
        <w:t>compensation consultant, FW Cook, when setting executive officer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Pay Assessment</w:t>
      </w:r>
    </w:p>
    <w:p>
      <w:pPr>
        <w:spacing w:after="0" w:line="1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Lilly’s peer group is composed of companies that directly compete with Lilly, use a similar business model, and employ people with the unique skills required to operate an established biopharmaceutical company. The Talent and Compensation Committee selects a peer group whose median market cap and revenue are broadly like Lilly’s. The Talent and Compensation Committee reviews and approves the peer group at least every three years, and the Chair and independent compensation consultant review the peer group annually. The Talent and Compensation Committee established the following peer group in May 2021 for purposes of assessing competitive pay: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75" w:right="319" w:bottom="1440" w:gutter="0" w:footer="0" w:header="0"/>
        </w:sectPr>
      </w:pPr>
    </w:p>
    <w:bookmarkStart w:id="57" w:name="page58"/>
    <w:bookmarkEnd w:id="57"/>
    <w:tbl>
      <w:tblPr>
        <w:tblLayout w:type="fixed"/>
        <w:tblInd w:w="560" w:type="dxa"/>
        <w:tblCellMar>
          <w:top w:w="0" w:type="dxa"/>
          <w:left w:w="0" w:type="dxa"/>
          <w:bottom w:w="0" w:type="dxa"/>
          <w:right w:w="0" w:type="dxa"/>
        </w:tblCellMar>
      </w:tblPr>
      <w:tr>
        <w:trPr>
          <w:trHeight w:val="205"/>
        </w:trPr>
        <w:tc>
          <w:tcPr>
            <w:tcW w:w="1280" w:type="dxa"/>
            <w:vAlign w:val="bottom"/>
          </w:tcPr>
          <w:p>
            <w:pPr>
              <w:spacing w:after="0"/>
              <w:rPr>
                <w:sz w:val="20"/>
                <w:szCs w:val="20"/>
                <w:color w:val="auto"/>
              </w:rPr>
            </w:pPr>
            <w:r>
              <w:rPr>
                <w:rFonts w:ascii="Arial" w:cs="Arial" w:eastAsia="Arial" w:hAnsi="Arial"/>
                <w:sz w:val="16"/>
                <w:szCs w:val="16"/>
                <w:color w:val="auto"/>
              </w:rPr>
              <w:t>AbbVie</w:t>
            </w:r>
          </w:p>
        </w:tc>
        <w:tc>
          <w:tcPr>
            <w:tcW w:w="2120" w:type="dxa"/>
            <w:vAlign w:val="bottom"/>
          </w:tcPr>
          <w:p>
            <w:pPr>
              <w:ind w:left="380"/>
              <w:spacing w:after="0"/>
              <w:rPr>
                <w:sz w:val="20"/>
                <w:szCs w:val="20"/>
                <w:color w:val="auto"/>
              </w:rPr>
            </w:pPr>
            <w:r>
              <w:rPr>
                <w:rFonts w:ascii="Arial" w:cs="Arial" w:eastAsia="Arial" w:hAnsi="Arial"/>
                <w:sz w:val="16"/>
                <w:szCs w:val="16"/>
                <w:color w:val="auto"/>
              </w:rPr>
              <w:t>Bristol-Myers Squibb</w:t>
            </w:r>
          </w:p>
        </w:tc>
        <w:tc>
          <w:tcPr>
            <w:tcW w:w="1580" w:type="dxa"/>
            <w:vAlign w:val="bottom"/>
          </w:tcPr>
          <w:p>
            <w:pPr>
              <w:ind w:left="320"/>
              <w:spacing w:after="0"/>
              <w:rPr>
                <w:sz w:val="20"/>
                <w:szCs w:val="20"/>
                <w:color w:val="auto"/>
              </w:rPr>
            </w:pPr>
            <w:r>
              <w:rPr>
                <w:rFonts w:ascii="Arial" w:cs="Arial" w:eastAsia="Arial" w:hAnsi="Arial"/>
                <w:sz w:val="16"/>
                <w:szCs w:val="16"/>
                <w:color w:val="auto"/>
              </w:rPr>
              <w:t>Merck</w:t>
            </w:r>
          </w:p>
        </w:tc>
        <w:tc>
          <w:tcPr>
            <w:tcW w:w="820" w:type="dxa"/>
            <w:vAlign w:val="bottom"/>
          </w:tcPr>
          <w:p>
            <w:pPr>
              <w:ind w:left="320"/>
              <w:spacing w:after="0"/>
              <w:rPr>
                <w:sz w:val="20"/>
                <w:szCs w:val="20"/>
                <w:color w:val="auto"/>
              </w:rPr>
            </w:pPr>
            <w:r>
              <w:rPr>
                <w:rFonts w:ascii="Arial" w:cs="Arial" w:eastAsia="Arial" w:hAnsi="Arial"/>
                <w:sz w:val="16"/>
                <w:szCs w:val="16"/>
                <w:color w:val="auto"/>
              </w:rPr>
              <w:t>Roche</w:t>
            </w:r>
          </w:p>
        </w:tc>
      </w:tr>
      <w:tr>
        <w:trPr>
          <w:trHeight w:val="234"/>
        </w:trPr>
        <w:tc>
          <w:tcPr>
            <w:tcW w:w="1280" w:type="dxa"/>
            <w:vAlign w:val="bottom"/>
          </w:tcPr>
          <w:p>
            <w:pPr>
              <w:spacing w:after="0"/>
              <w:rPr>
                <w:sz w:val="20"/>
                <w:szCs w:val="20"/>
                <w:color w:val="auto"/>
              </w:rPr>
            </w:pPr>
            <w:r>
              <w:rPr>
                <w:rFonts w:ascii="Arial" w:cs="Arial" w:eastAsia="Arial" w:hAnsi="Arial"/>
                <w:sz w:val="16"/>
                <w:szCs w:val="16"/>
                <w:color w:val="auto"/>
              </w:rPr>
              <w:t>Amgen</w:t>
            </w:r>
          </w:p>
        </w:tc>
        <w:tc>
          <w:tcPr>
            <w:tcW w:w="2120" w:type="dxa"/>
            <w:vAlign w:val="bottom"/>
          </w:tcPr>
          <w:p>
            <w:pPr>
              <w:ind w:left="380"/>
              <w:spacing w:after="0"/>
              <w:rPr>
                <w:sz w:val="20"/>
                <w:szCs w:val="20"/>
                <w:color w:val="auto"/>
              </w:rPr>
            </w:pPr>
            <w:r>
              <w:rPr>
                <w:rFonts w:ascii="Arial" w:cs="Arial" w:eastAsia="Arial" w:hAnsi="Arial"/>
                <w:sz w:val="16"/>
                <w:szCs w:val="16"/>
                <w:color w:val="auto"/>
              </w:rPr>
              <w:t>Gilead</w:t>
            </w:r>
          </w:p>
        </w:tc>
        <w:tc>
          <w:tcPr>
            <w:tcW w:w="1580" w:type="dxa"/>
            <w:vAlign w:val="bottom"/>
          </w:tcPr>
          <w:p>
            <w:pPr>
              <w:ind w:left="320"/>
              <w:spacing w:after="0"/>
              <w:rPr>
                <w:sz w:val="20"/>
                <w:szCs w:val="20"/>
                <w:color w:val="auto"/>
              </w:rPr>
            </w:pPr>
            <w:r>
              <w:rPr>
                <w:rFonts w:ascii="Arial" w:cs="Arial" w:eastAsia="Arial" w:hAnsi="Arial"/>
                <w:sz w:val="16"/>
                <w:szCs w:val="16"/>
                <w:color w:val="auto"/>
              </w:rPr>
              <w:t>Novartis</w:t>
            </w:r>
          </w:p>
        </w:tc>
        <w:tc>
          <w:tcPr>
            <w:tcW w:w="820" w:type="dxa"/>
            <w:vAlign w:val="bottom"/>
          </w:tcPr>
          <w:p>
            <w:pPr>
              <w:ind w:left="320"/>
              <w:spacing w:after="0"/>
              <w:rPr>
                <w:sz w:val="20"/>
                <w:szCs w:val="20"/>
                <w:color w:val="auto"/>
              </w:rPr>
            </w:pPr>
            <w:r>
              <w:rPr>
                <w:rFonts w:ascii="Arial" w:cs="Arial" w:eastAsia="Arial" w:hAnsi="Arial"/>
                <w:sz w:val="16"/>
                <w:szCs w:val="16"/>
                <w:color w:val="auto"/>
              </w:rPr>
              <w:t>Sanofi</w:t>
            </w:r>
          </w:p>
        </w:tc>
      </w:tr>
      <w:tr>
        <w:trPr>
          <w:trHeight w:val="234"/>
        </w:trPr>
        <w:tc>
          <w:tcPr>
            <w:tcW w:w="1280" w:type="dxa"/>
            <w:vAlign w:val="bottom"/>
          </w:tcPr>
          <w:p>
            <w:pPr>
              <w:spacing w:after="0"/>
              <w:rPr>
                <w:sz w:val="20"/>
                <w:szCs w:val="20"/>
                <w:color w:val="auto"/>
              </w:rPr>
            </w:pPr>
            <w:r>
              <w:rPr>
                <w:rFonts w:ascii="Arial" w:cs="Arial" w:eastAsia="Arial" w:hAnsi="Arial"/>
                <w:sz w:val="16"/>
                <w:szCs w:val="16"/>
                <w:color w:val="auto"/>
              </w:rPr>
              <w:t>AstraZeneca</w:t>
            </w:r>
          </w:p>
        </w:tc>
        <w:tc>
          <w:tcPr>
            <w:tcW w:w="2120" w:type="dxa"/>
            <w:vAlign w:val="bottom"/>
          </w:tcPr>
          <w:p>
            <w:pPr>
              <w:ind w:left="380"/>
              <w:spacing w:after="0"/>
              <w:rPr>
                <w:sz w:val="20"/>
                <w:szCs w:val="20"/>
                <w:color w:val="auto"/>
              </w:rPr>
            </w:pPr>
            <w:r>
              <w:rPr>
                <w:rFonts w:ascii="Arial" w:cs="Arial" w:eastAsia="Arial" w:hAnsi="Arial"/>
                <w:sz w:val="16"/>
                <w:szCs w:val="16"/>
                <w:color w:val="auto"/>
              </w:rPr>
              <w:t>GlaxoSmithKline</w:t>
            </w:r>
          </w:p>
        </w:tc>
        <w:tc>
          <w:tcPr>
            <w:tcW w:w="1580" w:type="dxa"/>
            <w:vAlign w:val="bottom"/>
          </w:tcPr>
          <w:p>
            <w:pPr>
              <w:ind w:left="320"/>
              <w:spacing w:after="0"/>
              <w:rPr>
                <w:sz w:val="20"/>
                <w:szCs w:val="20"/>
                <w:color w:val="auto"/>
              </w:rPr>
            </w:pPr>
            <w:r>
              <w:rPr>
                <w:rFonts w:ascii="Arial" w:cs="Arial" w:eastAsia="Arial" w:hAnsi="Arial"/>
                <w:sz w:val="16"/>
                <w:szCs w:val="16"/>
                <w:color w:val="auto"/>
              </w:rPr>
              <w:t>Novo Nordisk</w:t>
            </w:r>
          </w:p>
        </w:tc>
        <w:tc>
          <w:tcPr>
            <w:tcW w:w="820" w:type="dxa"/>
            <w:vAlign w:val="bottom"/>
          </w:tcPr>
          <w:p>
            <w:pPr>
              <w:ind w:left="320"/>
              <w:spacing w:after="0"/>
              <w:rPr>
                <w:sz w:val="20"/>
                <w:szCs w:val="20"/>
                <w:color w:val="auto"/>
              </w:rPr>
            </w:pPr>
            <w:r>
              <w:rPr>
                <w:rFonts w:ascii="Arial" w:cs="Arial" w:eastAsia="Arial" w:hAnsi="Arial"/>
                <w:sz w:val="16"/>
                <w:szCs w:val="16"/>
                <w:color w:val="auto"/>
                <w:w w:val="89"/>
              </w:rPr>
              <w:t>Takeda</w:t>
            </w:r>
          </w:p>
        </w:tc>
      </w:tr>
      <w:tr>
        <w:trPr>
          <w:trHeight w:val="234"/>
        </w:trPr>
        <w:tc>
          <w:tcPr>
            <w:tcW w:w="1280" w:type="dxa"/>
            <w:vAlign w:val="bottom"/>
          </w:tcPr>
          <w:p>
            <w:pPr>
              <w:spacing w:after="0"/>
              <w:rPr>
                <w:sz w:val="20"/>
                <w:szCs w:val="20"/>
                <w:color w:val="auto"/>
              </w:rPr>
            </w:pPr>
            <w:r>
              <w:rPr>
                <w:rFonts w:ascii="Arial" w:cs="Arial" w:eastAsia="Arial" w:hAnsi="Arial"/>
                <w:sz w:val="16"/>
                <w:szCs w:val="16"/>
                <w:color w:val="auto"/>
              </w:rPr>
              <w:t>Biogen</w:t>
            </w:r>
          </w:p>
        </w:tc>
        <w:tc>
          <w:tcPr>
            <w:tcW w:w="2120" w:type="dxa"/>
            <w:vAlign w:val="bottom"/>
          </w:tcPr>
          <w:p>
            <w:pPr>
              <w:ind w:left="380"/>
              <w:spacing w:after="0"/>
              <w:rPr>
                <w:sz w:val="20"/>
                <w:szCs w:val="20"/>
                <w:color w:val="auto"/>
              </w:rPr>
            </w:pPr>
            <w:r>
              <w:rPr>
                <w:rFonts w:ascii="Arial" w:cs="Arial" w:eastAsia="Arial" w:hAnsi="Arial"/>
                <w:sz w:val="16"/>
                <w:szCs w:val="16"/>
                <w:color w:val="auto"/>
              </w:rPr>
              <w:t>Johnson &amp; Johnson</w:t>
            </w:r>
          </w:p>
        </w:tc>
        <w:tc>
          <w:tcPr>
            <w:tcW w:w="1580" w:type="dxa"/>
            <w:vAlign w:val="bottom"/>
          </w:tcPr>
          <w:p>
            <w:pPr>
              <w:ind w:left="320"/>
              <w:spacing w:after="0"/>
              <w:rPr>
                <w:sz w:val="20"/>
                <w:szCs w:val="20"/>
                <w:color w:val="auto"/>
              </w:rPr>
            </w:pPr>
            <w:r>
              <w:rPr>
                <w:rFonts w:ascii="Arial" w:cs="Arial" w:eastAsia="Arial" w:hAnsi="Arial"/>
                <w:sz w:val="16"/>
                <w:szCs w:val="16"/>
                <w:color w:val="auto"/>
              </w:rPr>
              <w:t>Pfizer</w:t>
            </w:r>
          </w:p>
        </w:tc>
        <w:tc>
          <w:tcPr>
            <w:tcW w:w="820" w:type="dxa"/>
            <w:vAlign w:val="bottom"/>
          </w:tcPr>
          <w:p>
            <w:pPr>
              <w:spacing w:after="0"/>
              <w:rPr>
                <w:sz w:val="20"/>
                <w:szCs w:val="20"/>
                <w:color w:val="auto"/>
              </w:rPr>
            </w:pPr>
          </w:p>
        </w:tc>
      </w:tr>
    </w:tbl>
    <w:p>
      <w:pPr>
        <w:spacing w:after="0" w:line="227"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At the time of the review in May 2021, all peer companies were no greater than two times our revenue or market cap except Johnson &amp; Johnson and Roche. The Talent and Compensation Committee included these two companies despite their size because they compete directly with Lilly, have similar business models, and seek to hire from the same pool of management and scientific talent.</w:t>
      </w:r>
    </w:p>
    <w:p>
      <w:pPr>
        <w:spacing w:after="0" w:line="1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When determining pay levels for target compensation, the Talent and Compensation Committee considers an analysis of market competitive pay for each executive officer position (except CEO), along with internal factors such as the performance and experience of each executive officer. The independent compensation consultant for the Talent and Compensation Committee provides a similar analysis when recommending pay levels for the CEO. The CEO analysis includes a comparison of our CEO’s actual total direct compensation in the prior year to company performance on an absolute and relative basis. The analysis also includes a comparison of current target total direct compensation for our CEO to recently available data on CEO target total direct compensation for our peer group with an emphasis on peers that are headquartered in the United States. On average, the named executive officers’ target total direct compensation for 2022 was comparable to the median of the peer group.</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Components of Our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Our 2022 executive compensation was primarily composed of three components:</w:t>
      </w:r>
    </w:p>
    <w:p>
      <w:pPr>
        <w:spacing w:after="0" w:line="50" w:lineRule="exact"/>
        <w:rPr>
          <w:sz w:val="20"/>
          <w:szCs w:val="20"/>
          <w:color w:val="auto"/>
        </w:rPr>
      </w:pPr>
    </w:p>
    <w:p>
      <w:pPr>
        <w:ind w:left="540" w:hanging="266"/>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6"/>
          <w:szCs w:val="16"/>
          <w:color w:val="auto"/>
        </w:rPr>
        <w:t>base salary;</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23"/>
        </w:numPr>
        <w:rPr>
          <w:rFonts w:ascii="Arial" w:cs="Arial" w:eastAsia="Arial" w:hAnsi="Arial"/>
          <w:sz w:val="13"/>
          <w:szCs w:val="13"/>
          <w:color w:val="auto"/>
        </w:rPr>
      </w:pPr>
      <w:r>
        <w:rPr>
          <w:rFonts w:ascii="Arial" w:cs="Arial" w:eastAsia="Arial" w:hAnsi="Arial"/>
          <w:sz w:val="14"/>
          <w:szCs w:val="14"/>
          <w:color w:val="auto"/>
        </w:rPr>
        <w:t>annual cash bonus, which is generally based on company performance relative to internal targets for revenue, EPS, and the progress of our pipeline; and</w:t>
      </w:r>
    </w:p>
    <w:p>
      <w:pPr>
        <w:spacing w:after="0" w:line="72" w:lineRule="exact"/>
        <w:rPr>
          <w:rFonts w:ascii="Arial" w:cs="Arial" w:eastAsia="Arial" w:hAnsi="Arial"/>
          <w:sz w:val="13"/>
          <w:szCs w:val="13"/>
          <w:color w:val="auto"/>
        </w:rPr>
      </w:pPr>
    </w:p>
    <w:p>
      <w:pPr>
        <w:ind w:left="540" w:hanging="266"/>
        <w:spacing w:after="0"/>
        <w:tabs>
          <w:tab w:leader="none" w:pos="540" w:val="left"/>
        </w:tabs>
        <w:numPr>
          <w:ilvl w:val="0"/>
          <w:numId w:val="123"/>
        </w:numPr>
        <w:rPr>
          <w:rFonts w:ascii="Arial" w:cs="Arial" w:eastAsia="Arial" w:hAnsi="Arial"/>
          <w:sz w:val="14"/>
          <w:szCs w:val="14"/>
          <w:color w:val="auto"/>
        </w:rPr>
      </w:pPr>
      <w:r>
        <w:rPr>
          <w:rFonts w:ascii="Arial" w:cs="Arial" w:eastAsia="Arial" w:hAnsi="Arial"/>
          <w:sz w:val="16"/>
          <w:szCs w:val="16"/>
          <w:color w:val="auto"/>
        </w:rPr>
        <w:t>three different forms of equity incentives:</w:t>
      </w:r>
    </w:p>
    <w:p>
      <w:pPr>
        <w:spacing w:after="0" w:line="49" w:lineRule="exact"/>
        <w:rPr>
          <w:rFonts w:ascii="Arial" w:cs="Arial" w:eastAsia="Arial" w:hAnsi="Arial"/>
          <w:sz w:val="14"/>
          <w:szCs w:val="14"/>
          <w:color w:val="auto"/>
        </w:rPr>
      </w:pPr>
    </w:p>
    <w:p>
      <w:pPr>
        <w:ind w:left="840" w:right="340" w:hanging="280"/>
        <w:spacing w:after="0" w:line="257" w:lineRule="auto"/>
        <w:rPr>
          <w:rFonts w:ascii="Arial" w:cs="Arial" w:eastAsia="Arial" w:hAnsi="Arial"/>
          <w:sz w:val="14"/>
          <w:szCs w:val="14"/>
          <w:color w:val="auto"/>
        </w:rPr>
      </w:pPr>
      <w:r>
        <w:rPr>
          <w:rFonts w:ascii="Arial" w:cs="Arial" w:eastAsia="Arial" w:hAnsi="Arial"/>
          <w:sz w:val="16"/>
          <w:szCs w:val="16"/>
          <w:color w:val="auto"/>
        </w:rPr>
        <w:t>– performance award, which is a performance-based equity award that vests over three years. Payout is based on the company’s two-year growth in EPS relative to the median external analyst anticipated peer group EPS growth. After the two-year performance period, the performance-adjusted shares are then subject to a 13-month service-vesting period</w:t>
      </w:r>
    </w:p>
    <w:p>
      <w:pPr>
        <w:spacing w:after="0" w:line="16" w:lineRule="exact"/>
        <w:rPr>
          <w:rFonts w:ascii="Arial" w:cs="Arial" w:eastAsia="Arial" w:hAnsi="Arial"/>
          <w:sz w:val="14"/>
          <w:szCs w:val="14"/>
          <w:color w:val="auto"/>
        </w:rPr>
      </w:pPr>
    </w:p>
    <w:p>
      <w:pPr>
        <w:ind w:left="840" w:right="180" w:hanging="280"/>
        <w:spacing w:after="0" w:line="271" w:lineRule="auto"/>
        <w:rPr>
          <w:rFonts w:ascii="Arial" w:cs="Arial" w:eastAsia="Arial" w:hAnsi="Arial"/>
          <w:sz w:val="14"/>
          <w:szCs w:val="14"/>
          <w:color w:val="auto"/>
        </w:rPr>
      </w:pPr>
      <w:r>
        <w:rPr>
          <w:rFonts w:ascii="Arial" w:cs="Arial" w:eastAsia="Arial" w:hAnsi="Arial"/>
          <w:sz w:val="16"/>
          <w:szCs w:val="16"/>
          <w:color w:val="auto"/>
        </w:rPr>
        <w:t>– shareholder value award, which is a performance-based equity award that pays out based on absolute company stock price growth measured over a three-year period, followed by a one-year holding period</w:t>
      </w:r>
    </w:p>
    <w:p>
      <w:pPr>
        <w:spacing w:after="0" w:line="5" w:lineRule="exact"/>
        <w:rPr>
          <w:rFonts w:ascii="Arial" w:cs="Arial" w:eastAsia="Arial" w:hAnsi="Arial"/>
          <w:sz w:val="14"/>
          <w:szCs w:val="14"/>
          <w:color w:val="auto"/>
        </w:rPr>
      </w:pPr>
    </w:p>
    <w:p>
      <w:pPr>
        <w:ind w:left="840" w:right="420" w:hanging="280"/>
        <w:spacing w:after="0" w:line="271" w:lineRule="auto"/>
        <w:rPr>
          <w:rFonts w:ascii="Arial" w:cs="Arial" w:eastAsia="Arial" w:hAnsi="Arial"/>
          <w:sz w:val="14"/>
          <w:szCs w:val="14"/>
          <w:color w:val="auto"/>
        </w:rPr>
      </w:pPr>
      <w:r>
        <w:rPr>
          <w:rFonts w:ascii="Arial" w:cs="Arial" w:eastAsia="Arial" w:hAnsi="Arial"/>
          <w:sz w:val="16"/>
          <w:szCs w:val="16"/>
          <w:color w:val="auto"/>
        </w:rPr>
        <w:t>– relative value award, which is a performance-based equity award that pays out based on company TSR results relative to peers measured over a three-year period, followed by a one-year holding period.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Executives also receive a company benefits package, described below under “</w:t>
      </w:r>
      <w:r>
        <w:rPr>
          <w:rFonts w:ascii="Arial" w:cs="Arial" w:eastAsia="Arial" w:hAnsi="Arial"/>
          <w:sz w:val="16"/>
          <w:szCs w:val="16"/>
          <w:u w:val="single" w:color="auto"/>
          <w:color w:val="0000FF"/>
        </w:rPr>
        <w:t>Other Compensation Practices and Information—Employee Benefits</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Adjustments to Reported Financial Results</w:t>
      </w:r>
    </w:p>
    <w:p>
      <w:pPr>
        <w:spacing w:after="0" w:line="15"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Talent and Compensation Committee has the authority to adjust the company’s reported revenue and EPS upon which incentive compensation payouts are determined to eliminate the distorting effect of unusual income or expense items. The adjustments are intended to:</w:t>
      </w:r>
    </w:p>
    <w:p>
      <w:pPr>
        <w:spacing w:after="0" w:line="20" w:lineRule="exact"/>
        <w:rPr>
          <w:sz w:val="20"/>
          <w:szCs w:val="20"/>
          <w:color w:val="auto"/>
        </w:rPr>
      </w:pPr>
    </w:p>
    <w:p>
      <w:pPr>
        <w:ind w:left="540" w:hanging="266"/>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align award payments with the underlying performance of the core business;</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avoid volatile, artificial inflation or deflation of awards due to unusual items during the performance period;</w:t>
      </w:r>
    </w:p>
    <w:p>
      <w:pPr>
        <w:spacing w:after="0" w:line="49" w:lineRule="exact"/>
        <w:rPr>
          <w:rFonts w:ascii="Arial" w:cs="Arial" w:eastAsia="Arial" w:hAnsi="Arial"/>
          <w:sz w:val="14"/>
          <w:szCs w:val="14"/>
          <w:color w:val="auto"/>
        </w:rPr>
      </w:pPr>
    </w:p>
    <w:p>
      <w:pPr>
        <w:ind w:left="560" w:right="620" w:hanging="286"/>
        <w:spacing w:after="0" w:line="271" w:lineRule="auto"/>
        <w:tabs>
          <w:tab w:leader="none" w:pos="55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 and</w:t>
      </w:r>
    </w:p>
    <w:p>
      <w:pPr>
        <w:spacing w:after="0" w:line="5" w:lineRule="exact"/>
        <w:rPr>
          <w:rFonts w:ascii="Arial" w:cs="Arial" w:eastAsia="Arial" w:hAnsi="Arial"/>
          <w:sz w:val="14"/>
          <w:szCs w:val="14"/>
          <w:color w:val="auto"/>
        </w:rPr>
      </w:pPr>
    </w:p>
    <w:p>
      <w:pPr>
        <w:ind w:left="540" w:hanging="266"/>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facilitate comparisons with peer companies.</w:t>
      </w:r>
    </w:p>
    <w:p>
      <w:pPr>
        <w:spacing w:after="0" w:line="5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Talent and Compensation Committee considers the adjustments approved by the Audit Committee for reporting non-GAAP EPS and other adjustments, based on guidelines approved by the Talent and Compensation Committee. The Talent and Compensation Committee reviews and approves adjustments on a quarterly basis and may adjust payouts for items, including but not limited to, the impact of significant acquisitions or divestitures, the impact of share repurchases that differ significantly from business plan, and large swings in foreign exchange rates. Further details on the adjustments for 2022 and the rationale for making these adjustments are set forth in</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58" w:name="page59"/>
    <w:bookmarkEnd w:id="58"/>
    <w:p>
      <w:pPr>
        <w:ind w:right="26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0000FF"/>
        </w:rPr>
        <w:t>Appendix A, Summary of Adjustments Related to the Annual Cash Bonus and Performance Award</w:t>
      </w:r>
      <w:r>
        <w:rPr>
          <w:rFonts w:ascii="Arial" w:cs="Arial" w:eastAsia="Arial" w:hAnsi="Arial"/>
          <w:sz w:val="16"/>
          <w:szCs w:val="16"/>
          <w:color w:val="auto"/>
        </w:rPr>
        <w:t xml:space="preserve">.” For ease of reference, throughout the CD&amp;A and the other compensation disclosures, we refer to “revenue”, “EPS”, and “adjusted non-GAAP EPS,” but we encourage you to review the information in </w:t>
      </w:r>
      <w:r>
        <w:rPr>
          <w:rFonts w:ascii="Arial" w:cs="Arial" w:eastAsia="Arial" w:hAnsi="Arial"/>
          <w:sz w:val="16"/>
          <w:szCs w:val="16"/>
          <w:u w:val="single" w:color="auto"/>
          <w:color w:val="0000FF"/>
        </w:rPr>
        <w:t>Appendix A t</w:t>
      </w:r>
      <w:r>
        <w:rPr>
          <w:rFonts w:ascii="Arial" w:cs="Arial" w:eastAsia="Arial" w:hAnsi="Arial"/>
          <w:sz w:val="16"/>
          <w:szCs w:val="16"/>
          <w:color w:val="auto"/>
        </w:rPr>
        <w:t>o understand the adjustments from reported revenue and EPS that were approved.</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Talent and Compensation Committee has general authority to apply downward discretion to bonus, performance award, shareholder value award, and relative value award payouts for individual or all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1. Base Salary</w:t>
      </w:r>
    </w:p>
    <w:p>
      <w:pPr>
        <w:spacing w:after="0" w:line="54"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compared annually with peer group data and are based on each person’s level of contribution, responsibility, expertise, experience, performance over time, and competitiveness.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If an executive officer’s salary is deemed competitive given their experience and performance, no salary increase is provided.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2. Annual Cash Bonus (Bonus Plan)</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Bonus Plan is designed to reward the achievement of the company’s annual financial and innovation objectives. All the named executive officers participated in the Bonus Plan during 2022.</w:t>
      </w:r>
    </w:p>
    <w:p>
      <w:pPr>
        <w:spacing w:after="0" w:line="98"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The Talent and Compensation Committee sets Bonus Plan performance goals and individual bonus targets at the beginning of each year. The bonus is based on three areas of company performance measured relative to internal targets: revenue, EPS, and pipeline progress. The annual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4843780" cy="31877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4843780" cy="318770"/>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 xml:space="preserve">base salary earnings     </w:t>
      </w:r>
      <w:r>
        <w:rPr>
          <w:sz w:val="1"/>
          <w:szCs w:val="1"/>
          <w:color w:val="auto"/>
        </w:rPr>
        <w:drawing>
          <wp:inline distT="0" distB="0" distL="0" distR="0">
            <wp:extent cx="148590" cy="148590"/>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48590" cy="148590"/>
                    </a:xfrm>
                    <a:prstGeom prst="rect">
                      <a:avLst/>
                    </a:prstGeom>
                    <a:noFill/>
                    <a:ln>
                      <a:noFill/>
                    </a:ln>
                  </pic:spPr>
                </pic:pic>
              </a:graphicData>
            </a:graphic>
          </wp:inline>
        </w:drawing>
      </w:r>
      <w:r>
        <w:rPr>
          <w:rFonts w:ascii="Arial" w:cs="Arial" w:eastAsia="Arial" w:hAnsi="Arial"/>
          <w:sz w:val="16"/>
          <w:szCs w:val="16"/>
          <w:b w:val="1"/>
          <w:bCs w:val="1"/>
          <w:color w:val="auto"/>
        </w:rPr>
        <w:t xml:space="preserve">    individual bonus target    </w:t>
      </w:r>
      <w:r>
        <w:rPr>
          <w:sz w:val="1"/>
          <w:szCs w:val="1"/>
          <w:color w:val="auto"/>
        </w:rPr>
        <w:drawing>
          <wp:inline distT="0" distB="0" distL="0" distR="0">
            <wp:extent cx="148590" cy="148590"/>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48590" cy="148590"/>
                    </a:xfrm>
                    <a:prstGeom prst="rect">
                      <a:avLst/>
                    </a:prstGeom>
                    <a:noFill/>
                    <a:ln>
                      <a:noFill/>
                    </a:ln>
                  </pic:spPr>
                </pic:pic>
              </a:graphicData>
            </a:graphic>
          </wp:inline>
        </w:drawing>
      </w:r>
      <w:r>
        <w:rPr>
          <w:rFonts w:ascii="Arial" w:cs="Arial" w:eastAsia="Arial" w:hAnsi="Arial"/>
          <w:sz w:val="16"/>
          <w:szCs w:val="16"/>
          <w:b w:val="1"/>
          <w:bCs w:val="1"/>
          <w:color w:val="FFFFFF"/>
        </w:rPr>
        <w:t xml:space="preserve">       bonus multiple</w:t>
      </w:r>
    </w:p>
    <w:p>
      <w:pPr>
        <w:spacing w:after="0" w:line="33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Actual payouts can range from 0 to 200 percent of an individual’s bonus target. The Talent and Compensation Committee references the annual operating plan and pipeline objectives to establish performance targets and to assess the relative weighting for each objective. In 2022, the performance measures and weightings remained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93980</wp:posOffset>
            </wp:positionV>
            <wp:extent cx="2069465" cy="762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069465" cy="7620"/>
                    </a:xfrm>
                    <a:prstGeom prst="rect">
                      <a:avLst/>
                    </a:prstGeom>
                    <a:noFill/>
                  </pic:spPr>
                </pic:pic>
              </a:graphicData>
            </a:graphic>
          </wp:anchor>
        </w:drawing>
      </w:r>
    </w:p>
    <w:p>
      <w:pPr>
        <w:spacing w:after="0" w:line="174" w:lineRule="exact"/>
        <w:rPr>
          <w:sz w:val="20"/>
          <w:szCs w:val="20"/>
          <w:color w:val="auto"/>
        </w:rPr>
      </w:pPr>
    </w:p>
    <w:tbl>
      <w:tblPr>
        <w:tblLayout w:type="fixed"/>
        <w:tblInd w:w="2160" w:type="dxa"/>
        <w:tblCellMar>
          <w:top w:w="0" w:type="dxa"/>
          <w:left w:w="0" w:type="dxa"/>
          <w:bottom w:w="0" w:type="dxa"/>
          <w:right w:w="0" w:type="dxa"/>
        </w:tblCellMar>
      </w:tblPr>
      <w:tr>
        <w:trPr>
          <w:trHeight w:val="229"/>
        </w:trPr>
        <w:tc>
          <w:tcPr>
            <w:tcW w:w="18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Lilly Goals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Weighting</w:t>
            </w:r>
          </w:p>
        </w:tc>
      </w:tr>
      <w:tr>
        <w:trPr>
          <w:trHeight w:val="210"/>
        </w:trPr>
        <w:tc>
          <w:tcPr>
            <w:tcW w:w="1880" w:type="dxa"/>
            <w:vAlign w:val="bottom"/>
          </w:tcPr>
          <w:p>
            <w:pPr>
              <w:ind w:left="20"/>
              <w:spacing w:after="0"/>
              <w:rPr>
                <w:sz w:val="20"/>
                <w:szCs w:val="20"/>
                <w:color w:val="auto"/>
              </w:rPr>
            </w:pPr>
            <w:r>
              <w:rPr>
                <w:rFonts w:ascii="Arial" w:cs="Arial" w:eastAsia="Arial" w:hAnsi="Arial"/>
                <w:sz w:val="16"/>
                <w:szCs w:val="16"/>
                <w:color w:val="auto"/>
              </w:rPr>
              <w:t>Revenue performance</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234"/>
        </w:trPr>
        <w:tc>
          <w:tcPr>
            <w:tcW w:w="1880" w:type="dxa"/>
            <w:vAlign w:val="bottom"/>
          </w:tcPr>
          <w:p>
            <w:pPr>
              <w:ind w:left="20"/>
              <w:spacing w:after="0"/>
              <w:rPr>
                <w:sz w:val="20"/>
                <w:szCs w:val="20"/>
                <w:color w:val="auto"/>
              </w:rPr>
            </w:pPr>
            <w:r>
              <w:rPr>
                <w:rFonts w:ascii="Arial" w:cs="Arial" w:eastAsia="Arial" w:hAnsi="Arial"/>
                <w:sz w:val="16"/>
                <w:szCs w:val="16"/>
                <w:color w:val="auto"/>
              </w:rPr>
              <w:t>EPS performance</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34"/>
        </w:trPr>
        <w:tc>
          <w:tcPr>
            <w:tcW w:w="1880" w:type="dxa"/>
            <w:vAlign w:val="bottom"/>
          </w:tcPr>
          <w:p>
            <w:pPr>
              <w:ind w:left="20"/>
              <w:spacing w:after="0"/>
              <w:rPr>
                <w:sz w:val="20"/>
                <w:szCs w:val="20"/>
                <w:color w:val="auto"/>
              </w:rPr>
            </w:pPr>
            <w:r>
              <w:rPr>
                <w:rFonts w:ascii="Arial" w:cs="Arial" w:eastAsia="Arial" w:hAnsi="Arial"/>
                <w:sz w:val="16"/>
                <w:szCs w:val="16"/>
                <w:color w:val="auto"/>
              </w:rPr>
              <w:t>Pipeline progress</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Based on this weighting, the company bonus multiple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947920" cy="22987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4947920" cy="229870"/>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25% x revenue multiple </w:t>
      </w:r>
      <w:r>
        <w:rPr>
          <w:sz w:val="1"/>
          <w:szCs w:val="1"/>
          <w:color w:val="auto"/>
        </w:rPr>
        <w:drawing>
          <wp:inline distT="0" distB="0" distL="0" distR="0">
            <wp:extent cx="148590" cy="14859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48590" cy="148590"/>
                    </a:xfrm>
                    <a:prstGeom prst="rect">
                      <a:avLst/>
                    </a:prstGeom>
                    <a:noFill/>
                    <a:ln>
                      <a:noFill/>
                    </a:ln>
                  </pic:spPr>
                </pic:pic>
              </a:graphicData>
            </a:graphic>
          </wp:inline>
        </w:drawing>
      </w:r>
      <w:r>
        <w:rPr>
          <w:rFonts w:ascii="Arial" w:cs="Arial" w:eastAsia="Arial" w:hAnsi="Arial"/>
          <w:sz w:val="15"/>
          <w:szCs w:val="15"/>
          <w:b w:val="1"/>
          <w:bCs w:val="1"/>
          <w:color w:val="FFFFFF"/>
        </w:rPr>
        <w:t xml:space="preserve">   50% x EPS multiple   </w:t>
      </w:r>
      <w:r>
        <w:rPr>
          <w:sz w:val="1"/>
          <w:szCs w:val="1"/>
          <w:color w:val="auto"/>
        </w:rPr>
        <w:drawing>
          <wp:inline distT="0" distB="0" distL="0" distR="0">
            <wp:extent cx="148590" cy="14859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48590" cy="148590"/>
                    </a:xfrm>
                    <a:prstGeom prst="rect">
                      <a:avLst/>
                    </a:prstGeom>
                    <a:noFill/>
                    <a:ln>
                      <a:noFill/>
                    </a:ln>
                  </pic:spPr>
                </pic:pic>
              </a:graphicData>
            </a:graphic>
          </wp:inline>
        </w:drawing>
      </w:r>
      <w:r>
        <w:rPr>
          <w:rFonts w:ascii="Arial" w:cs="Arial" w:eastAsia="Arial" w:hAnsi="Arial"/>
          <w:sz w:val="15"/>
          <w:szCs w:val="15"/>
          <w:b w:val="1"/>
          <w:bCs w:val="1"/>
          <w:color w:val="auto"/>
        </w:rPr>
        <w:t xml:space="preserve"> 25% x pipeline multiple </w:t>
      </w:r>
      <w:r>
        <w:rPr>
          <w:sz w:val="1"/>
          <w:szCs w:val="1"/>
          <w:color w:val="auto"/>
        </w:rPr>
        <w:drawing>
          <wp:inline distT="0" distB="0" distL="0" distR="0">
            <wp:extent cx="148590" cy="14859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48590" cy="148590"/>
                    </a:xfrm>
                    <a:prstGeom prst="rect">
                      <a:avLst/>
                    </a:prstGeom>
                    <a:noFill/>
                    <a:ln>
                      <a:noFill/>
                    </a:ln>
                  </pic:spPr>
                </pic:pic>
              </a:graphicData>
            </a:graphic>
          </wp:inline>
        </w:drawing>
      </w:r>
      <w:r>
        <w:rPr>
          <w:rFonts w:ascii="Arial" w:cs="Arial" w:eastAsia="Arial" w:hAnsi="Arial"/>
          <w:sz w:val="15"/>
          <w:szCs w:val="15"/>
          <w:b w:val="1"/>
          <w:bCs w:val="1"/>
          <w:color w:val="FFFFFF"/>
        </w:rPr>
        <w:t xml:space="preserve">     bonus multiple</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3. Equity Incentives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grants three types of equity incentives to executives and certain other employees: performance awards that are designed to focus leaders on</w:t>
      </w:r>
    </w:p>
    <w:p>
      <w:pPr>
        <w:spacing w:after="0" w:line="13" w:lineRule="exact"/>
        <w:rPr>
          <w:sz w:val="20"/>
          <w:szCs w:val="20"/>
          <w:color w:val="auto"/>
        </w:rPr>
      </w:pPr>
    </w:p>
    <w:p>
      <w:pPr>
        <w:ind w:right="100"/>
        <w:spacing w:after="0" w:line="189" w:lineRule="exact"/>
        <w:rPr>
          <w:sz w:val="20"/>
          <w:szCs w:val="20"/>
          <w:color w:val="auto"/>
        </w:rPr>
      </w:pPr>
      <w:r>
        <w:rPr>
          <w:rFonts w:ascii="Arial" w:cs="Arial" w:eastAsia="Arial" w:hAnsi="Arial"/>
          <w:sz w:val="16"/>
          <w:szCs w:val="16"/>
          <w:color w:val="auto"/>
        </w:rPr>
        <w:t>multi</w:t>
      </w:r>
      <w:r>
        <w:rPr>
          <w:rFonts w:ascii="MS PGothic" w:cs="MS PGothic" w:eastAsia="MS PGothic" w:hAnsi="MS PGothic"/>
          <w:sz w:val="16"/>
          <w:szCs w:val="16"/>
          <w:color w:val="auto"/>
        </w:rPr>
        <w:t>‑</w:t>
      </w:r>
      <w:r>
        <w:rPr>
          <w:rFonts w:ascii="Arial" w:cs="Arial" w:eastAsia="Arial" w:hAnsi="Arial"/>
          <w:sz w:val="16"/>
          <w:szCs w:val="16"/>
          <w:color w:val="auto"/>
        </w:rPr>
        <w:t>year operational performance relative to peer companies, shareholder value awards that are intended to align earned compensation with long-term growth in shareholder value, and relative value awards which encourage TSR outperformance compared to our peer group. These awards, when considered together, align with shareholder interests by incenting long-term operational excellence, shareholder return and peer company outperformance without encouraging excessive risk-taking behaviors.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Performance Awards</w:t>
      </w:r>
    </w:p>
    <w:p>
      <w:pPr>
        <w:spacing w:after="0" w:line="9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Performance awards vest after three years. Payouts are based on achieving EPS growth targets over a two-year performance period, followed by an additional 13-month service-vesting period for executive officers. During the service-vesting period, the award is held in the form of restricted stock units. The growth-rate targets are set relative to the median external analyst anticipated EPS growth for our peer group over the same performance period. These awards do not accumulate dividends during the two-year performance period, but they do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accumulate dividend equivalent units during the service-vesting period.</w:t>
      </w:r>
    </w:p>
    <w:p>
      <w:pPr>
        <w:spacing w:after="0" w:line="143" w:lineRule="exact"/>
        <w:rPr>
          <w:sz w:val="20"/>
          <w:szCs w:val="20"/>
          <w:color w:val="auto"/>
        </w:rPr>
      </w:pPr>
    </w:p>
    <w:p>
      <w:pPr>
        <w:spacing w:after="0" w:line="191" w:lineRule="exact"/>
        <w:rPr>
          <w:sz w:val="20"/>
          <w:szCs w:val="20"/>
          <w:color w:val="auto"/>
        </w:rPr>
      </w:pPr>
      <w:r>
        <w:rPr>
          <w:rFonts w:ascii="Arial" w:cs="Arial" w:eastAsia="Arial" w:hAnsi="Arial"/>
          <w:sz w:val="16"/>
          <w:szCs w:val="16"/>
          <w:color w:val="auto"/>
        </w:rPr>
        <w:t>The Talent and Compensation Committee believes EPS growth is an effective measure of operational performance because it is closely linked to shareholder value, is broadly communicated to the public, is understood by Lilly employees, and allows for comparisons to the performance of Lilly’s peer group. Consistent with the objectives established by the Talent and Compensation Committee, Lilly company performance exceeding the expected peer group median results in above</w:t>
      </w:r>
      <w:r>
        <w:rPr>
          <w:rFonts w:ascii="MS PGothic" w:cs="MS PGothic" w:eastAsia="MS PGothic" w:hAnsi="MS PGothic"/>
          <w:sz w:val="16"/>
          <w:szCs w:val="16"/>
          <w:color w:val="auto"/>
        </w:rPr>
        <w:t>‑</w:t>
      </w:r>
      <w:r>
        <w:rPr>
          <w:rFonts w:ascii="Arial" w:cs="Arial" w:eastAsia="Arial" w:hAnsi="Arial"/>
          <w:sz w:val="16"/>
          <w:szCs w:val="16"/>
          <w:color w:val="auto"/>
        </w:rPr>
        <w:t>target payouts, while Lilly company performance lagging the expected peer group median results in below</w:t>
      </w:r>
      <w:r>
        <w:rPr>
          <w:rFonts w:ascii="MS PGothic" w:cs="MS PGothic" w:eastAsia="MS PGothic" w:hAnsi="MS PGothic"/>
          <w:sz w:val="16"/>
          <w:szCs w:val="16"/>
          <w:color w:val="auto"/>
        </w:rPr>
        <w:t>‑</w:t>
      </w:r>
      <w:r>
        <w:rPr>
          <w:rFonts w:ascii="Arial" w:cs="Arial" w:eastAsia="Arial" w:hAnsi="Arial"/>
          <w:sz w:val="16"/>
          <w:szCs w:val="16"/>
          <w:color w:val="auto"/>
        </w:rPr>
        <w:t>target payouts. Possible payouts range from 0 percent to 175 percent of the target number of shares, depending on Lilly EPS growth over the performance period.</w:t>
      </w:r>
    </w:p>
    <w:p>
      <w:pPr>
        <w:spacing w:after="0" w:line="124"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color w:val="auto"/>
        </w:rPr>
        <w:t>The measure of EPS used in the performance award program differs from the measure used in the Bonus Plan in two ways. First, the EPS goal in the Bonus Plan is set with reference to internal goals that align to our annual operating plan, while the EPS goal in the performance award program is set based on the external analyst anticipated EPS growth rates of our peer group. Second, the Bonus Plan measures EPS over a one-year period, while the performance award program measures EPS over a two-year period. In any given year, the Bonus Plan may pay above target while the performance award pays below target (or vice versa).</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Shareholder Value Awards</w:t>
      </w:r>
    </w:p>
    <w:p>
      <w:pPr>
        <w:spacing w:after="0" w:line="9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Talent and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Possible payouts are based on share price growth and range from 0 to 175 percent of the target number of shares. Executive officers receive no payout if Lilly’s TSR for the three-year period is zero or negative.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Relative Value Awards</w:t>
      </w:r>
    </w:p>
    <w:p>
      <w:pPr>
        <w:spacing w:after="0" w:line="9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Relative value awards are earned based on Lilly’s TSR performance relative to our peer group.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30 or more percentage points below the median TSR performance for the peer group over the same time period. Possible payouts range from 0 to 175 percent of the target number of shares.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 for Performance</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The charts depict the annualized mix of target compensation for Lilly’s CEO and the annualized average for Ms. Ashkenazi, Dr. Skovronsky, Ms. Hakim and Mr. Jonsson.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445135</wp:posOffset>
            </wp:positionV>
            <wp:extent cx="4984750" cy="409448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clrChange>
                        <a:clrFrom>
                          <a:srgbClr val="FFFFFF"/>
                        </a:clrFrom>
                        <a:clrTo>
                          <a:srgbClr val="FFFFFF">
                            <a:alpha val="0"/>
                          </a:srgbClr>
                        </a:clrTo>
                      </a:clrChange>
                      <a:extLst>
                        <a:ext uri="{28A0092B-C50C-407E-A947-70E740481C1C}"/>
                      </a:extLst>
                    </a:blip>
                    <a:srcRect/>
                    <a:stretch>
                      <a:fillRect/>
                    </a:stretch>
                  </pic:blipFill>
                  <pic:spPr bwMode="auto">
                    <a:xfrm>
                      <a:off x="0" y="0"/>
                      <a:ext cx="4984750" cy="409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Target Total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Review Process</w:t>
      </w:r>
    </w:p>
    <w:p>
      <w:pPr>
        <w:spacing w:after="0" w:line="15" w:lineRule="exact"/>
        <w:rPr>
          <w:sz w:val="20"/>
          <w:szCs w:val="20"/>
          <w:color w:val="auto"/>
        </w:rPr>
      </w:pPr>
    </w:p>
    <w:p>
      <w:pPr>
        <w:ind w:right="720"/>
        <w:spacing w:after="0" w:line="252" w:lineRule="auto"/>
        <w:rPr>
          <w:sz w:val="20"/>
          <w:szCs w:val="20"/>
          <w:color w:val="auto"/>
        </w:rPr>
      </w:pPr>
      <w:r>
        <w:rPr>
          <w:rFonts w:ascii="Arial" w:cs="Arial" w:eastAsia="Arial" w:hAnsi="Arial"/>
          <w:sz w:val="16"/>
          <w:szCs w:val="16"/>
          <w:color w:val="auto"/>
        </w:rPr>
        <w:t>In setting 2022 target compensation for the named executive officers, the Talent and Compensation Committee considered individual contributions, Lilly’s performance during 2021, internal relativity, peer group data, and input from the CEO for named executive officers other than himself.</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Individual Named Executive Officer Performance</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summary of the Talent and Compensation Committee’s review of individual named executive officer performance in 2021 that influenced decisions on 2022 target compensation is provided below:</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David Ricks, Chair, President, and CEO:</w:t>
      </w:r>
    </w:p>
    <w:p>
      <w:pPr>
        <w:spacing w:after="0" w:line="66"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accordance with the company’s corporate governance guidelines, the independent directors conducted an assessment of Mr. Ricks’ performance led by the lead independent director. The independent directors believe the company largely met or exceeded its combined financial and strategic goals for 2021 under Mr. Ricks’ leadership. In 2021, Mr. Ricks and his team:</w:t>
      </w:r>
    </w:p>
    <w:p>
      <w:pPr>
        <w:spacing w:after="0" w:line="110" w:lineRule="exact"/>
        <w:rPr>
          <w:sz w:val="20"/>
          <w:szCs w:val="20"/>
          <w:color w:val="auto"/>
        </w:rPr>
      </w:pPr>
    </w:p>
    <w:p>
      <w:pPr>
        <w:ind w:left="560" w:right="200" w:hanging="286"/>
        <w:spacing w:after="0" w:line="271" w:lineRule="auto"/>
        <w:tabs>
          <w:tab w:leader="none" w:pos="550" w:val="left"/>
        </w:tabs>
        <w:numPr>
          <w:ilvl w:val="0"/>
          <w:numId w:val="125"/>
        </w:numPr>
        <w:rPr>
          <w:rFonts w:ascii="Arial" w:cs="Arial" w:eastAsia="Arial" w:hAnsi="Arial"/>
          <w:sz w:val="14"/>
          <w:szCs w:val="14"/>
          <w:color w:val="auto"/>
        </w:rPr>
      </w:pPr>
      <w:r>
        <w:rPr>
          <w:rFonts w:ascii="Arial" w:cs="Arial" w:eastAsia="Arial" w:hAnsi="Arial"/>
          <w:sz w:val="16"/>
          <w:szCs w:val="16"/>
          <w:color w:val="auto"/>
        </w:rPr>
        <w:t>Launched 18 new indications for already marketed medicines to patients around the world including Verzenio in certain people with high-risk early breast cancer and Jardiance in heart failure which reduced ejection fraction.</w:t>
      </w:r>
    </w:p>
    <w:p>
      <w:pPr>
        <w:spacing w:after="0" w:line="98" w:lineRule="exact"/>
        <w:rPr>
          <w:rFonts w:ascii="Arial" w:cs="Arial" w:eastAsia="Arial" w:hAnsi="Arial"/>
          <w:sz w:val="14"/>
          <w:szCs w:val="14"/>
          <w:color w:val="auto"/>
        </w:rPr>
      </w:pPr>
    </w:p>
    <w:p>
      <w:pPr>
        <w:ind w:left="560" w:right="560" w:hanging="286"/>
        <w:spacing w:after="0" w:line="271" w:lineRule="auto"/>
        <w:tabs>
          <w:tab w:leader="none" w:pos="550" w:val="left"/>
        </w:tabs>
        <w:numPr>
          <w:ilvl w:val="0"/>
          <w:numId w:val="125"/>
        </w:numPr>
        <w:rPr>
          <w:rFonts w:ascii="Arial" w:cs="Arial" w:eastAsia="Arial" w:hAnsi="Arial"/>
          <w:sz w:val="14"/>
          <w:szCs w:val="14"/>
          <w:color w:val="auto"/>
        </w:rPr>
      </w:pPr>
      <w:r>
        <w:rPr>
          <w:rFonts w:ascii="Arial" w:cs="Arial" w:eastAsia="Arial" w:hAnsi="Arial"/>
          <w:sz w:val="16"/>
          <w:szCs w:val="16"/>
          <w:color w:val="auto"/>
        </w:rPr>
        <w:t>Progressed 12 and 10 potential new medicines into Phase I and Phase II clinical development respectively from both internal research and external sources.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ind w:left="540" w:hanging="266"/>
        <w:spacing w:after="0"/>
        <w:tabs>
          <w:tab w:leader="none" w:pos="540" w:val="left"/>
        </w:tabs>
        <w:numPr>
          <w:ilvl w:val="0"/>
          <w:numId w:val="126"/>
        </w:numPr>
        <w:rPr>
          <w:rFonts w:ascii="Arial" w:cs="Arial" w:eastAsia="Arial" w:hAnsi="Arial"/>
          <w:sz w:val="14"/>
          <w:szCs w:val="14"/>
          <w:color w:val="auto"/>
        </w:rPr>
      </w:pPr>
      <w:r>
        <w:rPr>
          <w:rFonts w:ascii="Arial" w:cs="Arial" w:eastAsia="Arial" w:hAnsi="Arial"/>
          <w:sz w:val="16"/>
          <w:szCs w:val="16"/>
          <w:color w:val="auto"/>
        </w:rPr>
        <w:t>Advanced tirzepatide and donanemab, two promising pipeline assets, both having significant data releases and initiating the regulatory review process.</w:t>
      </w:r>
    </w:p>
    <w:p>
      <w:pPr>
        <w:spacing w:after="0" w:line="143" w:lineRule="exact"/>
        <w:rPr>
          <w:rFonts w:ascii="Arial" w:cs="Arial" w:eastAsia="Arial" w:hAnsi="Arial"/>
          <w:sz w:val="14"/>
          <w:szCs w:val="14"/>
          <w:color w:val="auto"/>
        </w:rPr>
      </w:pPr>
    </w:p>
    <w:p>
      <w:pPr>
        <w:ind w:left="560" w:right="460" w:hanging="286"/>
        <w:spacing w:after="0" w:line="271" w:lineRule="auto"/>
        <w:tabs>
          <w:tab w:leader="none" w:pos="550" w:val="left"/>
        </w:tabs>
        <w:numPr>
          <w:ilvl w:val="0"/>
          <w:numId w:val="126"/>
        </w:numPr>
        <w:rPr>
          <w:rFonts w:ascii="Arial" w:cs="Arial" w:eastAsia="Arial" w:hAnsi="Arial"/>
          <w:sz w:val="14"/>
          <w:szCs w:val="14"/>
          <w:color w:val="auto"/>
        </w:rPr>
      </w:pPr>
      <w:r>
        <w:rPr>
          <w:rFonts w:ascii="Arial" w:cs="Arial" w:eastAsia="Arial" w:hAnsi="Arial"/>
          <w:sz w:val="16"/>
          <w:szCs w:val="16"/>
          <w:color w:val="auto"/>
        </w:rPr>
        <w:t>Contributed towards the fight against the global COVID-19 pandemic, including discovering and developing SARS-CoV-2 neutralizing antibodies and striving to protect the health and safety of Lilly employees who continued to provide lifesaving medicines to people around the world.</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126"/>
        </w:numPr>
        <w:rPr>
          <w:rFonts w:ascii="Arial" w:cs="Arial" w:eastAsia="Arial" w:hAnsi="Arial"/>
          <w:sz w:val="14"/>
          <w:szCs w:val="14"/>
          <w:color w:val="auto"/>
        </w:rPr>
      </w:pPr>
      <w:r>
        <w:rPr>
          <w:rFonts w:ascii="Arial" w:cs="Arial" w:eastAsia="Arial" w:hAnsi="Arial"/>
          <w:sz w:val="16"/>
          <w:szCs w:val="16"/>
          <w:color w:val="auto"/>
        </w:rPr>
        <w:t>Completed numerous pre-clinical and new modality business development transactions to complement and expand internal research efforts.</w:t>
      </w:r>
    </w:p>
    <w:p>
      <w:pPr>
        <w:spacing w:after="0" w:line="143" w:lineRule="exact"/>
        <w:rPr>
          <w:rFonts w:ascii="Arial" w:cs="Arial" w:eastAsia="Arial" w:hAnsi="Arial"/>
          <w:sz w:val="14"/>
          <w:szCs w:val="14"/>
          <w:color w:val="auto"/>
        </w:rPr>
      </w:pPr>
    </w:p>
    <w:p>
      <w:pPr>
        <w:ind w:left="560" w:right="740" w:hanging="286"/>
        <w:spacing w:after="0" w:line="271" w:lineRule="auto"/>
        <w:tabs>
          <w:tab w:leader="none" w:pos="550" w:val="left"/>
        </w:tabs>
        <w:numPr>
          <w:ilvl w:val="0"/>
          <w:numId w:val="126"/>
        </w:numPr>
        <w:rPr>
          <w:rFonts w:ascii="Arial" w:cs="Arial" w:eastAsia="Arial" w:hAnsi="Arial"/>
          <w:sz w:val="14"/>
          <w:szCs w:val="14"/>
          <w:color w:val="auto"/>
        </w:rPr>
      </w:pPr>
      <w:r>
        <w:rPr>
          <w:rFonts w:ascii="Arial" w:cs="Arial" w:eastAsia="Arial" w:hAnsi="Arial"/>
          <w:sz w:val="16"/>
          <w:szCs w:val="16"/>
          <w:color w:val="auto"/>
        </w:rPr>
        <w:t>Continued to drive a cross-company productivity agenda resulting in savings that funded increased investment in research and development and commercialization of key medicines.</w:t>
      </w:r>
    </w:p>
    <w:p>
      <w:pPr>
        <w:spacing w:after="0" w:line="98" w:lineRule="exact"/>
        <w:rPr>
          <w:rFonts w:ascii="Arial" w:cs="Arial" w:eastAsia="Arial" w:hAnsi="Arial"/>
          <w:sz w:val="14"/>
          <w:szCs w:val="14"/>
          <w:color w:val="auto"/>
        </w:rPr>
      </w:pPr>
    </w:p>
    <w:p>
      <w:pPr>
        <w:ind w:left="560" w:right="300" w:hanging="286"/>
        <w:spacing w:after="0" w:line="311" w:lineRule="auto"/>
        <w:tabs>
          <w:tab w:leader="none" w:pos="550" w:val="left"/>
        </w:tabs>
        <w:numPr>
          <w:ilvl w:val="0"/>
          <w:numId w:val="126"/>
        </w:numPr>
        <w:rPr>
          <w:rFonts w:ascii="Arial" w:cs="Arial" w:eastAsia="Arial" w:hAnsi="Arial"/>
          <w:sz w:val="13"/>
          <w:szCs w:val="13"/>
          <w:color w:val="auto"/>
        </w:rPr>
      </w:pPr>
      <w:r>
        <w:rPr>
          <w:rFonts w:ascii="Arial" w:cs="Arial" w:eastAsia="Arial" w:hAnsi="Arial"/>
          <w:sz w:val="14"/>
          <w:szCs w:val="14"/>
          <w:color w:val="auto"/>
        </w:rPr>
        <w:t>Continued execution of a comprehensive strategy that improved DEI across the company, increased the representation of women and minorities in management and conducted pay equity studies to promote equality in pay. The company was ranked #3 on the DiversityInc. top 50 companies list. Additionally, led the company’s comprehensive Racial Justice Commitment to help improve equity within Lilly and the communities in which it operates.</w:t>
      </w:r>
    </w:p>
    <w:p>
      <w:pPr>
        <w:spacing w:after="0" w:line="75" w:lineRule="exact"/>
        <w:rPr>
          <w:rFonts w:ascii="Arial" w:cs="Arial" w:eastAsia="Arial" w:hAnsi="Arial"/>
          <w:sz w:val="13"/>
          <w:szCs w:val="13"/>
          <w:color w:val="auto"/>
        </w:rPr>
      </w:pPr>
    </w:p>
    <w:p>
      <w:pPr>
        <w:ind w:left="560" w:hanging="286"/>
        <w:spacing w:after="0" w:line="257" w:lineRule="auto"/>
        <w:tabs>
          <w:tab w:leader="none" w:pos="550" w:val="left"/>
        </w:tabs>
        <w:numPr>
          <w:ilvl w:val="0"/>
          <w:numId w:val="126"/>
        </w:numPr>
        <w:rPr>
          <w:rFonts w:ascii="Arial" w:cs="Arial" w:eastAsia="Arial" w:hAnsi="Arial"/>
          <w:sz w:val="14"/>
          <w:szCs w:val="14"/>
          <w:color w:val="auto"/>
        </w:rPr>
      </w:pPr>
      <w:r>
        <w:rPr>
          <w:rFonts w:ascii="Arial" w:cs="Arial" w:eastAsia="Arial" w:hAnsi="Arial"/>
          <w:sz w:val="16"/>
          <w:szCs w:val="16"/>
          <w:color w:val="auto"/>
        </w:rPr>
        <w:t>Established new 2030 environmental performance goals to be carbon neutral in our own operations, purchase 100% renewable electricity, have zero waste to landfill from routine operations and continue our water stewardship. Held the company’s first ESG investor meeting and published Lilly’s comprehensive ESG report.</w:t>
      </w:r>
    </w:p>
    <w:p>
      <w:pPr>
        <w:spacing w:after="0" w:line="131" w:lineRule="exact"/>
        <w:rPr>
          <w:rFonts w:ascii="Arial" w:cs="Arial" w:eastAsia="Arial" w:hAnsi="Arial"/>
          <w:sz w:val="14"/>
          <w:szCs w:val="14"/>
          <w:color w:val="auto"/>
        </w:rPr>
      </w:pPr>
    </w:p>
    <w:p>
      <w:pPr>
        <w:ind w:left="540" w:hanging="266"/>
        <w:spacing w:after="0"/>
        <w:tabs>
          <w:tab w:leader="none" w:pos="540" w:val="left"/>
        </w:tabs>
        <w:numPr>
          <w:ilvl w:val="0"/>
          <w:numId w:val="126"/>
        </w:numPr>
        <w:rPr>
          <w:rFonts w:ascii="Arial" w:cs="Arial" w:eastAsia="Arial" w:hAnsi="Arial"/>
          <w:sz w:val="19"/>
          <w:szCs w:val="19"/>
          <w:color w:val="auto"/>
        </w:rPr>
      </w:pPr>
      <w:r>
        <w:rPr>
          <w:rFonts w:ascii="Arial" w:cs="Arial" w:eastAsia="Arial" w:hAnsi="Arial"/>
          <w:sz w:val="16"/>
          <w:szCs w:val="16"/>
          <w:color w:val="auto"/>
        </w:rPr>
        <w:t>In addition, the company was named one of the world’s most ethical companies by the Ethisphere Institute</w:t>
      </w:r>
      <w:r>
        <w:rPr>
          <w:rFonts w:ascii="Arial" w:cs="Arial" w:eastAsia="Arial" w:hAnsi="Arial"/>
          <w:sz w:val="14"/>
          <w:szCs w:val="14"/>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Anat Ashkenazi, Executive Vice President and Chief Financial Officer:</w:t>
      </w:r>
    </w:p>
    <w:p>
      <w:pPr>
        <w:spacing w:after="0" w:line="66"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Ms. Ashkenazi contributed to the strong financial performance of the company in her first year as chief financial officer. Ms. Ashkenazi’s 2021 accomplishments included:</w:t>
      </w:r>
    </w:p>
    <w:p>
      <w:pPr>
        <w:spacing w:after="0" w:line="98" w:lineRule="exact"/>
        <w:rPr>
          <w:sz w:val="20"/>
          <w:szCs w:val="20"/>
          <w:color w:val="auto"/>
        </w:rPr>
      </w:pPr>
    </w:p>
    <w:p>
      <w:pPr>
        <w:ind w:left="540" w:hanging="266"/>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Played a key role in the company achieving its financial targets in 2021.</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Drove the company’s 2022 strategic planning and business planning process.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Championed the company’s productivity agenda throughout 2021 and during the company’s strategic and operational planning processes.</w:t>
      </w:r>
    </w:p>
    <w:p>
      <w:pPr>
        <w:spacing w:after="0" w:line="143" w:lineRule="exact"/>
        <w:rPr>
          <w:rFonts w:ascii="Arial" w:cs="Arial" w:eastAsia="Arial" w:hAnsi="Arial"/>
          <w:sz w:val="14"/>
          <w:szCs w:val="14"/>
          <w:color w:val="auto"/>
        </w:rPr>
      </w:pPr>
    </w:p>
    <w:p>
      <w:pPr>
        <w:ind w:left="560" w:right="520" w:hanging="286"/>
        <w:spacing w:after="0" w:line="271" w:lineRule="auto"/>
        <w:tabs>
          <w:tab w:leader="none" w:pos="55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Led the capital allocation process allowing for investment in several in-licensing deals and increased funding for the advancement of new medicines through clinical development.</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Continued to build excellent rapport and represent the company with the investment community.</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6"/>
          <w:szCs w:val="16"/>
          <w:color w:val="auto"/>
        </w:rPr>
        <w:t>Was a strong partner with the business unit presidents, chief scientific and medical officer, and president of manufacturing operations.</w:t>
      </w:r>
    </w:p>
    <w:p>
      <w:pPr>
        <w:spacing w:after="0" w:line="143" w:lineRule="exact"/>
        <w:rPr>
          <w:sz w:val="20"/>
          <w:szCs w:val="20"/>
          <w:color w:val="auto"/>
        </w:rPr>
      </w:pPr>
    </w:p>
    <w:p>
      <w:pPr>
        <w:ind w:left="560" w:hanging="286"/>
        <w:spacing w:after="0"/>
        <w:tabs>
          <w:tab w:leader="none" w:pos="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Sponsors Lilly’s Veteran Network, an employee resource group focused on recruiting and advancing people who served in the country’s military.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Daniel Skovronsky, M.D., Ph.D., Executive Vice President, Chief Scientific and Medical Officer and President, Lilly Research Laboratories: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Dr. Skovronsky advanced innovation for patients as the company’s chief scientific and medical officer. His contributions in 2021 included:</w:t>
      </w:r>
    </w:p>
    <w:p>
      <w:pPr>
        <w:spacing w:after="0" w:line="143" w:lineRule="exact"/>
        <w:rPr>
          <w:sz w:val="20"/>
          <w:szCs w:val="20"/>
          <w:color w:val="auto"/>
        </w:rPr>
      </w:pPr>
    </w:p>
    <w:p>
      <w:pPr>
        <w:jc w:val="both"/>
        <w:ind w:left="560" w:right="140" w:hanging="286"/>
        <w:spacing w:after="0" w:line="257" w:lineRule="auto"/>
        <w:tabs>
          <w:tab w:leader="none" w:pos="550" w:val="left"/>
        </w:tabs>
        <w:numPr>
          <w:ilvl w:val="0"/>
          <w:numId w:val="129"/>
        </w:numPr>
        <w:rPr>
          <w:rFonts w:ascii="Arial" w:cs="Arial" w:eastAsia="Arial" w:hAnsi="Arial"/>
          <w:sz w:val="14"/>
          <w:szCs w:val="14"/>
          <w:color w:val="auto"/>
        </w:rPr>
      </w:pPr>
      <w:r>
        <w:rPr>
          <w:rFonts w:ascii="Arial" w:cs="Arial" w:eastAsia="Arial" w:hAnsi="Arial"/>
          <w:sz w:val="16"/>
          <w:szCs w:val="16"/>
          <w:color w:val="auto"/>
        </w:rPr>
        <w:t>Advanced innovative medicines through the product pipeline leading to 18 new indications for already-marketed medicines that were launched to patients globally, including Verzenio in certain people with high-risk early breast cancer and Jardiance in heart failure which reduced ejection fraction in the United States and other key markets.</w:t>
      </w:r>
    </w:p>
    <w:p>
      <w:pPr>
        <w:spacing w:after="0" w:line="109" w:lineRule="exact"/>
        <w:rPr>
          <w:rFonts w:ascii="Arial" w:cs="Arial" w:eastAsia="Arial" w:hAnsi="Arial"/>
          <w:sz w:val="14"/>
          <w:szCs w:val="14"/>
          <w:color w:val="auto"/>
        </w:rPr>
      </w:pPr>
    </w:p>
    <w:p>
      <w:pPr>
        <w:ind w:left="560" w:right="720" w:hanging="286"/>
        <w:spacing w:after="0" w:line="271" w:lineRule="auto"/>
        <w:tabs>
          <w:tab w:leader="none" w:pos="550" w:val="left"/>
        </w:tabs>
        <w:numPr>
          <w:ilvl w:val="0"/>
          <w:numId w:val="129"/>
        </w:numPr>
        <w:rPr>
          <w:rFonts w:ascii="Arial" w:cs="Arial" w:eastAsia="Arial" w:hAnsi="Arial"/>
          <w:sz w:val="14"/>
          <w:szCs w:val="14"/>
          <w:color w:val="auto"/>
        </w:rPr>
      </w:pPr>
      <w:r>
        <w:rPr>
          <w:rFonts w:ascii="Arial" w:cs="Arial" w:eastAsia="Arial" w:hAnsi="Arial"/>
          <w:sz w:val="16"/>
          <w:szCs w:val="16"/>
          <w:color w:val="auto"/>
        </w:rPr>
        <w:t>Achieved industry leading speed across preclinical and clinical development, clinical success rates above the industry peer average, and sellside consensus as the highest valued pipeline in the industry.</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62" w:name="page63"/>
    <w:bookmarkEnd w:id="62"/>
    <w:p>
      <w:pPr>
        <w:ind w:left="540" w:hanging="266"/>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6"/>
          <w:szCs w:val="16"/>
          <w:color w:val="auto"/>
        </w:rPr>
        <w:t>Delivered several significant positive data readouts including for tirzepatide, donanemab, mirikizumab, and pirtobrutinib.</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6"/>
          <w:szCs w:val="16"/>
          <w:color w:val="auto"/>
        </w:rPr>
        <w:t>Led numerous pre-clinical and new modality business development transactions to complement and expand internal research efforts.</w:t>
      </w:r>
    </w:p>
    <w:p>
      <w:pPr>
        <w:spacing w:after="0" w:line="143" w:lineRule="exact"/>
        <w:rPr>
          <w:rFonts w:ascii="Arial" w:cs="Arial" w:eastAsia="Arial" w:hAnsi="Arial"/>
          <w:sz w:val="14"/>
          <w:szCs w:val="14"/>
          <w:color w:val="auto"/>
        </w:rPr>
      </w:pPr>
    </w:p>
    <w:p>
      <w:pPr>
        <w:ind w:left="560" w:right="40" w:hanging="286"/>
        <w:spacing w:after="0" w:line="271" w:lineRule="auto"/>
        <w:tabs>
          <w:tab w:leader="none" w:pos="550" w:val="left"/>
        </w:tabs>
        <w:numPr>
          <w:ilvl w:val="0"/>
          <w:numId w:val="130"/>
        </w:numPr>
        <w:rPr>
          <w:rFonts w:ascii="Arial" w:cs="Arial" w:eastAsia="Arial" w:hAnsi="Arial"/>
          <w:sz w:val="14"/>
          <w:szCs w:val="14"/>
          <w:color w:val="auto"/>
        </w:rPr>
      </w:pPr>
      <w:r>
        <w:rPr>
          <w:rFonts w:ascii="Arial" w:cs="Arial" w:eastAsia="Arial" w:hAnsi="Arial"/>
          <w:sz w:val="16"/>
          <w:szCs w:val="16"/>
          <w:color w:val="auto"/>
        </w:rPr>
        <w:t>Sped research resulting in 12 and 10 potential new medicines into Phase I and Phase II clinical development respectively from both internal research and external sources via business development.</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6"/>
          <w:szCs w:val="16"/>
          <w:color w:val="auto"/>
        </w:rPr>
        <w:t>Led the company’s efforts in the fight against SARS-CoV-2 including discovering and developing SARS-CoV-2 neutralizing antibodies.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6"/>
          <w:szCs w:val="16"/>
          <w:color w:val="auto"/>
        </w:rPr>
        <w:t>Led DEI strategies in research and development to improve innovation and productivity and sponsored Lilly’s Chinese Culture Network.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Anat Hakim, Executive Vice President, General Counsel and Secretary: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Ms. Hakim was effective and influential in her second year as general counsel in 2021, and she was a productive partner with the executive team. In 2021, she:</w:t>
      </w:r>
    </w:p>
    <w:p>
      <w:pPr>
        <w:spacing w:after="0" w:line="166" w:lineRule="exact"/>
        <w:rPr>
          <w:sz w:val="20"/>
          <w:szCs w:val="20"/>
          <w:color w:val="auto"/>
        </w:rPr>
      </w:pPr>
    </w:p>
    <w:p>
      <w:pPr>
        <w:ind w:left="540" w:hanging="266"/>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Continued to build even stronger credibility with the company’s board as Corporate Secretary.</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Defended several key patents, including patents for Alimta and Taltz.</w:t>
      </w:r>
    </w:p>
    <w:p>
      <w:pPr>
        <w:spacing w:after="0" w:line="143" w:lineRule="exact"/>
        <w:rPr>
          <w:rFonts w:ascii="Arial" w:cs="Arial" w:eastAsia="Arial" w:hAnsi="Arial"/>
          <w:sz w:val="14"/>
          <w:szCs w:val="14"/>
          <w:color w:val="auto"/>
        </w:rPr>
      </w:pPr>
    </w:p>
    <w:p>
      <w:pPr>
        <w:ind w:left="560" w:right="160" w:hanging="286"/>
        <w:spacing w:after="0" w:line="271" w:lineRule="auto"/>
        <w:tabs>
          <w:tab w:leader="none" w:pos="55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Developed and implemented legal strategies in the areas of M&amp;A, intellectual property protection, product liability, regulatory reform and pharmaceutical pricing. Drove a transformation effort to increase the capability of the company’s law division.</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Provided sound legal counsel through numerous business development activities.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Influenced the company’s ethics and compliance programs globally to ensure the company realizes its long-standing value of integrity.</w:t>
      </w:r>
    </w:p>
    <w:p>
      <w:pPr>
        <w:spacing w:after="0" w:line="143" w:lineRule="exact"/>
        <w:rPr>
          <w:rFonts w:ascii="Arial" w:cs="Arial" w:eastAsia="Arial" w:hAnsi="Arial"/>
          <w:sz w:val="14"/>
          <w:szCs w:val="14"/>
          <w:color w:val="auto"/>
        </w:rPr>
      </w:pPr>
    </w:p>
    <w:p>
      <w:pPr>
        <w:ind w:left="560" w:right="140" w:hanging="286"/>
        <w:spacing w:after="0" w:line="271" w:lineRule="auto"/>
        <w:tabs>
          <w:tab w:leader="none" w:pos="55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Led a company initiative to increase protection of Lilly’s intellectual property assets and partnered with the chief information and digital officer to improve cybersecurity.</w:t>
      </w:r>
    </w:p>
    <w:p>
      <w:pPr>
        <w:spacing w:after="0" w:line="98" w:lineRule="exact"/>
        <w:rPr>
          <w:rFonts w:ascii="Arial" w:cs="Arial" w:eastAsia="Arial" w:hAnsi="Arial"/>
          <w:sz w:val="14"/>
          <w:szCs w:val="14"/>
          <w:color w:val="auto"/>
        </w:rPr>
      </w:pPr>
    </w:p>
    <w:p>
      <w:pPr>
        <w:ind w:left="560" w:right="80" w:hanging="286"/>
        <w:spacing w:after="0" w:line="250" w:lineRule="auto"/>
        <w:tabs>
          <w:tab w:leader="none" w:pos="550" w:val="left"/>
        </w:tabs>
        <w:numPr>
          <w:ilvl w:val="0"/>
          <w:numId w:val="131"/>
        </w:numPr>
        <w:rPr>
          <w:rFonts w:ascii="Arial" w:cs="Arial" w:eastAsia="Arial" w:hAnsi="Arial"/>
          <w:sz w:val="14"/>
          <w:szCs w:val="14"/>
          <w:color w:val="auto"/>
        </w:rPr>
      </w:pPr>
      <w:r>
        <w:rPr>
          <w:rFonts w:ascii="Arial" w:cs="Arial" w:eastAsia="Arial" w:hAnsi="Arial"/>
          <w:sz w:val="16"/>
          <w:szCs w:val="16"/>
          <w:color w:val="auto"/>
        </w:rPr>
        <w:t>Led and served as an executive sponsor of the c</w:t>
      </w:r>
      <w:r>
        <w:rPr>
          <w:rFonts w:ascii="Arial" w:cs="Arial" w:eastAsia="Arial" w:hAnsi="Arial"/>
          <w:sz w:val="14"/>
          <w:szCs w:val="14"/>
          <w:color w:val="auto"/>
        </w:rPr>
        <w:t>ompany’s Women Leading in Lilly, an employee resource group focused on supporting and advancing women</w:t>
      </w:r>
      <w:r>
        <w:rPr>
          <w:rFonts w:ascii="Arial" w:cs="Arial" w:eastAsia="Arial" w:hAnsi="Arial"/>
          <w:sz w:val="16"/>
          <w:szCs w:val="16"/>
          <w:color w:val="auto"/>
        </w:rPr>
        <w:t xml:space="preserve"> </w:t>
      </w:r>
      <w:r>
        <w:rPr>
          <w:rFonts w:ascii="Arial" w:cs="Arial" w:eastAsia="Arial" w:hAnsi="Arial"/>
          <w:sz w:val="14"/>
          <w:szCs w:val="14"/>
          <w:color w:val="auto"/>
        </w:rPr>
        <w:t>within Lilly.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Patrik Jonsson, Executive Vice President, President, Lilly Immunology and Lilly USA, and Chief Customer Officer: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Mr. Jonsson demonstrated strong leadership of Lilly Immunology, Lilly USA and across the company. In 2021, he:</w:t>
      </w:r>
    </w:p>
    <w:p>
      <w:pPr>
        <w:spacing w:after="0" w:line="143" w:lineRule="exact"/>
        <w:rPr>
          <w:sz w:val="20"/>
          <w:szCs w:val="20"/>
          <w:color w:val="auto"/>
        </w:rPr>
      </w:pPr>
    </w:p>
    <w:p>
      <w:pPr>
        <w:ind w:left="540" w:hanging="266"/>
        <w:spacing w:after="0"/>
        <w:tabs>
          <w:tab w:leader="none" w:pos="54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Drove volume growth within the immunology business unit and delivered financial results.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Championed the development of potential new medicines with significant data readouts for mirikizumab and Olumiant.</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Successfully led the company’s commercial business in the United States, which is the company’s largest market.</w:t>
      </w:r>
    </w:p>
    <w:p>
      <w:pPr>
        <w:spacing w:after="0" w:line="143" w:lineRule="exact"/>
        <w:rPr>
          <w:rFonts w:ascii="Arial" w:cs="Arial" w:eastAsia="Arial" w:hAnsi="Arial"/>
          <w:sz w:val="14"/>
          <w:szCs w:val="14"/>
          <w:color w:val="auto"/>
        </w:rPr>
      </w:pPr>
    </w:p>
    <w:p>
      <w:pPr>
        <w:ind w:left="560" w:hanging="286"/>
        <w:spacing w:after="0" w:line="271" w:lineRule="auto"/>
        <w:tabs>
          <w:tab w:leader="none" w:pos="55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As the company’s chief customer officer, led the continued transformation of the company’s go-to-market strategies in preparation for potential launches of tirzepatide, donanemab, mirikizumab and pirtobrutinib.</w:t>
      </w:r>
    </w:p>
    <w:p>
      <w:pPr>
        <w:spacing w:after="0" w:line="98" w:lineRule="exact"/>
        <w:rPr>
          <w:rFonts w:ascii="Arial" w:cs="Arial" w:eastAsia="Arial" w:hAnsi="Arial"/>
          <w:sz w:val="14"/>
          <w:szCs w:val="14"/>
          <w:color w:val="auto"/>
        </w:rPr>
      </w:pPr>
    </w:p>
    <w:p>
      <w:pPr>
        <w:ind w:left="560" w:right="480" w:hanging="286"/>
        <w:spacing w:after="0" w:line="271" w:lineRule="auto"/>
        <w:tabs>
          <w:tab w:leader="none" w:pos="55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Served as executive sponsor of OLA, the company’s employee resource group focused on supporting and advancing the development of Latin and Hispanic employees across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Target Compensation</w:t>
      </w:r>
    </w:p>
    <w:p>
      <w:pPr>
        <w:spacing w:after="0" w:line="15"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The information below reflects total compensation at target for named executive officers for 2022. The actual compensation received is summarized below in “</w:t>
      </w:r>
      <w:r>
        <w:rPr>
          <w:rFonts w:ascii="Arial" w:cs="Arial" w:eastAsia="Arial" w:hAnsi="Arial"/>
          <w:sz w:val="16"/>
          <w:szCs w:val="16"/>
          <w:u w:val="single" w:color="auto"/>
          <w:color w:val="0000FF"/>
        </w:rPr>
        <w:t>Compensation Results</w:t>
      </w:r>
      <w:r>
        <w:rPr>
          <w:rFonts w:ascii="Arial" w:cs="Arial" w:eastAsia="Arial" w:hAnsi="Arial"/>
          <w:sz w:val="16"/>
          <w:szCs w:val="16"/>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0"/>
          </w:cols>
          <w:pgMar w:left="320" w:top="686" w:right="439" w:bottom="1440" w:gutter="0" w:footer="0" w:header="0"/>
        </w:sectPr>
      </w:pPr>
    </w:p>
    <w:bookmarkStart w:id="63" w:name="page64"/>
    <w:bookmarkEnd w:id="63"/>
    <w:p>
      <w:pPr>
        <w:ind w:left="7"/>
        <w:spacing w:after="0"/>
        <w:rPr>
          <w:sz w:val="20"/>
          <w:szCs w:val="20"/>
          <w:color w:val="auto"/>
        </w:rPr>
      </w:pPr>
      <w:r>
        <w:rPr>
          <w:rFonts w:ascii="Arial" w:cs="Arial" w:eastAsia="Arial" w:hAnsi="Arial"/>
          <w:sz w:val="19"/>
          <w:szCs w:val="19"/>
          <w:b w:val="1"/>
          <w:bCs w:val="1"/>
          <w:color w:val="auto"/>
        </w:rPr>
        <w:t>Rationale for Changes to Named Executive Officer Target Compensation</w:t>
      </w:r>
    </w:p>
    <w:p>
      <w:pPr>
        <w:spacing w:after="0" w:line="15" w:lineRule="exact"/>
        <w:rPr>
          <w:sz w:val="20"/>
          <w:szCs w:val="20"/>
          <w:color w:val="auto"/>
        </w:rPr>
      </w:pPr>
    </w:p>
    <w:p>
      <w:pPr>
        <w:ind w:left="7"/>
        <w:spacing w:after="0" w:line="252" w:lineRule="auto"/>
        <w:rPr>
          <w:sz w:val="20"/>
          <w:szCs w:val="20"/>
          <w:color w:val="auto"/>
        </w:rPr>
      </w:pPr>
      <w:r>
        <w:rPr>
          <w:rFonts w:ascii="Arial" w:cs="Arial" w:eastAsia="Arial" w:hAnsi="Arial"/>
          <w:sz w:val="16"/>
          <w:szCs w:val="16"/>
          <w:color w:val="auto"/>
        </w:rPr>
        <w:t>The Talent and Compensation Committee established the 2022 target total compensation for each named executive officer based on the named executive officer’s 2021 performance, internal relativity, and peer group data.</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52B1E"/>
        </w:rPr>
        <w:t>Base Salary</w:t>
      </w:r>
    </w:p>
    <w:p>
      <w:pPr>
        <w:spacing w:after="0" w:line="66" w:lineRule="exact"/>
        <w:rPr>
          <w:sz w:val="20"/>
          <w:szCs w:val="20"/>
          <w:color w:val="auto"/>
        </w:rPr>
      </w:pPr>
    </w:p>
    <w:p>
      <w:pPr>
        <w:ind w:left="7" w:right="80"/>
        <w:spacing w:after="0" w:line="252" w:lineRule="auto"/>
        <w:rPr>
          <w:sz w:val="20"/>
          <w:szCs w:val="20"/>
          <w:color w:val="auto"/>
        </w:rPr>
      </w:pPr>
      <w:r>
        <w:rPr>
          <w:rFonts w:ascii="Arial" w:cs="Arial" w:eastAsia="Arial" w:hAnsi="Arial"/>
          <w:sz w:val="16"/>
          <w:szCs w:val="16"/>
          <w:color w:val="auto"/>
        </w:rPr>
        <w:t>The following table shows the approved annualized salary for each named executive officer. Mr. Ricks did not receive a base pay adjustment in 2022; however, other named executive officer base pay amounts were adjusted to align pay with their level of experience, internal relativity, peer group market data and individual performance. Each named executive officer’s actual base salary earned during 2022 is reflected in the Summary Compensation Table in the “Executive Compensation”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4309745" cy="76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4309745" cy="7620"/>
                    </a:xfrm>
                    <a:prstGeom prst="rect">
                      <a:avLst/>
                    </a:prstGeom>
                    <a:noFill/>
                  </pic:spPr>
                </pic:pic>
              </a:graphicData>
            </a:graphic>
          </wp:anchor>
        </w:drawing>
      </w:r>
    </w:p>
    <w:p>
      <w:pPr>
        <w:spacing w:after="0" w:line="160"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1560" w:type="dxa"/>
            <w:vAlign w:val="bottom"/>
          </w:tcPr>
          <w:p>
            <w:pPr>
              <w:spacing w:after="0"/>
              <w:rPr>
                <w:sz w:val="13"/>
                <w:szCs w:val="13"/>
                <w:color w:val="auto"/>
              </w:rPr>
            </w:pPr>
          </w:p>
        </w:tc>
        <w:tc>
          <w:tcPr>
            <w:tcW w:w="2280" w:type="dxa"/>
            <w:vAlign w:val="bottom"/>
          </w:tcPr>
          <w:p>
            <w:pPr>
              <w:jc w:val="right"/>
              <w:ind w:right="18"/>
              <w:spacing w:after="0"/>
              <w:rPr>
                <w:sz w:val="20"/>
                <w:szCs w:val="20"/>
                <w:color w:val="auto"/>
              </w:rPr>
            </w:pPr>
            <w:r>
              <w:rPr>
                <w:rFonts w:ascii="Arial" w:cs="Arial" w:eastAsia="Arial" w:hAnsi="Arial"/>
                <w:sz w:val="12"/>
                <w:szCs w:val="12"/>
                <w:b w:val="1"/>
                <w:bCs w:val="1"/>
                <w:color w:val="auto"/>
              </w:rPr>
              <w:t>2021 Annual Base Salary</w:t>
            </w:r>
          </w:p>
        </w:tc>
        <w:tc>
          <w:tcPr>
            <w:tcW w:w="1820" w:type="dxa"/>
            <w:vAlign w:val="bottom"/>
          </w:tcPr>
          <w:p>
            <w:pPr>
              <w:jc w:val="right"/>
              <w:ind w:right="198"/>
              <w:spacing w:after="0"/>
              <w:rPr>
                <w:sz w:val="20"/>
                <w:szCs w:val="20"/>
                <w:color w:val="auto"/>
              </w:rPr>
            </w:pPr>
            <w:r>
              <w:rPr>
                <w:rFonts w:ascii="Arial" w:cs="Arial" w:eastAsia="Arial" w:hAnsi="Arial"/>
                <w:sz w:val="12"/>
                <w:szCs w:val="12"/>
                <w:b w:val="1"/>
                <w:bCs w:val="1"/>
                <w:color w:val="auto"/>
              </w:rPr>
              <w:t>2022 Annual Base Salary</w:t>
            </w:r>
          </w:p>
        </w:tc>
        <w:tc>
          <w:tcPr>
            <w:tcW w:w="1120" w:type="dxa"/>
            <w:vAlign w:val="bottom"/>
          </w:tcPr>
          <w:p>
            <w:pPr>
              <w:spacing w:after="0"/>
              <w:rPr>
                <w:sz w:val="13"/>
                <w:szCs w:val="13"/>
                <w:color w:val="auto"/>
              </w:rPr>
            </w:pPr>
          </w:p>
        </w:tc>
      </w:tr>
      <w:tr>
        <w:trPr>
          <w:trHeight w:val="177"/>
        </w:trPr>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2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Effective March 7, 2021</w:t>
            </w:r>
          </w:p>
        </w:tc>
        <w:tc>
          <w:tcPr>
            <w:tcW w:w="18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Effective March 6, 2022</w:t>
            </w: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Increase</w:t>
            </w:r>
          </w:p>
        </w:tc>
      </w:tr>
      <w:tr>
        <w:trPr>
          <w:trHeight w:val="196"/>
        </w:trPr>
        <w:tc>
          <w:tcPr>
            <w:tcW w:w="156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2280" w:type="dxa"/>
            <w:vAlign w:val="bottom"/>
            <w:shd w:val="clear" w:color="auto" w:fill="F2F2F2"/>
          </w:tcPr>
          <w:p>
            <w:pPr>
              <w:jc w:val="right"/>
              <w:ind w:right="478"/>
              <w:spacing w:after="0"/>
              <w:rPr>
                <w:sz w:val="20"/>
                <w:szCs w:val="20"/>
                <w:color w:val="auto"/>
              </w:rPr>
            </w:pPr>
            <w:r>
              <w:rPr>
                <w:rFonts w:ascii="Arial" w:cs="Arial" w:eastAsia="Arial" w:hAnsi="Arial"/>
                <w:sz w:val="12"/>
                <w:szCs w:val="12"/>
                <w:color w:val="auto"/>
              </w:rPr>
              <w:t>$1,500,000</w:t>
            </w:r>
          </w:p>
        </w:tc>
        <w:tc>
          <w:tcPr>
            <w:tcW w:w="1820" w:type="dxa"/>
            <w:vAlign w:val="bottom"/>
            <w:shd w:val="clear" w:color="auto" w:fill="F2F2F2"/>
          </w:tcPr>
          <w:p>
            <w:pPr>
              <w:jc w:val="right"/>
              <w:ind w:right="578"/>
              <w:spacing w:after="0"/>
              <w:rPr>
                <w:sz w:val="20"/>
                <w:szCs w:val="20"/>
                <w:color w:val="auto"/>
              </w:rPr>
            </w:pPr>
            <w:r>
              <w:rPr>
                <w:rFonts w:ascii="Arial" w:cs="Arial" w:eastAsia="Arial" w:hAnsi="Arial"/>
                <w:sz w:val="12"/>
                <w:szCs w:val="12"/>
                <w:color w:val="auto"/>
              </w:rPr>
              <w:t>$1,500,000</w:t>
            </w:r>
          </w:p>
        </w:tc>
        <w:tc>
          <w:tcPr>
            <w:tcW w:w="112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0 %</w:t>
            </w: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Ms. Ashkenazi</w:t>
            </w:r>
          </w:p>
        </w:tc>
        <w:tc>
          <w:tcPr>
            <w:tcW w:w="2280" w:type="dxa"/>
            <w:vAlign w:val="bottom"/>
          </w:tcPr>
          <w:p>
            <w:pPr>
              <w:jc w:val="right"/>
              <w:ind w:right="478"/>
              <w:spacing w:after="0"/>
              <w:rPr>
                <w:sz w:val="20"/>
                <w:szCs w:val="20"/>
                <w:color w:val="auto"/>
              </w:rPr>
            </w:pPr>
            <w:r>
              <w:rPr>
                <w:rFonts w:ascii="Arial" w:cs="Arial" w:eastAsia="Arial" w:hAnsi="Arial"/>
                <w:sz w:val="12"/>
                <w:szCs w:val="12"/>
                <w:color w:val="auto"/>
              </w:rPr>
              <w:t>$900,000</w:t>
            </w:r>
          </w:p>
        </w:tc>
        <w:tc>
          <w:tcPr>
            <w:tcW w:w="1820" w:type="dxa"/>
            <w:vAlign w:val="bottom"/>
          </w:tcPr>
          <w:p>
            <w:pPr>
              <w:jc w:val="right"/>
              <w:ind w:right="578"/>
              <w:spacing w:after="0"/>
              <w:rPr>
                <w:sz w:val="20"/>
                <w:szCs w:val="20"/>
                <w:color w:val="auto"/>
              </w:rPr>
            </w:pPr>
            <w:r>
              <w:rPr>
                <w:rFonts w:ascii="Arial" w:cs="Arial" w:eastAsia="Arial" w:hAnsi="Arial"/>
                <w:sz w:val="12"/>
                <w:szCs w:val="12"/>
                <w:color w:val="auto"/>
              </w:rPr>
              <w:t>$950,000</w:t>
            </w:r>
          </w:p>
        </w:tc>
        <w:tc>
          <w:tcPr>
            <w:tcW w:w="1120" w:type="dxa"/>
            <w:vAlign w:val="bottom"/>
          </w:tcPr>
          <w:p>
            <w:pPr>
              <w:jc w:val="right"/>
              <w:ind w:right="378"/>
              <w:spacing w:after="0"/>
              <w:rPr>
                <w:sz w:val="20"/>
                <w:szCs w:val="20"/>
                <w:color w:val="auto"/>
              </w:rPr>
            </w:pPr>
            <w:r>
              <w:rPr>
                <w:rFonts w:ascii="Arial" w:cs="Arial" w:eastAsia="Arial" w:hAnsi="Arial"/>
                <w:sz w:val="12"/>
                <w:szCs w:val="12"/>
                <w:color w:val="auto"/>
              </w:rPr>
              <w:t>5.6 %</w:t>
            </w:r>
          </w:p>
        </w:tc>
      </w:tr>
      <w:tr>
        <w:trPr>
          <w:trHeight w:val="208"/>
        </w:trPr>
        <w:tc>
          <w:tcPr>
            <w:tcW w:w="156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2280" w:type="dxa"/>
            <w:vAlign w:val="bottom"/>
            <w:shd w:val="clear" w:color="auto" w:fill="F2F2F2"/>
          </w:tcPr>
          <w:p>
            <w:pPr>
              <w:jc w:val="right"/>
              <w:ind w:right="478"/>
              <w:spacing w:after="0"/>
              <w:rPr>
                <w:sz w:val="20"/>
                <w:szCs w:val="20"/>
                <w:color w:val="auto"/>
              </w:rPr>
            </w:pPr>
            <w:r>
              <w:rPr>
                <w:rFonts w:ascii="Arial" w:cs="Arial" w:eastAsia="Arial" w:hAnsi="Arial"/>
                <w:sz w:val="12"/>
                <w:szCs w:val="12"/>
                <w:color w:val="auto"/>
              </w:rPr>
              <w:t>$1,000,000</w:t>
            </w:r>
          </w:p>
        </w:tc>
        <w:tc>
          <w:tcPr>
            <w:tcW w:w="1820" w:type="dxa"/>
            <w:vAlign w:val="bottom"/>
            <w:shd w:val="clear" w:color="auto" w:fill="F2F2F2"/>
          </w:tcPr>
          <w:p>
            <w:pPr>
              <w:jc w:val="right"/>
              <w:ind w:right="578"/>
              <w:spacing w:after="0"/>
              <w:rPr>
                <w:sz w:val="20"/>
                <w:szCs w:val="20"/>
                <w:color w:val="auto"/>
              </w:rPr>
            </w:pPr>
            <w:r>
              <w:rPr>
                <w:rFonts w:ascii="Arial" w:cs="Arial" w:eastAsia="Arial" w:hAnsi="Arial"/>
                <w:sz w:val="12"/>
                <w:szCs w:val="12"/>
                <w:color w:val="auto"/>
              </w:rPr>
              <w:t>$1,250,000</w:t>
            </w:r>
          </w:p>
        </w:tc>
        <w:tc>
          <w:tcPr>
            <w:tcW w:w="1120" w:type="dxa"/>
            <w:vAlign w:val="bottom"/>
            <w:shd w:val="clear" w:color="auto" w:fill="F2F2F2"/>
          </w:tcPr>
          <w:p>
            <w:pPr>
              <w:jc w:val="right"/>
              <w:ind w:right="378"/>
              <w:spacing w:after="0"/>
              <w:rPr>
                <w:sz w:val="20"/>
                <w:szCs w:val="20"/>
                <w:color w:val="auto"/>
              </w:rPr>
            </w:pPr>
            <w:r>
              <w:rPr>
                <w:rFonts w:ascii="Arial" w:cs="Arial" w:eastAsia="Arial" w:hAnsi="Arial"/>
                <w:sz w:val="12"/>
                <w:szCs w:val="12"/>
                <w:color w:val="auto"/>
              </w:rPr>
              <w:t>25.0 %</w:t>
            </w:r>
          </w:p>
        </w:tc>
      </w:tr>
      <w:tr>
        <w:trPr>
          <w:trHeight w:val="164"/>
        </w:trPr>
        <w:tc>
          <w:tcPr>
            <w:tcW w:w="1560" w:type="dxa"/>
            <w:vAlign w:val="bottom"/>
          </w:tcPr>
          <w:p>
            <w:pPr>
              <w:spacing w:after="0"/>
              <w:rPr>
                <w:sz w:val="20"/>
                <w:szCs w:val="20"/>
                <w:color w:val="auto"/>
              </w:rPr>
            </w:pPr>
            <w:r>
              <w:rPr>
                <w:rFonts w:ascii="Arial" w:cs="Arial" w:eastAsia="Arial" w:hAnsi="Arial"/>
                <w:sz w:val="12"/>
                <w:szCs w:val="12"/>
                <w:color w:val="auto"/>
              </w:rPr>
              <w:t>Ms. Hakim</w:t>
            </w:r>
          </w:p>
        </w:tc>
        <w:tc>
          <w:tcPr>
            <w:tcW w:w="2280" w:type="dxa"/>
            <w:vAlign w:val="bottom"/>
          </w:tcPr>
          <w:p>
            <w:pPr>
              <w:jc w:val="right"/>
              <w:ind w:right="478"/>
              <w:spacing w:after="0"/>
              <w:rPr>
                <w:sz w:val="20"/>
                <w:szCs w:val="20"/>
                <w:color w:val="auto"/>
              </w:rPr>
            </w:pPr>
            <w:r>
              <w:rPr>
                <w:rFonts w:ascii="Arial" w:cs="Arial" w:eastAsia="Arial" w:hAnsi="Arial"/>
                <w:sz w:val="12"/>
                <w:szCs w:val="12"/>
                <w:color w:val="auto"/>
              </w:rPr>
              <w:t>$775,000</w:t>
            </w:r>
          </w:p>
        </w:tc>
        <w:tc>
          <w:tcPr>
            <w:tcW w:w="1820" w:type="dxa"/>
            <w:vAlign w:val="bottom"/>
          </w:tcPr>
          <w:p>
            <w:pPr>
              <w:jc w:val="right"/>
              <w:ind w:right="578"/>
              <w:spacing w:after="0"/>
              <w:rPr>
                <w:sz w:val="20"/>
                <w:szCs w:val="20"/>
                <w:color w:val="auto"/>
              </w:rPr>
            </w:pPr>
            <w:r>
              <w:rPr>
                <w:rFonts w:ascii="Arial" w:cs="Arial" w:eastAsia="Arial" w:hAnsi="Arial"/>
                <w:sz w:val="12"/>
                <w:szCs w:val="12"/>
                <w:color w:val="auto"/>
              </w:rPr>
              <w:t>$900,000</w:t>
            </w:r>
          </w:p>
        </w:tc>
        <w:tc>
          <w:tcPr>
            <w:tcW w:w="1120" w:type="dxa"/>
            <w:vAlign w:val="bottom"/>
          </w:tcPr>
          <w:p>
            <w:pPr>
              <w:jc w:val="right"/>
              <w:ind w:right="378"/>
              <w:spacing w:after="0"/>
              <w:rPr>
                <w:sz w:val="20"/>
                <w:szCs w:val="20"/>
                <w:color w:val="auto"/>
              </w:rPr>
            </w:pPr>
            <w:r>
              <w:rPr>
                <w:rFonts w:ascii="Arial" w:cs="Arial" w:eastAsia="Arial" w:hAnsi="Arial"/>
                <w:sz w:val="12"/>
                <w:szCs w:val="12"/>
                <w:color w:val="auto"/>
              </w:rPr>
              <w:t>16.1 %</w:t>
            </w:r>
          </w:p>
        </w:tc>
      </w:tr>
      <w:tr>
        <w:trPr>
          <w:trHeight w:val="217"/>
        </w:trPr>
        <w:tc>
          <w:tcPr>
            <w:tcW w:w="1560" w:type="dxa"/>
            <w:vAlign w:val="bottom"/>
          </w:tcPr>
          <w:p>
            <w:pPr>
              <w:spacing w:after="0"/>
              <w:rPr>
                <w:sz w:val="20"/>
                <w:szCs w:val="20"/>
                <w:color w:val="auto"/>
              </w:rPr>
            </w:pPr>
            <w:r>
              <w:rPr>
                <w:rFonts w:ascii="Arial" w:cs="Arial" w:eastAsia="Arial" w:hAnsi="Arial"/>
                <w:sz w:val="12"/>
                <w:szCs w:val="12"/>
                <w:color w:val="auto"/>
              </w:rPr>
              <w:t>Mr. Jonsson</w:t>
            </w:r>
          </w:p>
        </w:tc>
        <w:tc>
          <w:tcPr>
            <w:tcW w:w="2280" w:type="dxa"/>
            <w:vAlign w:val="bottom"/>
          </w:tcPr>
          <w:p>
            <w:pPr>
              <w:jc w:val="right"/>
              <w:ind w:right="398"/>
              <w:spacing w:after="0"/>
              <w:rPr>
                <w:sz w:val="20"/>
                <w:szCs w:val="20"/>
                <w:color w:val="auto"/>
              </w:rPr>
            </w:pPr>
            <w:r>
              <w:rPr>
                <w:rFonts w:ascii="Arial" w:cs="Arial" w:eastAsia="Arial" w:hAnsi="Arial"/>
                <w:sz w:val="12"/>
                <w:szCs w:val="12"/>
                <w:color w:val="auto"/>
              </w:rPr>
              <w:t xml:space="preserve">N/A </w:t>
            </w:r>
            <w:r>
              <w:rPr>
                <w:rFonts w:ascii="Arial" w:cs="Arial" w:eastAsia="Arial" w:hAnsi="Arial"/>
                <w:sz w:val="16"/>
                <w:szCs w:val="16"/>
                <w:color w:val="auto"/>
                <w:vertAlign w:val="superscript"/>
              </w:rPr>
              <w:t>1</w:t>
            </w:r>
          </w:p>
        </w:tc>
        <w:tc>
          <w:tcPr>
            <w:tcW w:w="1820" w:type="dxa"/>
            <w:vAlign w:val="bottom"/>
          </w:tcPr>
          <w:p>
            <w:pPr>
              <w:jc w:val="right"/>
              <w:ind w:right="578"/>
              <w:spacing w:after="0"/>
              <w:rPr>
                <w:sz w:val="20"/>
                <w:szCs w:val="20"/>
                <w:color w:val="auto"/>
              </w:rPr>
            </w:pPr>
            <w:r>
              <w:rPr>
                <w:rFonts w:ascii="Arial" w:cs="Arial" w:eastAsia="Arial" w:hAnsi="Arial"/>
                <w:sz w:val="12"/>
                <w:szCs w:val="12"/>
                <w:color w:val="auto"/>
              </w:rPr>
              <w:t>$750,000</w:t>
            </w:r>
          </w:p>
        </w:tc>
        <w:tc>
          <w:tcPr>
            <w:tcW w:w="1120" w:type="dxa"/>
            <w:vAlign w:val="bottom"/>
          </w:tcPr>
          <w:p>
            <w:pPr>
              <w:jc w:val="right"/>
              <w:ind w:right="298"/>
              <w:spacing w:after="0"/>
              <w:rPr>
                <w:sz w:val="20"/>
                <w:szCs w:val="20"/>
                <w:color w:val="auto"/>
              </w:rPr>
            </w:pPr>
            <w:r>
              <w:rPr>
                <w:rFonts w:ascii="Arial" w:cs="Arial" w:eastAsia="Arial" w:hAnsi="Arial"/>
                <w:sz w:val="12"/>
                <w:szCs w:val="12"/>
                <w:color w:val="auto"/>
              </w:rPr>
              <w:t xml:space="preserve">N/A </w:t>
            </w:r>
            <w:r>
              <w:rPr>
                <w:rFonts w:ascii="Arial" w:cs="Arial" w:eastAsia="Arial" w:hAnsi="Arial"/>
                <w:sz w:val="16"/>
                <w:szCs w:val="16"/>
                <w:color w:val="auto"/>
                <w:vertAlign w:val="superscript"/>
              </w:rPr>
              <w:t>1</w:t>
            </w:r>
          </w:p>
        </w:tc>
      </w:tr>
      <w:tr>
        <w:trPr>
          <w:trHeight w:val="39"/>
        </w:trPr>
        <w:tc>
          <w:tcPr>
            <w:tcW w:w="15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4309745" cy="14097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4309745" cy="140970"/>
                    </a:xfrm>
                    <a:prstGeom prst="rect">
                      <a:avLst/>
                    </a:prstGeom>
                    <a:noFill/>
                  </pic:spPr>
                </pic:pic>
              </a:graphicData>
            </a:graphic>
          </wp:anchor>
        </w:drawing>
      </w:r>
    </w:p>
    <w:p>
      <w:pPr>
        <w:spacing w:after="0" w:line="70" w:lineRule="exact"/>
        <w:rPr>
          <w:sz w:val="20"/>
          <w:szCs w:val="20"/>
          <w:color w:val="auto"/>
        </w:rPr>
      </w:pPr>
    </w:p>
    <w:p>
      <w:pPr>
        <w:ind w:left="87" w:hanging="87"/>
        <w:spacing w:after="0"/>
        <w:tabs>
          <w:tab w:leader="none" w:pos="87" w:val="left"/>
        </w:tabs>
        <w:numPr>
          <w:ilvl w:val="0"/>
          <w:numId w:val="133"/>
        </w:numPr>
        <w:rPr>
          <w:rFonts w:ascii="Arial" w:cs="Arial" w:eastAsia="Arial" w:hAnsi="Arial"/>
          <w:sz w:val="20"/>
          <w:szCs w:val="20"/>
          <w:color w:val="auto"/>
          <w:vertAlign w:val="superscript"/>
        </w:rPr>
      </w:pPr>
      <w:r>
        <w:rPr>
          <w:rFonts w:ascii="Arial" w:cs="Arial" w:eastAsia="Arial" w:hAnsi="Arial"/>
          <w:sz w:val="12"/>
          <w:szCs w:val="12"/>
          <w:color w:val="auto"/>
        </w:rPr>
        <w:t>Mr. Jonsson was not a named executive officer in 2021.</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52B1E"/>
        </w:rPr>
        <w:t>Annual Cash Bonus Targets</w:t>
      </w:r>
    </w:p>
    <w:p>
      <w:pPr>
        <w:spacing w:after="0" w:line="66" w:lineRule="exact"/>
        <w:rPr>
          <w:sz w:val="20"/>
          <w:szCs w:val="20"/>
          <w:color w:val="auto"/>
        </w:rPr>
      </w:pPr>
    </w:p>
    <w:p>
      <w:pPr>
        <w:ind w:left="7" w:right="100"/>
        <w:spacing w:after="0" w:line="257" w:lineRule="auto"/>
        <w:rPr>
          <w:sz w:val="20"/>
          <w:szCs w:val="20"/>
          <w:color w:val="auto"/>
        </w:rPr>
      </w:pPr>
      <w:r>
        <w:rPr>
          <w:rFonts w:ascii="Arial" w:cs="Arial" w:eastAsia="Arial" w:hAnsi="Arial"/>
          <w:sz w:val="16"/>
          <w:szCs w:val="16"/>
          <w:color w:val="auto"/>
        </w:rPr>
        <w:t>Based on a review of internal relativity, peer group market data, and individual performance, the Talent and Compensation Committee retained the same percent-of-salary bonus targets as in 2021 for Mr. Ricks, Ms. Ashkenazi, Dr. Skovronsky and Ms. Hakim. Mr. Jonsson’s bonus target was set at 100 percent for the 2022 performance year. 2022 Bonus targets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3070860" cy="76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070860" cy="7620"/>
                    </a:xfrm>
                    <a:prstGeom prst="rect">
                      <a:avLst/>
                    </a:prstGeom>
                    <a:noFill/>
                  </pic:spPr>
                </pic:pic>
              </a:graphicData>
            </a:graphic>
          </wp:anchor>
        </w:drawing>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2021 Bonus Target</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2022 Bonus Target</w:t>
            </w:r>
          </w:p>
        </w:tc>
      </w:tr>
      <w:tr>
        <w:trPr>
          <w:trHeight w:val="196"/>
        </w:trPr>
        <w:tc>
          <w:tcPr>
            <w:tcW w:w="156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920" w:type="dxa"/>
            <w:vAlign w:val="bottom"/>
            <w:shd w:val="clear" w:color="auto" w:fill="F2F2F2"/>
          </w:tcPr>
          <w:p>
            <w:pPr>
              <w:jc w:val="right"/>
              <w:ind w:right="298"/>
              <w:spacing w:after="0"/>
              <w:rPr>
                <w:sz w:val="20"/>
                <w:szCs w:val="20"/>
                <w:color w:val="auto"/>
              </w:rPr>
            </w:pPr>
            <w:r>
              <w:rPr>
                <w:rFonts w:ascii="Arial" w:cs="Arial" w:eastAsia="Arial" w:hAnsi="Arial"/>
                <w:sz w:val="12"/>
                <w:szCs w:val="12"/>
                <w:color w:val="auto"/>
              </w:rPr>
              <w:t>150 %</w:t>
            </w:r>
          </w:p>
        </w:tc>
        <w:tc>
          <w:tcPr>
            <w:tcW w:w="1340" w:type="dxa"/>
            <w:vAlign w:val="bottom"/>
            <w:shd w:val="clear" w:color="auto" w:fill="F2F2F2"/>
          </w:tcPr>
          <w:p>
            <w:pPr>
              <w:jc w:val="right"/>
              <w:ind w:right="298"/>
              <w:spacing w:after="0"/>
              <w:rPr>
                <w:sz w:val="20"/>
                <w:szCs w:val="20"/>
                <w:color w:val="auto"/>
              </w:rPr>
            </w:pPr>
            <w:r>
              <w:rPr>
                <w:rFonts w:ascii="Arial" w:cs="Arial" w:eastAsia="Arial" w:hAnsi="Arial"/>
                <w:sz w:val="12"/>
                <w:szCs w:val="12"/>
                <w:color w:val="auto"/>
              </w:rPr>
              <w:t>150 %</w:t>
            </w: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Ms. Ashkenazi</w:t>
            </w:r>
          </w:p>
        </w:tc>
        <w:tc>
          <w:tcPr>
            <w:tcW w:w="1920" w:type="dxa"/>
            <w:vAlign w:val="bottom"/>
          </w:tcPr>
          <w:p>
            <w:pPr>
              <w:jc w:val="right"/>
              <w:ind w:right="298"/>
              <w:spacing w:after="0"/>
              <w:rPr>
                <w:sz w:val="20"/>
                <w:szCs w:val="20"/>
                <w:color w:val="auto"/>
              </w:rPr>
            </w:pPr>
            <w:r>
              <w:rPr>
                <w:rFonts w:ascii="Arial" w:cs="Arial" w:eastAsia="Arial" w:hAnsi="Arial"/>
                <w:sz w:val="12"/>
                <w:szCs w:val="12"/>
                <w:color w:val="auto"/>
              </w:rPr>
              <w:t>100 %</w:t>
            </w:r>
          </w:p>
        </w:tc>
        <w:tc>
          <w:tcPr>
            <w:tcW w:w="1340" w:type="dxa"/>
            <w:vAlign w:val="bottom"/>
          </w:tcPr>
          <w:p>
            <w:pPr>
              <w:jc w:val="right"/>
              <w:ind w:right="298"/>
              <w:spacing w:after="0"/>
              <w:rPr>
                <w:sz w:val="20"/>
                <w:szCs w:val="20"/>
                <w:color w:val="auto"/>
              </w:rPr>
            </w:pPr>
            <w:r>
              <w:rPr>
                <w:rFonts w:ascii="Arial" w:cs="Arial" w:eastAsia="Arial" w:hAnsi="Arial"/>
                <w:sz w:val="12"/>
                <w:szCs w:val="12"/>
                <w:color w:val="auto"/>
              </w:rPr>
              <w:t>100 %</w:t>
            </w:r>
          </w:p>
        </w:tc>
      </w:tr>
      <w:tr>
        <w:trPr>
          <w:trHeight w:val="208"/>
        </w:trPr>
        <w:tc>
          <w:tcPr>
            <w:tcW w:w="156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920" w:type="dxa"/>
            <w:vAlign w:val="bottom"/>
            <w:shd w:val="clear" w:color="auto" w:fill="F2F2F2"/>
          </w:tcPr>
          <w:p>
            <w:pPr>
              <w:jc w:val="right"/>
              <w:ind w:right="298"/>
              <w:spacing w:after="0"/>
              <w:rPr>
                <w:sz w:val="20"/>
                <w:szCs w:val="20"/>
                <w:color w:val="auto"/>
              </w:rPr>
            </w:pPr>
            <w:r>
              <w:rPr>
                <w:rFonts w:ascii="Arial" w:cs="Arial" w:eastAsia="Arial" w:hAnsi="Arial"/>
                <w:sz w:val="12"/>
                <w:szCs w:val="12"/>
                <w:color w:val="auto"/>
              </w:rPr>
              <w:t>100 %</w:t>
            </w:r>
          </w:p>
        </w:tc>
        <w:tc>
          <w:tcPr>
            <w:tcW w:w="1340" w:type="dxa"/>
            <w:vAlign w:val="bottom"/>
            <w:shd w:val="clear" w:color="auto" w:fill="F2F2F2"/>
          </w:tcPr>
          <w:p>
            <w:pPr>
              <w:jc w:val="right"/>
              <w:ind w:right="298"/>
              <w:spacing w:after="0"/>
              <w:rPr>
                <w:sz w:val="20"/>
                <w:szCs w:val="20"/>
                <w:color w:val="auto"/>
              </w:rPr>
            </w:pPr>
            <w:r>
              <w:rPr>
                <w:rFonts w:ascii="Arial" w:cs="Arial" w:eastAsia="Arial" w:hAnsi="Arial"/>
                <w:sz w:val="12"/>
                <w:szCs w:val="12"/>
                <w:color w:val="auto"/>
              </w:rPr>
              <w:t>100 %</w:t>
            </w:r>
          </w:p>
        </w:tc>
      </w:tr>
      <w:tr>
        <w:trPr>
          <w:trHeight w:val="164"/>
        </w:trPr>
        <w:tc>
          <w:tcPr>
            <w:tcW w:w="1560" w:type="dxa"/>
            <w:vAlign w:val="bottom"/>
          </w:tcPr>
          <w:p>
            <w:pPr>
              <w:spacing w:after="0"/>
              <w:rPr>
                <w:sz w:val="20"/>
                <w:szCs w:val="20"/>
                <w:color w:val="auto"/>
              </w:rPr>
            </w:pPr>
            <w:r>
              <w:rPr>
                <w:rFonts w:ascii="Arial" w:cs="Arial" w:eastAsia="Arial" w:hAnsi="Arial"/>
                <w:sz w:val="12"/>
                <w:szCs w:val="12"/>
                <w:color w:val="auto"/>
              </w:rPr>
              <w:t>Ms. Hakim</w:t>
            </w:r>
          </w:p>
        </w:tc>
        <w:tc>
          <w:tcPr>
            <w:tcW w:w="1920" w:type="dxa"/>
            <w:vAlign w:val="bottom"/>
          </w:tcPr>
          <w:p>
            <w:pPr>
              <w:jc w:val="right"/>
              <w:ind w:right="298"/>
              <w:spacing w:after="0"/>
              <w:rPr>
                <w:sz w:val="20"/>
                <w:szCs w:val="20"/>
                <w:color w:val="auto"/>
              </w:rPr>
            </w:pPr>
            <w:r>
              <w:rPr>
                <w:rFonts w:ascii="Arial" w:cs="Arial" w:eastAsia="Arial" w:hAnsi="Arial"/>
                <w:sz w:val="12"/>
                <w:szCs w:val="12"/>
                <w:color w:val="auto"/>
              </w:rPr>
              <w:t>100 %</w:t>
            </w:r>
          </w:p>
        </w:tc>
        <w:tc>
          <w:tcPr>
            <w:tcW w:w="1340" w:type="dxa"/>
            <w:vAlign w:val="bottom"/>
          </w:tcPr>
          <w:p>
            <w:pPr>
              <w:jc w:val="right"/>
              <w:ind w:right="298"/>
              <w:spacing w:after="0"/>
              <w:rPr>
                <w:sz w:val="20"/>
                <w:szCs w:val="20"/>
                <w:color w:val="auto"/>
              </w:rPr>
            </w:pPr>
            <w:r>
              <w:rPr>
                <w:rFonts w:ascii="Arial" w:cs="Arial" w:eastAsia="Arial" w:hAnsi="Arial"/>
                <w:sz w:val="12"/>
                <w:szCs w:val="12"/>
                <w:color w:val="auto"/>
              </w:rPr>
              <w:t>100 %</w:t>
            </w:r>
          </w:p>
        </w:tc>
      </w:tr>
      <w:tr>
        <w:trPr>
          <w:trHeight w:val="225"/>
        </w:trPr>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Mr. Jonsson</w:t>
            </w:r>
          </w:p>
        </w:tc>
        <w:tc>
          <w:tcPr>
            <w:tcW w:w="1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 xml:space="preserve">N/A </w:t>
            </w:r>
            <w:r>
              <w:rPr>
                <w:rFonts w:ascii="Arial" w:cs="Arial" w:eastAsia="Arial" w:hAnsi="Arial"/>
                <w:sz w:val="16"/>
                <w:szCs w:val="16"/>
                <w:color w:val="auto"/>
                <w:vertAlign w:val="superscript"/>
              </w:rPr>
              <w:t>1</w:t>
            </w:r>
          </w:p>
        </w:tc>
        <w:tc>
          <w:tcPr>
            <w:tcW w:w="13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3070860" cy="12636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070860" cy="126365"/>
                    </a:xfrm>
                    <a:prstGeom prst="rect">
                      <a:avLst/>
                    </a:prstGeom>
                    <a:noFill/>
                  </pic:spPr>
                </pic:pic>
              </a:graphicData>
            </a:graphic>
          </wp:anchor>
        </w:drawing>
      </w:r>
    </w:p>
    <w:p>
      <w:pPr>
        <w:spacing w:after="0" w:line="136" w:lineRule="exact"/>
        <w:rPr>
          <w:sz w:val="20"/>
          <w:szCs w:val="20"/>
          <w:color w:val="auto"/>
        </w:rPr>
      </w:pPr>
    </w:p>
    <w:p>
      <w:pPr>
        <w:ind w:left="67" w:hanging="67"/>
        <w:spacing w:after="0"/>
        <w:tabs>
          <w:tab w:leader="none" w:pos="67" w:val="left"/>
        </w:tabs>
        <w:numPr>
          <w:ilvl w:val="0"/>
          <w:numId w:val="134"/>
        </w:numPr>
        <w:rPr>
          <w:rFonts w:ascii="Arial" w:cs="Arial" w:eastAsia="Arial" w:hAnsi="Arial"/>
          <w:sz w:val="8"/>
          <w:szCs w:val="8"/>
          <w:color w:val="auto"/>
        </w:rPr>
      </w:pPr>
      <w:r>
        <w:rPr>
          <w:rFonts w:ascii="Arial" w:cs="Arial" w:eastAsia="Arial" w:hAnsi="Arial"/>
          <w:sz w:val="12"/>
          <w:szCs w:val="12"/>
          <w:color w:val="auto"/>
        </w:rPr>
        <w:t>Mr. Jonsson was not a named executive officer in 2021.</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52B1E"/>
        </w:rPr>
        <w:t>Equity Incentives - Target Grant Values</w:t>
      </w:r>
    </w:p>
    <w:p>
      <w:pPr>
        <w:spacing w:after="0" w:line="66" w:lineRule="exact"/>
        <w:rPr>
          <w:sz w:val="20"/>
          <w:szCs w:val="20"/>
          <w:color w:val="auto"/>
        </w:rPr>
      </w:pPr>
    </w:p>
    <w:p>
      <w:pPr>
        <w:ind w:left="7" w:right="120"/>
        <w:spacing w:after="0" w:line="252" w:lineRule="auto"/>
        <w:rPr>
          <w:sz w:val="20"/>
          <w:szCs w:val="20"/>
          <w:color w:val="auto"/>
        </w:rPr>
      </w:pPr>
      <w:r>
        <w:rPr>
          <w:rFonts w:ascii="Arial" w:cs="Arial" w:eastAsia="Arial" w:hAnsi="Arial"/>
          <w:sz w:val="16"/>
          <w:szCs w:val="16"/>
          <w:color w:val="auto"/>
        </w:rPr>
        <w:t>For 2022 equity grants, the Talent and Compensation Committee set the total target values for named executive officers based on internal relativity, peer group market data and individual performance. Named executive officers have 35 percent of their equity target allocated to shareholder value awards and relative value awards, respectively, and 30 percent to performance awards. Total target values for the 2021 and 2022 equity grants to the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4161155" cy="762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4161155" cy="7620"/>
                    </a:xfrm>
                    <a:prstGeom prst="rect">
                      <a:avLst/>
                    </a:prstGeom>
                    <a:noFill/>
                  </pic:spPr>
                </pic:pic>
              </a:graphicData>
            </a:graphic>
          </wp:anchor>
        </w:drawing>
      </w:r>
    </w:p>
    <w:p>
      <w:pPr>
        <w:spacing w:after="0" w:line="172"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7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2021 Annual Equity Grant</w:t>
            </w:r>
          </w:p>
        </w:tc>
        <w:tc>
          <w:tcPr>
            <w:tcW w:w="20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2022 Annual Equity Grant</w:t>
            </w:r>
          </w:p>
        </w:tc>
      </w:tr>
      <w:tr>
        <w:trPr>
          <w:trHeight w:val="188"/>
        </w:trPr>
        <w:tc>
          <w:tcPr>
            <w:tcW w:w="17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Mr. Ricks</w:t>
            </w:r>
          </w:p>
        </w:tc>
        <w:tc>
          <w:tcPr>
            <w:tcW w:w="2760" w:type="dxa"/>
            <w:vAlign w:val="bottom"/>
            <w:tcBorders>
              <w:bottom w:val="single" w:sz="8" w:color="F2F2F2"/>
            </w:tcBorders>
            <w:shd w:val="clear" w:color="auto" w:fill="F2F2F2"/>
          </w:tcPr>
          <w:p>
            <w:pPr>
              <w:jc w:val="right"/>
              <w:ind w:right="858"/>
              <w:spacing w:after="0"/>
              <w:rPr>
                <w:sz w:val="20"/>
                <w:szCs w:val="20"/>
                <w:color w:val="auto"/>
              </w:rPr>
            </w:pPr>
            <w:r>
              <w:rPr>
                <w:rFonts w:ascii="Arial" w:cs="Arial" w:eastAsia="Arial" w:hAnsi="Arial"/>
                <w:sz w:val="12"/>
                <w:szCs w:val="12"/>
                <w:color w:val="auto"/>
              </w:rPr>
              <w:t>$14,000,000</w:t>
            </w:r>
          </w:p>
        </w:tc>
        <w:tc>
          <w:tcPr>
            <w:tcW w:w="200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$16,250,000</w:t>
            </w:r>
          </w:p>
        </w:tc>
      </w:tr>
      <w:tr>
        <w:trPr>
          <w:trHeight w:val="168"/>
        </w:trPr>
        <w:tc>
          <w:tcPr>
            <w:tcW w:w="1780" w:type="dxa"/>
            <w:vAlign w:val="bottom"/>
          </w:tcPr>
          <w:p>
            <w:pPr>
              <w:spacing w:after="0"/>
              <w:rPr>
                <w:sz w:val="20"/>
                <w:szCs w:val="20"/>
                <w:color w:val="auto"/>
              </w:rPr>
            </w:pPr>
            <w:r>
              <w:rPr>
                <w:rFonts w:ascii="Arial" w:cs="Arial" w:eastAsia="Arial" w:hAnsi="Arial"/>
                <w:sz w:val="12"/>
                <w:szCs w:val="12"/>
                <w:color w:val="auto"/>
              </w:rPr>
              <w:t>Ms. Ashkenazi</w:t>
            </w:r>
          </w:p>
        </w:tc>
        <w:tc>
          <w:tcPr>
            <w:tcW w:w="2760" w:type="dxa"/>
            <w:vAlign w:val="bottom"/>
          </w:tcPr>
          <w:p>
            <w:pPr>
              <w:jc w:val="right"/>
              <w:ind w:right="858"/>
              <w:spacing w:after="0"/>
              <w:rPr>
                <w:sz w:val="20"/>
                <w:szCs w:val="20"/>
                <w:color w:val="auto"/>
              </w:rPr>
            </w:pPr>
            <w:r>
              <w:rPr>
                <w:rFonts w:ascii="Arial" w:cs="Arial" w:eastAsia="Arial" w:hAnsi="Arial"/>
                <w:sz w:val="12"/>
                <w:szCs w:val="12"/>
                <w:color w:val="auto"/>
              </w:rPr>
              <w:t>$2,200,000</w:t>
            </w:r>
          </w:p>
        </w:tc>
        <w:tc>
          <w:tcPr>
            <w:tcW w:w="2000" w:type="dxa"/>
            <w:vAlign w:val="bottom"/>
          </w:tcPr>
          <w:p>
            <w:pPr>
              <w:jc w:val="right"/>
              <w:ind w:right="358"/>
              <w:spacing w:after="0"/>
              <w:rPr>
                <w:sz w:val="20"/>
                <w:szCs w:val="20"/>
                <w:color w:val="auto"/>
              </w:rPr>
            </w:pPr>
            <w:r>
              <w:rPr>
                <w:rFonts w:ascii="Arial" w:cs="Arial" w:eastAsia="Arial" w:hAnsi="Arial"/>
                <w:sz w:val="12"/>
                <w:szCs w:val="12"/>
                <w:color w:val="auto"/>
              </w:rPr>
              <w:t>$3,000,000</w:t>
            </w:r>
          </w:p>
        </w:tc>
      </w:tr>
      <w:tr>
        <w:trPr>
          <w:trHeight w:val="53"/>
        </w:trPr>
        <w:tc>
          <w:tcPr>
            <w:tcW w:w="17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02"/>
        </w:trPr>
        <w:tc>
          <w:tcPr>
            <w:tcW w:w="17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Dr. Skovronsky</w:t>
            </w:r>
          </w:p>
        </w:tc>
        <w:tc>
          <w:tcPr>
            <w:tcW w:w="2760" w:type="dxa"/>
            <w:vAlign w:val="bottom"/>
            <w:tcBorders>
              <w:bottom w:val="single" w:sz="8" w:color="F2F2F2"/>
            </w:tcBorders>
            <w:shd w:val="clear" w:color="auto" w:fill="F2F2F2"/>
          </w:tcPr>
          <w:p>
            <w:pPr>
              <w:jc w:val="right"/>
              <w:ind w:right="858"/>
              <w:spacing w:after="0"/>
              <w:rPr>
                <w:sz w:val="20"/>
                <w:szCs w:val="20"/>
                <w:color w:val="auto"/>
              </w:rPr>
            </w:pPr>
            <w:r>
              <w:rPr>
                <w:rFonts w:ascii="Arial" w:cs="Arial" w:eastAsia="Arial" w:hAnsi="Arial"/>
                <w:sz w:val="12"/>
                <w:szCs w:val="12"/>
                <w:color w:val="auto"/>
              </w:rPr>
              <w:t>$4,700,000</w:t>
            </w:r>
          </w:p>
        </w:tc>
        <w:tc>
          <w:tcPr>
            <w:tcW w:w="200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$5,500,000</w:t>
            </w:r>
          </w:p>
        </w:tc>
      </w:tr>
      <w:tr>
        <w:trPr>
          <w:trHeight w:val="168"/>
        </w:trPr>
        <w:tc>
          <w:tcPr>
            <w:tcW w:w="1780" w:type="dxa"/>
            <w:vAlign w:val="bottom"/>
          </w:tcPr>
          <w:p>
            <w:pPr>
              <w:spacing w:after="0"/>
              <w:rPr>
                <w:sz w:val="20"/>
                <w:szCs w:val="20"/>
                <w:color w:val="auto"/>
              </w:rPr>
            </w:pPr>
            <w:r>
              <w:rPr>
                <w:rFonts w:ascii="Arial" w:cs="Arial" w:eastAsia="Arial" w:hAnsi="Arial"/>
                <w:sz w:val="12"/>
                <w:szCs w:val="12"/>
                <w:color w:val="auto"/>
              </w:rPr>
              <w:t>Ms. Hakim</w:t>
            </w:r>
          </w:p>
        </w:tc>
        <w:tc>
          <w:tcPr>
            <w:tcW w:w="2760" w:type="dxa"/>
            <w:vAlign w:val="bottom"/>
          </w:tcPr>
          <w:p>
            <w:pPr>
              <w:jc w:val="right"/>
              <w:ind w:right="858"/>
              <w:spacing w:after="0"/>
              <w:rPr>
                <w:sz w:val="20"/>
                <w:szCs w:val="20"/>
                <w:color w:val="auto"/>
              </w:rPr>
            </w:pPr>
            <w:r>
              <w:rPr>
                <w:rFonts w:ascii="Arial" w:cs="Arial" w:eastAsia="Arial" w:hAnsi="Arial"/>
                <w:sz w:val="12"/>
                <w:szCs w:val="12"/>
                <w:color w:val="auto"/>
              </w:rPr>
              <w:t>$2,100,000</w:t>
            </w:r>
          </w:p>
        </w:tc>
        <w:tc>
          <w:tcPr>
            <w:tcW w:w="2000" w:type="dxa"/>
            <w:vAlign w:val="bottom"/>
          </w:tcPr>
          <w:p>
            <w:pPr>
              <w:jc w:val="right"/>
              <w:ind w:right="358"/>
              <w:spacing w:after="0"/>
              <w:rPr>
                <w:sz w:val="20"/>
                <w:szCs w:val="20"/>
                <w:color w:val="auto"/>
              </w:rPr>
            </w:pPr>
            <w:r>
              <w:rPr>
                <w:rFonts w:ascii="Arial" w:cs="Arial" w:eastAsia="Arial" w:hAnsi="Arial"/>
                <w:sz w:val="12"/>
                <w:szCs w:val="12"/>
                <w:color w:val="auto"/>
              </w:rPr>
              <w:t>$3,000,000</w:t>
            </w:r>
          </w:p>
        </w:tc>
      </w:tr>
      <w:tr>
        <w:trPr>
          <w:trHeight w:val="252"/>
        </w:trPr>
        <w:tc>
          <w:tcPr>
            <w:tcW w:w="1780" w:type="dxa"/>
            <w:vAlign w:val="bottom"/>
          </w:tcPr>
          <w:p>
            <w:pPr>
              <w:spacing w:after="0"/>
              <w:rPr>
                <w:sz w:val="20"/>
                <w:szCs w:val="20"/>
                <w:color w:val="auto"/>
              </w:rPr>
            </w:pPr>
            <w:r>
              <w:rPr>
                <w:rFonts w:ascii="Arial" w:cs="Arial" w:eastAsia="Arial" w:hAnsi="Arial"/>
                <w:sz w:val="12"/>
                <w:szCs w:val="12"/>
                <w:color w:val="auto"/>
              </w:rPr>
              <w:t>Mr. Jonsson</w:t>
            </w:r>
          </w:p>
        </w:tc>
        <w:tc>
          <w:tcPr>
            <w:tcW w:w="2760" w:type="dxa"/>
            <w:vAlign w:val="bottom"/>
          </w:tcPr>
          <w:p>
            <w:pPr>
              <w:jc w:val="right"/>
              <w:ind w:right="778"/>
              <w:spacing w:after="0"/>
              <w:rPr>
                <w:sz w:val="20"/>
                <w:szCs w:val="20"/>
                <w:color w:val="auto"/>
              </w:rPr>
            </w:pPr>
            <w:r>
              <w:rPr>
                <w:rFonts w:ascii="Arial" w:cs="Arial" w:eastAsia="Arial" w:hAnsi="Arial"/>
                <w:sz w:val="12"/>
                <w:szCs w:val="12"/>
                <w:color w:val="auto"/>
              </w:rPr>
              <w:t xml:space="preserve">N/A </w:t>
            </w:r>
            <w:r>
              <w:rPr>
                <w:rFonts w:ascii="Arial" w:cs="Arial" w:eastAsia="Arial" w:hAnsi="Arial"/>
                <w:sz w:val="18"/>
                <w:szCs w:val="18"/>
                <w:color w:val="auto"/>
                <w:vertAlign w:val="superscript"/>
              </w:rPr>
              <w:t>1</w:t>
            </w:r>
          </w:p>
        </w:tc>
        <w:tc>
          <w:tcPr>
            <w:tcW w:w="2000" w:type="dxa"/>
            <w:vAlign w:val="bottom"/>
          </w:tcPr>
          <w:p>
            <w:pPr>
              <w:jc w:val="right"/>
              <w:ind w:right="358"/>
              <w:spacing w:after="0"/>
              <w:rPr>
                <w:sz w:val="20"/>
                <w:szCs w:val="20"/>
                <w:color w:val="auto"/>
              </w:rPr>
            </w:pPr>
            <w:r>
              <w:rPr>
                <w:rFonts w:ascii="Arial" w:cs="Arial" w:eastAsia="Arial" w:hAnsi="Arial"/>
                <w:sz w:val="12"/>
                <w:szCs w:val="12"/>
                <w:color w:val="auto"/>
              </w:rPr>
              <w:t>$2,100,000</w:t>
            </w:r>
          </w:p>
        </w:tc>
      </w:tr>
      <w:tr>
        <w:trPr>
          <w:trHeight w:val="24"/>
        </w:trPr>
        <w:tc>
          <w:tcPr>
            <w:tcW w:w="17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4161155" cy="14097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4161155" cy="140970"/>
                    </a:xfrm>
                    <a:prstGeom prst="rect">
                      <a:avLst/>
                    </a:prstGeom>
                    <a:noFill/>
                  </pic:spPr>
                </pic:pic>
              </a:graphicData>
            </a:graphic>
          </wp:anchor>
        </w:drawing>
      </w:r>
    </w:p>
    <w:p>
      <w:pPr>
        <w:spacing w:after="0" w:line="128" w:lineRule="exact"/>
        <w:rPr>
          <w:sz w:val="20"/>
          <w:szCs w:val="20"/>
          <w:color w:val="auto"/>
        </w:rPr>
      </w:pPr>
    </w:p>
    <w:p>
      <w:pPr>
        <w:ind w:left="87" w:hanging="87"/>
        <w:spacing w:after="0"/>
        <w:tabs>
          <w:tab w:leader="none" w:pos="87" w:val="left"/>
        </w:tabs>
        <w:numPr>
          <w:ilvl w:val="0"/>
          <w:numId w:val="135"/>
        </w:numPr>
        <w:rPr>
          <w:rFonts w:ascii="Arial" w:cs="Arial" w:eastAsia="Arial" w:hAnsi="Arial"/>
          <w:sz w:val="16"/>
          <w:szCs w:val="16"/>
          <w:color w:val="auto"/>
          <w:vertAlign w:val="superscript"/>
        </w:rPr>
      </w:pPr>
      <w:r>
        <w:rPr>
          <w:rFonts w:ascii="Arial" w:cs="Arial" w:eastAsia="Arial" w:hAnsi="Arial"/>
          <w:sz w:val="12"/>
          <w:szCs w:val="12"/>
          <w:color w:val="auto"/>
        </w:rPr>
        <w:t>Mr. Jonsson was not a named executive officer in 2021.</w:t>
      </w:r>
    </w:p>
    <w:p>
      <w:pPr>
        <w:spacing w:after="0" w:line="200" w:lineRule="exact"/>
        <w:rPr>
          <w:sz w:val="20"/>
          <w:szCs w:val="20"/>
          <w:color w:val="auto"/>
        </w:rPr>
      </w:pPr>
    </w:p>
    <w:p>
      <w:pPr>
        <w:spacing w:after="0" w:line="379"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7"/>
          </w:cols>
          <w:pgMar w:left="313" w:top="875" w:right="39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Performance Goals for Incentive Programs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Annual Cash Bonus Goals</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Talent and Compensation Committee established the company performance targets using the company’s 2022 annual operating plan, which was approved by the board in 2021. These targets are described below under “Compensation Results.”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Performance Award</w:t>
      </w:r>
    </w:p>
    <w:p>
      <w:pPr>
        <w:spacing w:after="0" w:line="1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February 2022, the Talent and Compensation Committee established a two-year EPS growth target of 6.3 percent per year based on investment analysts’ EPS growth estimates for our peer group companies at that time. Shortly after the approval of the EPS growth target, following guidance from the SEC, Lilly’s presentation of Non-GAAP EPS began including acquired in-process research and development (acquired IPR&amp;D) and development milestone charges. In May 2022, the Talent and Compensation Committee reconvened to approve an updated 2021 EPS baseline that excluded all acquired IPR&amp;D and development milestone charges. As a result, the updated 2021 EPS baseline changed from $8.16 to $8.25. The Talent and Compensation Committee reapplied the previously approved 6.3 percent per year growth rate to establish the 2022-2024 performance target as calculated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5"/>
              </w:rPr>
              <w:t>Target 2022 EPS</w:t>
            </w:r>
          </w:p>
        </w:tc>
        <w:tc>
          <w:tcPr>
            <w:tcW w:w="34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7"/>
              </w:rPr>
              <w:t>Target 2023 EPS</w:t>
            </w:r>
          </w:p>
        </w:tc>
        <w:tc>
          <w:tcPr>
            <w:tcW w:w="32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6"/>
              </w:rPr>
              <w:t>Two-Year Cumulative Target EPS</w:t>
            </w:r>
          </w:p>
        </w:tc>
      </w:tr>
      <w:tr>
        <w:trPr>
          <w:trHeight w:val="298"/>
        </w:trPr>
        <w:tc>
          <w:tcPr>
            <w:tcW w:w="2320" w:type="dxa"/>
            <w:vAlign w:val="bottom"/>
            <w:shd w:val="clear" w:color="auto" w:fill="BFE4FF"/>
          </w:tcPr>
          <w:p>
            <w:pPr>
              <w:jc w:val="right"/>
              <w:ind w:right="662"/>
              <w:spacing w:after="0"/>
              <w:rPr>
                <w:sz w:val="20"/>
                <w:szCs w:val="20"/>
                <w:color w:val="auto"/>
              </w:rPr>
            </w:pPr>
            <w:r>
              <w:rPr>
                <w:rFonts w:ascii="Arial" w:cs="Arial" w:eastAsia="Arial" w:hAnsi="Arial"/>
                <w:sz w:val="16"/>
                <w:szCs w:val="16"/>
                <w:b w:val="1"/>
                <w:bCs w:val="1"/>
                <w:color w:val="auto"/>
              </w:rPr>
              <w:t>$8.25*1.063</w:t>
            </w:r>
          </w:p>
        </w:tc>
        <w:tc>
          <w:tcPr>
            <w:tcW w:w="340" w:type="dxa"/>
            <w:vAlign w:val="bottom"/>
          </w:tcPr>
          <w:p>
            <w:pPr>
              <w:spacing w:after="0"/>
              <w:rPr>
                <w:sz w:val="24"/>
                <w:szCs w:val="24"/>
                <w:color w:val="auto"/>
              </w:rPr>
            </w:pPr>
          </w:p>
        </w:tc>
        <w:tc>
          <w:tcPr>
            <w:tcW w:w="2340" w:type="dxa"/>
            <w:vAlign w:val="bottom"/>
            <w:shd w:val="clear" w:color="auto" w:fill="00A1DE"/>
          </w:tcPr>
          <w:p>
            <w:pPr>
              <w:jc w:val="right"/>
              <w:ind w:right="362"/>
              <w:spacing w:after="0"/>
              <w:rPr>
                <w:sz w:val="20"/>
                <w:szCs w:val="20"/>
                <w:color w:val="auto"/>
              </w:rPr>
            </w:pPr>
            <w:r>
              <w:rPr>
                <w:rFonts w:ascii="Arial" w:cs="Arial" w:eastAsia="Arial" w:hAnsi="Arial"/>
                <w:sz w:val="16"/>
                <w:szCs w:val="16"/>
                <w:b w:val="1"/>
                <w:bCs w:val="1"/>
                <w:color w:val="FFFFFF"/>
              </w:rPr>
              <w:t>$8.25 * 1.063 * 1.063</w:t>
            </w:r>
          </w:p>
        </w:tc>
        <w:tc>
          <w:tcPr>
            <w:tcW w:w="320" w:type="dxa"/>
            <w:vAlign w:val="bottom"/>
          </w:tcPr>
          <w:p>
            <w:pPr>
              <w:spacing w:after="0"/>
              <w:rPr>
                <w:sz w:val="24"/>
                <w:szCs w:val="24"/>
                <w:color w:val="auto"/>
              </w:rPr>
            </w:pPr>
          </w:p>
        </w:tc>
        <w:tc>
          <w:tcPr>
            <w:tcW w:w="2520" w:type="dxa"/>
            <w:vAlign w:val="bottom"/>
            <w:shd w:val="clear" w:color="auto" w:fill="EE2724"/>
          </w:tcPr>
          <w:p>
            <w:pPr>
              <w:jc w:val="right"/>
              <w:ind w:right="942"/>
              <w:spacing w:after="0"/>
              <w:rPr>
                <w:sz w:val="20"/>
                <w:szCs w:val="20"/>
                <w:color w:val="auto"/>
              </w:rPr>
            </w:pPr>
            <w:r>
              <w:rPr>
                <w:rFonts w:ascii="Arial" w:cs="Arial" w:eastAsia="Arial" w:hAnsi="Arial"/>
                <w:sz w:val="16"/>
                <w:szCs w:val="16"/>
                <w:b w:val="1"/>
                <w:bCs w:val="1"/>
                <w:color w:val="FFFFFF"/>
              </w:rPr>
              <w:t>$18.09</w:t>
            </w:r>
          </w:p>
        </w:tc>
      </w:tr>
      <w:tr>
        <w:trPr>
          <w:trHeight w:val="82"/>
        </w:trPr>
        <w:tc>
          <w:tcPr>
            <w:tcW w:w="2320" w:type="dxa"/>
            <w:vAlign w:val="bottom"/>
            <w:shd w:val="clear" w:color="auto" w:fill="BFE4FF"/>
          </w:tcPr>
          <w:p>
            <w:pPr>
              <w:spacing w:after="0"/>
              <w:rPr>
                <w:sz w:val="7"/>
                <w:szCs w:val="7"/>
                <w:color w:val="auto"/>
              </w:rPr>
            </w:pPr>
          </w:p>
        </w:tc>
        <w:tc>
          <w:tcPr>
            <w:tcW w:w="340" w:type="dxa"/>
            <w:vAlign w:val="bottom"/>
          </w:tcPr>
          <w:p>
            <w:pPr>
              <w:spacing w:after="0"/>
              <w:rPr>
                <w:sz w:val="7"/>
                <w:szCs w:val="7"/>
                <w:color w:val="auto"/>
              </w:rPr>
            </w:pPr>
          </w:p>
        </w:tc>
        <w:tc>
          <w:tcPr>
            <w:tcW w:w="2340" w:type="dxa"/>
            <w:vAlign w:val="bottom"/>
            <w:shd w:val="clear" w:color="auto" w:fill="00A1DE"/>
          </w:tcPr>
          <w:p>
            <w:pPr>
              <w:spacing w:after="0"/>
              <w:rPr>
                <w:sz w:val="7"/>
                <w:szCs w:val="7"/>
                <w:color w:val="auto"/>
              </w:rPr>
            </w:pPr>
          </w:p>
        </w:tc>
        <w:tc>
          <w:tcPr>
            <w:tcW w:w="320" w:type="dxa"/>
            <w:vAlign w:val="bottom"/>
          </w:tcPr>
          <w:p>
            <w:pPr>
              <w:spacing w:after="0"/>
              <w:rPr>
                <w:sz w:val="7"/>
                <w:szCs w:val="7"/>
                <w:color w:val="auto"/>
              </w:rPr>
            </w:pPr>
          </w:p>
        </w:tc>
        <w:tc>
          <w:tcPr>
            <w:tcW w:w="2520" w:type="dxa"/>
            <w:vAlign w:val="bottom"/>
            <w:shd w:val="clear" w:color="auto" w:fill="EE272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-221615</wp:posOffset>
            </wp:positionV>
            <wp:extent cx="148590" cy="148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-221615</wp:posOffset>
            </wp:positionV>
            <wp:extent cx="148590" cy="148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Payouts for the 2022-2024 performance award can range from 0 to 175 percent of the target number of shares, as shown below:</w:t>
      </w:r>
    </w:p>
    <w:p>
      <w:pPr>
        <w:spacing w:after="0" w:line="193" w:lineRule="exact"/>
        <w:rPr>
          <w:sz w:val="20"/>
          <w:szCs w:val="20"/>
          <w:color w:val="auto"/>
        </w:rPr>
      </w:pPr>
    </w:p>
    <w:p>
      <w:pPr>
        <w:ind w:left="2560"/>
        <w:spacing w:after="0"/>
        <w:rPr>
          <w:sz w:val="20"/>
          <w:szCs w:val="20"/>
          <w:color w:val="auto"/>
        </w:rPr>
      </w:pPr>
      <w:r>
        <w:rPr>
          <w:rFonts w:ascii="Arial" w:cs="Arial" w:eastAsia="Arial" w:hAnsi="Arial"/>
          <w:sz w:val="19"/>
          <w:szCs w:val="19"/>
          <w:b w:val="1"/>
          <w:bCs w:val="1"/>
          <w:color w:val="auto"/>
        </w:rPr>
        <w:t>2022-2024 Performance Award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Target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46"/>
        </w:trPr>
        <w:tc>
          <w:tcPr>
            <w:tcW w:w="144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r>
      <w:tr>
        <w:trPr>
          <w:trHeight w:val="315"/>
        </w:trPr>
        <w:tc>
          <w:tcPr>
            <w:tcW w:w="1440" w:type="dxa"/>
            <w:vAlign w:val="bottom"/>
            <w:tcBorders>
              <w:right w:val="single" w:sz="8" w:color="auto"/>
            </w:tcBorders>
          </w:tcPr>
          <w:p>
            <w:pPr>
              <w:spacing w:after="0"/>
              <w:rPr>
                <w:sz w:val="24"/>
                <w:szCs w:val="24"/>
                <w:color w:val="auto"/>
              </w:rPr>
            </w:pPr>
          </w:p>
        </w:tc>
        <w:tc>
          <w:tcPr>
            <w:tcW w:w="1300" w:type="dxa"/>
            <w:vAlign w:val="bottom"/>
            <w:shd w:val="clear" w:color="auto" w:fill="BFE4FF"/>
          </w:tcPr>
          <w:p>
            <w:pPr>
              <w:jc w:val="right"/>
              <w:ind w:right="178"/>
              <w:spacing w:after="0"/>
              <w:rPr>
                <w:sz w:val="20"/>
                <w:szCs w:val="20"/>
                <w:color w:val="auto"/>
              </w:rPr>
            </w:pPr>
            <w:r>
              <w:rPr>
                <w:rFonts w:ascii="Arial" w:cs="Arial" w:eastAsia="Arial" w:hAnsi="Arial"/>
                <w:sz w:val="12"/>
                <w:szCs w:val="12"/>
                <w:b w:val="1"/>
                <w:bCs w:val="1"/>
                <w:color w:val="auto"/>
              </w:rPr>
              <w:t>0%</w:t>
            </w:r>
          </w:p>
        </w:tc>
        <w:tc>
          <w:tcPr>
            <w:tcW w:w="700" w:type="dxa"/>
            <w:vAlign w:val="bottom"/>
            <w:tcBorders>
              <w:right w:val="single" w:sz="8" w:color="auto"/>
            </w:tcBorders>
            <w:shd w:val="clear" w:color="auto" w:fill="BFE4FF"/>
          </w:tcPr>
          <w:p>
            <w:pPr>
              <w:spacing w:after="0"/>
              <w:rPr>
                <w:sz w:val="24"/>
                <w:szCs w:val="24"/>
                <w:color w:val="auto"/>
              </w:rPr>
            </w:pPr>
          </w:p>
        </w:tc>
        <w:tc>
          <w:tcPr>
            <w:tcW w:w="1480" w:type="dxa"/>
            <w:vAlign w:val="bottom"/>
            <w:shd w:val="clear" w:color="auto" w:fill="BFE4FF"/>
          </w:tcPr>
          <w:p>
            <w:pPr>
              <w:jc w:val="right"/>
              <w:ind w:right="278"/>
              <w:spacing w:after="0"/>
              <w:rPr>
                <w:sz w:val="20"/>
                <w:szCs w:val="20"/>
                <w:color w:val="auto"/>
              </w:rPr>
            </w:pPr>
            <w:r>
              <w:rPr>
                <w:rFonts w:ascii="Arial" w:cs="Arial" w:eastAsia="Arial" w:hAnsi="Arial"/>
                <w:sz w:val="12"/>
                <w:szCs w:val="12"/>
                <w:b w:val="1"/>
                <w:bCs w:val="1"/>
                <w:color w:val="auto"/>
              </w:rPr>
              <w:t>50%</w:t>
            </w:r>
          </w:p>
        </w:tc>
        <w:tc>
          <w:tcPr>
            <w:tcW w:w="560" w:type="dxa"/>
            <w:vAlign w:val="bottom"/>
            <w:tcBorders>
              <w:right w:val="single" w:sz="8" w:color="auto"/>
            </w:tcBorders>
            <w:shd w:val="clear" w:color="auto" w:fill="BFE4FF"/>
          </w:tcPr>
          <w:p>
            <w:pPr>
              <w:spacing w:after="0"/>
              <w:rPr>
                <w:sz w:val="24"/>
                <w:szCs w:val="24"/>
                <w:color w:val="auto"/>
              </w:rPr>
            </w:pPr>
          </w:p>
        </w:tc>
        <w:tc>
          <w:tcPr>
            <w:tcW w:w="740" w:type="dxa"/>
            <w:vAlign w:val="bottom"/>
            <w:tcBorders>
              <w:right w:val="single" w:sz="8" w:color="auto"/>
            </w:tcBorders>
            <w:gridSpan w:val="2"/>
            <w:shd w:val="clear" w:color="auto" w:fill="BFE4FF"/>
          </w:tcPr>
          <w:p>
            <w:pPr>
              <w:jc w:val="right"/>
              <w:ind w:right="38"/>
              <w:spacing w:after="0"/>
              <w:rPr>
                <w:sz w:val="20"/>
                <w:szCs w:val="20"/>
                <w:color w:val="auto"/>
              </w:rPr>
            </w:pPr>
            <w:r>
              <w:rPr>
                <w:rFonts w:ascii="Arial" w:cs="Arial" w:eastAsia="Arial" w:hAnsi="Arial"/>
                <w:sz w:val="12"/>
                <w:szCs w:val="12"/>
                <w:b w:val="1"/>
                <w:bCs w:val="1"/>
                <w:color w:val="auto"/>
              </w:rPr>
              <w:t>51% -99%</w:t>
            </w:r>
          </w:p>
        </w:tc>
        <w:tc>
          <w:tcPr>
            <w:tcW w:w="980" w:type="dxa"/>
            <w:vAlign w:val="bottom"/>
            <w:tcBorders>
              <w:right w:val="single" w:sz="8" w:color="auto"/>
            </w:tcBorders>
            <w:gridSpan w:val="2"/>
            <w:shd w:val="clear" w:color="auto" w:fill="BFE4FF"/>
          </w:tcPr>
          <w:p>
            <w:pPr>
              <w:jc w:val="right"/>
              <w:ind w:right="58"/>
              <w:spacing w:after="0"/>
              <w:rPr>
                <w:sz w:val="20"/>
                <w:szCs w:val="20"/>
                <w:color w:val="auto"/>
              </w:rPr>
            </w:pPr>
            <w:r>
              <w:rPr>
                <w:rFonts w:ascii="Arial" w:cs="Arial" w:eastAsia="Arial" w:hAnsi="Arial"/>
                <w:sz w:val="12"/>
                <w:szCs w:val="12"/>
                <w:b w:val="1"/>
                <w:bCs w:val="1"/>
                <w:color w:val="auto"/>
              </w:rPr>
              <w:t>100% - 174%</w:t>
            </w:r>
          </w:p>
        </w:tc>
        <w:tc>
          <w:tcPr>
            <w:tcW w:w="660" w:type="dxa"/>
            <w:vAlign w:val="bottom"/>
            <w:tcBorders>
              <w:right w:val="single" w:sz="8" w:color="auto"/>
            </w:tcBorders>
            <w:shd w:val="clear" w:color="auto" w:fill="BFE4FF"/>
          </w:tcPr>
          <w:p>
            <w:pPr>
              <w:jc w:val="right"/>
              <w:ind w:right="118"/>
              <w:spacing w:after="0"/>
              <w:rPr>
                <w:sz w:val="20"/>
                <w:szCs w:val="20"/>
                <w:color w:val="auto"/>
              </w:rPr>
            </w:pPr>
            <w:r>
              <w:rPr>
                <w:rFonts w:ascii="Arial" w:cs="Arial" w:eastAsia="Arial" w:hAnsi="Arial"/>
                <w:sz w:val="12"/>
                <w:szCs w:val="12"/>
                <w:b w:val="1"/>
                <w:bCs w:val="1"/>
                <w:color w:val="auto"/>
              </w:rPr>
              <w:t>175%</w:t>
            </w:r>
          </w:p>
        </w:tc>
      </w:tr>
      <w:tr>
        <w:trPr>
          <w:trHeight w:val="141"/>
        </w:trPr>
        <w:tc>
          <w:tcPr>
            <w:tcW w:w="1440" w:type="dxa"/>
            <w:vAlign w:val="bottom"/>
            <w:tcBorders>
              <w:right w:val="single" w:sz="8" w:color="auto"/>
            </w:tcBorders>
          </w:tcPr>
          <w:p>
            <w:pPr>
              <w:spacing w:after="0"/>
              <w:rPr>
                <w:sz w:val="12"/>
                <w:szCs w:val="12"/>
                <w:color w:val="auto"/>
              </w:rPr>
            </w:pPr>
          </w:p>
        </w:tc>
        <w:tc>
          <w:tcPr>
            <w:tcW w:w="1300" w:type="dxa"/>
            <w:vAlign w:val="bottom"/>
            <w:shd w:val="clear" w:color="auto" w:fill="BFE4FF"/>
          </w:tcPr>
          <w:p>
            <w:pPr>
              <w:spacing w:after="0"/>
              <w:rPr>
                <w:sz w:val="12"/>
                <w:szCs w:val="12"/>
                <w:color w:val="auto"/>
              </w:rPr>
            </w:pPr>
          </w:p>
        </w:tc>
        <w:tc>
          <w:tcPr>
            <w:tcW w:w="700" w:type="dxa"/>
            <w:vAlign w:val="bottom"/>
            <w:tcBorders>
              <w:right w:val="single" w:sz="8" w:color="auto"/>
            </w:tcBorders>
            <w:shd w:val="clear" w:color="auto" w:fill="BFE4FF"/>
          </w:tcPr>
          <w:p>
            <w:pPr>
              <w:spacing w:after="0"/>
              <w:rPr>
                <w:sz w:val="12"/>
                <w:szCs w:val="12"/>
                <w:color w:val="auto"/>
              </w:rPr>
            </w:pPr>
          </w:p>
        </w:tc>
        <w:tc>
          <w:tcPr>
            <w:tcW w:w="1480" w:type="dxa"/>
            <w:vAlign w:val="bottom"/>
            <w:shd w:val="clear" w:color="auto" w:fill="BFE4FF"/>
          </w:tcPr>
          <w:p>
            <w:pPr>
              <w:spacing w:after="0"/>
              <w:rPr>
                <w:sz w:val="12"/>
                <w:szCs w:val="12"/>
                <w:color w:val="auto"/>
              </w:rPr>
            </w:pPr>
          </w:p>
        </w:tc>
        <w:tc>
          <w:tcPr>
            <w:tcW w:w="560" w:type="dxa"/>
            <w:vAlign w:val="bottom"/>
            <w:tcBorders>
              <w:right w:val="single" w:sz="8" w:color="auto"/>
            </w:tcBorders>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380" w:type="dxa"/>
            <w:vAlign w:val="bottom"/>
            <w:tcBorders>
              <w:right w:val="single" w:sz="8" w:color="auto"/>
            </w:tcBorders>
            <w:shd w:val="clear" w:color="auto" w:fill="BFE4FF"/>
          </w:tcPr>
          <w:p>
            <w:pPr>
              <w:spacing w:after="0"/>
              <w:rPr>
                <w:sz w:val="12"/>
                <w:szCs w:val="12"/>
                <w:color w:val="auto"/>
              </w:rPr>
            </w:pPr>
          </w:p>
        </w:tc>
        <w:tc>
          <w:tcPr>
            <w:tcW w:w="460" w:type="dxa"/>
            <w:vAlign w:val="bottom"/>
            <w:shd w:val="clear" w:color="auto" w:fill="BFE4FF"/>
          </w:tcPr>
          <w:p>
            <w:pPr>
              <w:spacing w:after="0"/>
              <w:rPr>
                <w:sz w:val="12"/>
                <w:szCs w:val="12"/>
                <w:color w:val="auto"/>
              </w:rPr>
            </w:pPr>
          </w:p>
        </w:tc>
        <w:tc>
          <w:tcPr>
            <w:tcW w:w="520" w:type="dxa"/>
            <w:vAlign w:val="bottom"/>
            <w:tcBorders>
              <w:right w:val="single" w:sz="8" w:color="auto"/>
            </w:tcBorders>
            <w:shd w:val="clear" w:color="auto" w:fill="BFE4FF"/>
          </w:tcPr>
          <w:p>
            <w:pPr>
              <w:spacing w:after="0"/>
              <w:rPr>
                <w:sz w:val="12"/>
                <w:szCs w:val="12"/>
                <w:color w:val="auto"/>
              </w:rPr>
            </w:pPr>
          </w:p>
        </w:tc>
        <w:tc>
          <w:tcPr>
            <w:tcW w:w="660" w:type="dxa"/>
            <w:vAlign w:val="bottom"/>
            <w:tcBorders>
              <w:right w:val="single" w:sz="8" w:color="auto"/>
            </w:tcBorders>
            <w:shd w:val="clear" w:color="auto" w:fill="BFE4FF"/>
          </w:tcPr>
          <w:p>
            <w:pPr>
              <w:spacing w:after="0"/>
              <w:rPr>
                <w:sz w:val="12"/>
                <w:szCs w:val="12"/>
                <w:color w:val="auto"/>
              </w:rPr>
            </w:pPr>
          </w:p>
        </w:tc>
      </w:tr>
      <w:tr>
        <w:trPr>
          <w:trHeight w:val="82"/>
        </w:trPr>
        <w:tc>
          <w:tcPr>
            <w:tcW w:w="1440" w:type="dxa"/>
            <w:vAlign w:val="bottom"/>
            <w:tcBorders>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r>
      <w:tr>
        <w:trPr>
          <w:trHeight w:val="73"/>
        </w:trPr>
        <w:tc>
          <w:tcPr>
            <w:tcW w:w="1440" w:type="dxa"/>
            <w:vAlign w:val="bottom"/>
            <w:tcBorders>
              <w:right w:val="single" w:sz="8" w:color="auto"/>
            </w:tcBorders>
          </w:tcPr>
          <w:p>
            <w:pPr>
              <w:spacing w:after="0"/>
              <w:rPr>
                <w:sz w:val="6"/>
                <w:szCs w:val="6"/>
                <w:color w:val="auto"/>
              </w:rPr>
            </w:pPr>
          </w:p>
        </w:tc>
        <w:tc>
          <w:tcPr>
            <w:tcW w:w="130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r>
      <w:tr>
        <w:trPr>
          <w:trHeight w:val="327"/>
        </w:trPr>
        <w:tc>
          <w:tcPr>
            <w:tcW w:w="2740" w:type="dxa"/>
            <w:vAlign w:val="bottom"/>
            <w:tcBorders>
              <w:bottom w:val="single" w:sz="8" w:color="auto"/>
            </w:tcBorders>
            <w:gridSpan w:val="2"/>
          </w:tcPr>
          <w:p>
            <w:pPr>
              <w:jc w:val="right"/>
              <w:ind w:right="1298"/>
              <w:spacing w:after="0"/>
              <w:rPr>
                <w:sz w:val="20"/>
                <w:szCs w:val="20"/>
                <w:color w:val="auto"/>
              </w:rPr>
            </w:pPr>
            <w:r>
              <w:rPr>
                <w:rFonts w:ascii="Arial" w:cs="Arial" w:eastAsia="Arial" w:hAnsi="Arial"/>
                <w:sz w:val="12"/>
                <w:szCs w:val="12"/>
                <w:b w:val="1"/>
                <w:bCs w:val="1"/>
                <w:color w:val="auto"/>
              </w:rPr>
              <w:t>EPS Growth</w:t>
            </w:r>
          </w:p>
        </w:tc>
        <w:tc>
          <w:tcPr>
            <w:tcW w:w="2180" w:type="dxa"/>
            <w:vAlign w:val="bottom"/>
            <w:tcBorders>
              <w:bottom w:val="single" w:sz="8" w:color="auto"/>
            </w:tcBorders>
            <w:gridSpan w:val="2"/>
          </w:tcPr>
          <w:p>
            <w:pPr>
              <w:jc w:val="center"/>
              <w:ind w:right="758"/>
              <w:spacing w:after="0"/>
              <w:rPr>
                <w:sz w:val="20"/>
                <w:szCs w:val="20"/>
                <w:color w:val="auto"/>
              </w:rPr>
            </w:pPr>
            <w:r>
              <w:rPr>
                <w:rFonts w:ascii="Arial" w:cs="Arial" w:eastAsia="Arial" w:hAnsi="Arial"/>
                <w:sz w:val="12"/>
                <w:szCs w:val="12"/>
                <w:i w:val="1"/>
                <w:iCs w:val="1"/>
                <w:color w:val="auto"/>
              </w:rPr>
              <w:t>Payout threshold</w:t>
            </w:r>
          </w:p>
        </w:tc>
        <w:tc>
          <w:tcPr>
            <w:tcW w:w="92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2"/>
                <w:szCs w:val="12"/>
                <w:color w:val="auto"/>
              </w:rPr>
              <w:t>-1.7%</w:t>
            </w:r>
          </w:p>
        </w:tc>
        <w:tc>
          <w:tcPr>
            <w:tcW w:w="84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2"/>
                <w:szCs w:val="12"/>
                <w:color w:val="auto"/>
              </w:rPr>
              <w:t>6.3%</w:t>
            </w:r>
          </w:p>
        </w:tc>
        <w:tc>
          <w:tcPr>
            <w:tcW w:w="118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2"/>
                <w:szCs w:val="12"/>
                <w:color w:val="auto"/>
              </w:rPr>
              <w:t>18.3%</w:t>
            </w:r>
          </w:p>
        </w:tc>
      </w:tr>
      <w:tr>
        <w:trPr>
          <w:trHeight w:val="167"/>
        </w:trPr>
        <w:tc>
          <w:tcPr>
            <w:tcW w:w="2740" w:type="dxa"/>
            <w:vAlign w:val="bottom"/>
            <w:gridSpan w:val="2"/>
          </w:tcPr>
          <w:p>
            <w:pPr>
              <w:jc w:val="right"/>
              <w:ind w:right="1298"/>
              <w:spacing w:after="0"/>
              <w:rPr>
                <w:sz w:val="20"/>
                <w:szCs w:val="20"/>
                <w:color w:val="auto"/>
              </w:rPr>
            </w:pPr>
            <w:r>
              <w:rPr>
                <w:rFonts w:ascii="Arial" w:cs="Arial" w:eastAsia="Arial" w:hAnsi="Arial"/>
                <w:sz w:val="12"/>
                <w:szCs w:val="12"/>
                <w:b w:val="1"/>
                <w:bCs w:val="1"/>
                <w:color w:val="auto"/>
              </w:rPr>
              <w:t>Cumulative 2-Year EPS</w:t>
            </w:r>
          </w:p>
        </w:tc>
        <w:tc>
          <w:tcPr>
            <w:tcW w:w="2180" w:type="dxa"/>
            <w:vAlign w:val="bottom"/>
            <w:gridSpan w:val="2"/>
          </w:tcPr>
          <w:p>
            <w:pPr>
              <w:jc w:val="right"/>
              <w:ind w:right="1278"/>
              <w:spacing w:after="0"/>
              <w:rPr>
                <w:sz w:val="20"/>
                <w:szCs w:val="20"/>
                <w:color w:val="auto"/>
              </w:rPr>
            </w:pPr>
            <w:r>
              <w:rPr>
                <w:rFonts w:ascii="Arial" w:cs="Arial" w:eastAsia="Arial" w:hAnsi="Arial"/>
                <w:sz w:val="12"/>
                <w:szCs w:val="12"/>
                <w:color w:val="auto"/>
              </w:rPr>
              <w:t>$8.25</w:t>
            </w:r>
          </w:p>
        </w:tc>
        <w:tc>
          <w:tcPr>
            <w:tcW w:w="920" w:type="dxa"/>
            <w:vAlign w:val="bottom"/>
            <w:gridSpan w:val="2"/>
          </w:tcPr>
          <w:p>
            <w:pPr>
              <w:jc w:val="right"/>
              <w:ind w:right="118"/>
              <w:spacing w:after="0"/>
              <w:rPr>
                <w:sz w:val="20"/>
                <w:szCs w:val="20"/>
                <w:color w:val="auto"/>
              </w:rPr>
            </w:pPr>
            <w:r>
              <w:rPr>
                <w:rFonts w:ascii="Arial" w:cs="Arial" w:eastAsia="Arial" w:hAnsi="Arial"/>
                <w:sz w:val="12"/>
                <w:szCs w:val="12"/>
                <w:color w:val="auto"/>
              </w:rPr>
              <w:t>$16.08</w:t>
            </w:r>
          </w:p>
        </w:tc>
        <w:tc>
          <w:tcPr>
            <w:tcW w:w="840" w:type="dxa"/>
            <w:vAlign w:val="bottom"/>
            <w:gridSpan w:val="2"/>
          </w:tcPr>
          <w:p>
            <w:pPr>
              <w:jc w:val="right"/>
              <w:ind w:right="218"/>
              <w:spacing w:after="0"/>
              <w:rPr>
                <w:sz w:val="20"/>
                <w:szCs w:val="20"/>
                <w:color w:val="auto"/>
              </w:rPr>
            </w:pPr>
            <w:r>
              <w:rPr>
                <w:rFonts w:ascii="Arial" w:cs="Arial" w:eastAsia="Arial" w:hAnsi="Arial"/>
                <w:sz w:val="12"/>
                <w:szCs w:val="12"/>
                <w:color w:val="auto"/>
              </w:rPr>
              <w:t>$18.09</w:t>
            </w:r>
          </w:p>
        </w:tc>
        <w:tc>
          <w:tcPr>
            <w:tcW w:w="1180" w:type="dxa"/>
            <w:vAlign w:val="bottom"/>
            <w:gridSpan w:val="2"/>
          </w:tcPr>
          <w:p>
            <w:pPr>
              <w:jc w:val="right"/>
              <w:ind w:right="378"/>
              <w:spacing w:after="0"/>
              <w:rPr>
                <w:sz w:val="20"/>
                <w:szCs w:val="20"/>
                <w:color w:val="auto"/>
              </w:rPr>
            </w:pPr>
            <w:r>
              <w:rPr>
                <w:rFonts w:ascii="Arial" w:cs="Arial" w:eastAsia="Arial" w:hAnsi="Arial"/>
                <w:sz w:val="12"/>
                <w:szCs w:val="12"/>
                <w:color w:val="auto"/>
              </w:rPr>
              <w:t>$21.31+</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Shareholder Value Award</w:t>
      </w:r>
    </w:p>
    <w:p>
      <w:pPr>
        <w:spacing w:after="0" w:line="54"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For purposes of establishing the stock price target for the shareholder value awards, the starting price was $260.57 per share, the average closing stock price for all trading days in November and December 2021. The target share price was established using the expected annual rate of return for large-cap companies (8 percent) as determined by the Talent and Compensation Committee, less an assumed Lilly dividend yield (1.50 percent). To determine payout, the ending price will be the average closing price of company stock for all trading days in November and December 2024. The award is designed to deliver no payout to executive officers if the shareholder return (including projected dividends) is zero or negative. Possible payouts based on share price ranges are illustrated in the grid below.</w:t>
      </w:r>
    </w:p>
    <w:p>
      <w:pPr>
        <w:spacing w:after="0" w:line="135" w:lineRule="exact"/>
        <w:rPr>
          <w:sz w:val="20"/>
          <w:szCs w:val="20"/>
          <w:color w:val="auto"/>
        </w:rPr>
      </w:pPr>
    </w:p>
    <w:p>
      <w:pPr>
        <w:ind w:left="2320"/>
        <w:spacing w:after="0"/>
        <w:rPr>
          <w:sz w:val="20"/>
          <w:szCs w:val="20"/>
          <w:color w:val="auto"/>
        </w:rPr>
      </w:pPr>
      <w:r>
        <w:rPr>
          <w:rFonts w:ascii="Arial" w:cs="Arial" w:eastAsia="Arial" w:hAnsi="Arial"/>
          <w:sz w:val="19"/>
          <w:szCs w:val="19"/>
          <w:b w:val="1"/>
          <w:bCs w:val="1"/>
          <w:color w:val="auto"/>
        </w:rPr>
        <w:t>2022-2024 Shareholder Value Award</w:t>
      </w: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Target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62"/>
        </w:trPr>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 of Target</w:t>
            </w:r>
          </w:p>
        </w:tc>
        <w:tc>
          <w:tcPr>
            <w:tcW w:w="7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right w:val="single" w:sz="8" w:color="auto"/>
            </w:tcBorders>
            <w:vMerge w:val="continue"/>
          </w:tcPr>
          <w:p>
            <w:pPr>
              <w:spacing w:after="0"/>
              <w:rPr>
                <w:sz w:val="20"/>
                <w:szCs w:val="20"/>
                <w:color w:val="auto"/>
              </w:rPr>
            </w:pPr>
          </w:p>
        </w:tc>
        <w:tc>
          <w:tcPr>
            <w:tcW w:w="7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rPr>
              <w:t>0%</w:t>
            </w:r>
          </w:p>
        </w:tc>
        <w:tc>
          <w:tcPr>
            <w:tcW w:w="1020" w:type="dxa"/>
            <w:vAlign w:val="bottom"/>
            <w:tcBorders>
              <w:bottom w:val="single" w:sz="8" w:color="auto"/>
              <w:right w:val="single" w:sz="8" w:color="auto"/>
            </w:tcBorders>
            <w:shd w:val="clear" w:color="auto" w:fill="BFE4FF"/>
          </w:tcPr>
          <w:p>
            <w:pPr>
              <w:jc w:val="right"/>
              <w:ind w:right="366"/>
              <w:spacing w:after="0"/>
              <w:rPr>
                <w:sz w:val="20"/>
                <w:szCs w:val="20"/>
                <w:color w:val="auto"/>
              </w:rPr>
            </w:pPr>
            <w:r>
              <w:rPr>
                <w:rFonts w:ascii="Arial" w:cs="Arial" w:eastAsia="Arial" w:hAnsi="Arial"/>
                <w:sz w:val="11"/>
                <w:szCs w:val="11"/>
                <w:b w:val="1"/>
                <w:bCs w:val="1"/>
                <w:color w:val="auto"/>
              </w:rPr>
              <w:t>50%</w:t>
            </w:r>
          </w:p>
        </w:tc>
        <w:tc>
          <w:tcPr>
            <w:tcW w:w="1000" w:type="dxa"/>
            <w:vAlign w:val="bottom"/>
            <w:tcBorders>
              <w:bottom w:val="single" w:sz="8" w:color="auto"/>
              <w:right w:val="single" w:sz="8" w:color="auto"/>
            </w:tcBorders>
            <w:gridSpan w:val="2"/>
            <w:shd w:val="clear" w:color="auto" w:fill="BFE4FF"/>
          </w:tcPr>
          <w:p>
            <w:pPr>
              <w:jc w:val="right"/>
              <w:ind w:right="346"/>
              <w:spacing w:after="0"/>
              <w:rPr>
                <w:sz w:val="20"/>
                <w:szCs w:val="20"/>
                <w:color w:val="auto"/>
              </w:rPr>
            </w:pPr>
            <w:r>
              <w:rPr>
                <w:rFonts w:ascii="Arial" w:cs="Arial" w:eastAsia="Arial" w:hAnsi="Arial"/>
                <w:sz w:val="11"/>
                <w:szCs w:val="11"/>
                <w:b w:val="1"/>
                <w:bCs w:val="1"/>
                <w:color w:val="auto"/>
              </w:rPr>
              <w:t>75%</w:t>
            </w:r>
          </w:p>
        </w:tc>
        <w:tc>
          <w:tcPr>
            <w:tcW w:w="102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100%</w:t>
            </w:r>
          </w:p>
        </w:tc>
        <w:tc>
          <w:tcPr>
            <w:tcW w:w="1000" w:type="dxa"/>
            <w:vAlign w:val="bottom"/>
            <w:tcBorders>
              <w:bottom w:val="single" w:sz="8" w:color="auto"/>
              <w:right w:val="single" w:sz="8" w:color="auto"/>
            </w:tcBorders>
            <w:gridSpan w:val="2"/>
            <w:shd w:val="clear" w:color="auto" w:fill="BFE4FF"/>
          </w:tcPr>
          <w:p>
            <w:pPr>
              <w:jc w:val="right"/>
              <w:ind w:right="326"/>
              <w:spacing w:after="0"/>
              <w:rPr>
                <w:sz w:val="20"/>
                <w:szCs w:val="20"/>
                <w:color w:val="auto"/>
              </w:rPr>
            </w:pPr>
            <w:r>
              <w:rPr>
                <w:rFonts w:ascii="Arial" w:cs="Arial" w:eastAsia="Arial" w:hAnsi="Arial"/>
                <w:sz w:val="11"/>
                <w:szCs w:val="11"/>
                <w:b w:val="1"/>
                <w:bCs w:val="1"/>
                <w:color w:val="auto"/>
              </w:rPr>
              <w:t>125%</w:t>
            </w:r>
          </w:p>
        </w:tc>
        <w:tc>
          <w:tcPr>
            <w:tcW w:w="1020" w:type="dxa"/>
            <w:vAlign w:val="bottom"/>
            <w:tcBorders>
              <w:bottom w:val="single" w:sz="8" w:color="auto"/>
              <w:right w:val="single" w:sz="8" w:color="auto"/>
            </w:tcBorders>
            <w:gridSpan w:val="2"/>
            <w:shd w:val="clear" w:color="auto" w:fill="BFE4FF"/>
          </w:tcPr>
          <w:p>
            <w:pPr>
              <w:jc w:val="right"/>
              <w:ind w:right="346"/>
              <w:spacing w:after="0"/>
              <w:rPr>
                <w:sz w:val="20"/>
                <w:szCs w:val="20"/>
                <w:color w:val="auto"/>
              </w:rPr>
            </w:pPr>
            <w:r>
              <w:rPr>
                <w:rFonts w:ascii="Arial" w:cs="Arial" w:eastAsia="Arial" w:hAnsi="Arial"/>
                <w:sz w:val="11"/>
                <w:szCs w:val="11"/>
                <w:b w:val="1"/>
                <w:bCs w:val="1"/>
                <w:color w:val="auto"/>
              </w:rPr>
              <w:t>150%</w:t>
            </w:r>
          </w:p>
        </w:tc>
        <w:tc>
          <w:tcPr>
            <w:tcW w:w="700" w:type="dxa"/>
            <w:vAlign w:val="bottom"/>
            <w:tcBorders>
              <w:bottom w:val="single" w:sz="8" w:color="auto"/>
              <w:right w:val="single" w:sz="8" w:color="auto"/>
            </w:tcBorders>
            <w:shd w:val="clear" w:color="auto" w:fill="BFE4FF"/>
          </w:tcPr>
          <w:p>
            <w:pPr>
              <w:jc w:val="center"/>
              <w:ind w:right="6"/>
              <w:spacing w:after="0"/>
              <w:rPr>
                <w:sz w:val="20"/>
                <w:szCs w:val="20"/>
                <w:color w:val="auto"/>
              </w:rPr>
            </w:pPr>
            <w:r>
              <w:rPr>
                <w:rFonts w:ascii="Arial" w:cs="Arial" w:eastAsia="Arial" w:hAnsi="Arial"/>
                <w:sz w:val="11"/>
                <w:szCs w:val="11"/>
                <w:b w:val="1"/>
                <w:bCs w:val="1"/>
                <w:color w:val="auto"/>
                <w:w w:val="99"/>
              </w:rPr>
              <w:t>175%</w:t>
            </w:r>
          </w:p>
        </w:tc>
        <w:tc>
          <w:tcPr>
            <w:tcW w:w="0" w:type="dxa"/>
            <w:vAlign w:val="bottom"/>
          </w:tcPr>
          <w:p>
            <w:pPr>
              <w:spacing w:after="0"/>
              <w:rPr>
                <w:sz w:val="1"/>
                <w:szCs w:val="1"/>
                <w:color w:val="auto"/>
              </w:rPr>
            </w:pPr>
          </w:p>
        </w:tc>
      </w:tr>
      <w:tr>
        <w:trPr>
          <w:trHeight w:val="225"/>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Stock Price</w:t>
            </w:r>
          </w:p>
        </w:tc>
        <w:tc>
          <w:tcPr>
            <w:tcW w:w="7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&lt;$246.99</w:t>
            </w:r>
          </w:p>
        </w:tc>
        <w:tc>
          <w:tcPr>
            <w:tcW w:w="1020" w:type="dxa"/>
            <w:vAlign w:val="bottom"/>
            <w:tcBorders>
              <w:bottom w:val="single" w:sz="8" w:color="auto"/>
              <w:right w:val="single" w:sz="8" w:color="auto"/>
            </w:tcBorders>
            <w:shd w:val="clear" w:color="auto" w:fill="BFE4FF"/>
          </w:tcPr>
          <w:p>
            <w:pPr>
              <w:jc w:val="right"/>
              <w:ind w:right="46"/>
              <w:spacing w:after="0"/>
              <w:rPr>
                <w:sz w:val="20"/>
                <w:szCs w:val="20"/>
                <w:color w:val="auto"/>
              </w:rPr>
            </w:pPr>
            <w:r>
              <w:rPr>
                <w:rFonts w:ascii="Arial" w:cs="Arial" w:eastAsia="Arial" w:hAnsi="Arial"/>
                <w:sz w:val="11"/>
                <w:szCs w:val="11"/>
                <w:b w:val="1"/>
                <w:bCs w:val="1"/>
                <w:color w:val="auto"/>
              </w:rPr>
              <w:t>$246.99- $280.85</w:t>
            </w:r>
          </w:p>
        </w:tc>
        <w:tc>
          <w:tcPr>
            <w:tcW w:w="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b w:val="1"/>
                <w:bCs w:val="1"/>
                <w:color w:val="auto"/>
              </w:rPr>
              <w:t>$280.86</w:t>
            </w:r>
          </w:p>
        </w:tc>
        <w:tc>
          <w:tcPr>
            <w:tcW w:w="54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rPr>
              <w:t>- $314.71</w:t>
            </w:r>
          </w:p>
        </w:tc>
        <w:tc>
          <w:tcPr>
            <w:tcW w:w="102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8"/>
              </w:rPr>
              <w:t>$314.72 - $348.58</w:t>
            </w:r>
          </w:p>
        </w:tc>
        <w:tc>
          <w:tcPr>
            <w:tcW w:w="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b w:val="1"/>
                <w:bCs w:val="1"/>
                <w:color w:val="auto"/>
              </w:rPr>
              <w:t>$348.59</w:t>
            </w:r>
          </w:p>
        </w:tc>
        <w:tc>
          <w:tcPr>
            <w:tcW w:w="56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rPr>
              <w:t>- $382.45</w:t>
            </w:r>
          </w:p>
        </w:tc>
        <w:tc>
          <w:tcPr>
            <w:tcW w:w="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b w:val="1"/>
                <w:bCs w:val="1"/>
                <w:color w:val="auto"/>
              </w:rPr>
              <w:t>$382.46</w:t>
            </w:r>
          </w:p>
        </w:tc>
        <w:tc>
          <w:tcPr>
            <w:tcW w:w="56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rPr>
              <w:t>- $416.32</w:t>
            </w:r>
          </w:p>
        </w:tc>
        <w:tc>
          <w:tcPr>
            <w:tcW w:w="70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&gt;$416.32</w:t>
            </w:r>
          </w:p>
        </w:tc>
        <w:tc>
          <w:tcPr>
            <w:tcW w:w="0" w:type="dxa"/>
            <w:vAlign w:val="bottom"/>
          </w:tcPr>
          <w:p>
            <w:pPr>
              <w:spacing w:after="0"/>
              <w:rPr>
                <w:sz w:val="1"/>
                <w:szCs w:val="1"/>
                <w:color w:val="auto"/>
              </w:rPr>
            </w:pPr>
          </w:p>
        </w:tc>
      </w:tr>
      <w:tr>
        <w:trPr>
          <w:trHeight w:val="162"/>
        </w:trPr>
        <w:tc>
          <w:tcPr>
            <w:tcW w:w="14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Compound Annual</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&lt;-1.8%</w:t>
            </w:r>
          </w:p>
        </w:tc>
        <w:tc>
          <w:tcPr>
            <w:tcW w:w="1020" w:type="dxa"/>
            <w:vAlign w:val="bottom"/>
            <w:tcBorders>
              <w:right w:val="single" w:sz="8" w:color="auto"/>
            </w:tcBorders>
            <w:vMerge w:val="restart"/>
          </w:tcPr>
          <w:p>
            <w:pPr>
              <w:jc w:val="right"/>
              <w:ind w:right="166"/>
              <w:spacing w:after="0"/>
              <w:rPr>
                <w:sz w:val="20"/>
                <w:szCs w:val="20"/>
                <w:color w:val="auto"/>
              </w:rPr>
            </w:pPr>
            <w:r>
              <w:rPr>
                <w:rFonts w:ascii="Arial" w:cs="Arial" w:eastAsia="Arial" w:hAnsi="Arial"/>
                <w:sz w:val="11"/>
                <w:szCs w:val="11"/>
                <w:color w:val="auto"/>
              </w:rPr>
              <w:t>-1.8%-2.5%</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2.5%</w:t>
            </w:r>
          </w:p>
        </w:tc>
        <w:tc>
          <w:tcPr>
            <w:tcW w:w="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- 6.5%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6.5% - 10.2%</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10.2%</w:t>
            </w:r>
          </w:p>
        </w:tc>
        <w:tc>
          <w:tcPr>
            <w:tcW w:w="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- 13.6%</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13.6%</w:t>
            </w:r>
          </w:p>
        </w:tc>
        <w:tc>
          <w:tcPr>
            <w:tcW w:w="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- 16.9%</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&gt;16.9%</w:t>
            </w:r>
          </w:p>
        </w:tc>
        <w:tc>
          <w:tcPr>
            <w:tcW w:w="0" w:type="dxa"/>
            <w:vAlign w:val="bottom"/>
          </w:tcPr>
          <w:p>
            <w:pPr>
              <w:spacing w:after="0"/>
              <w:rPr>
                <w:sz w:val="1"/>
                <w:szCs w:val="1"/>
                <w:color w:val="auto"/>
              </w:rPr>
            </w:pPr>
          </w:p>
        </w:tc>
      </w:tr>
      <w:tr>
        <w:trPr>
          <w:trHeight w:val="65"/>
        </w:trPr>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Stock Price Growth</w:t>
            </w:r>
          </w:p>
        </w:tc>
        <w:tc>
          <w:tcPr>
            <w:tcW w:w="7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40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D52B1E"/>
        </w:rPr>
        <w:t>Relative Value Award</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relative value award is based on the three-year Lilly TSR performance compared to our peer group. To determine payout, the TSR performance is calculated for Lilly and its peers. This calculation compares the average closing price of each company’s stock for all trading days in November and December 2021 to the average closing price of each company’s stock for all trading days in November and December 2024, assuming reinvestment of dividends, to obtain the TSR for each company. The median TSR for the peer companies is then subtracted from Lilly’s TSR to determine what payout has been earned. For example, if Lilly’s TSR was 55 percent over the three-year performance period and the median peer company performance was 41 percent, Lilly would have outperformed by 14 percentage points (55 percent - 41 percent). This outperformance would have resulted in a 130 percent payout based on the payout ranges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4984750" cy="220281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498475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Compensation Results</w:t>
      </w:r>
    </w:p>
    <w:p>
      <w:pPr>
        <w:spacing w:after="0" w:line="6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information in this section reflects the amounts paid to named executive officers under the Bonus Plan and for equity awards granted in prior years for which the relevant performance period ended in 2022.</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Performance</w:t>
      </w:r>
    </w:p>
    <w:p>
      <w:pPr>
        <w:spacing w:after="0" w:line="15"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In 2022, the company exceeded our revenue target and nearly achieved our EPS target. We also made significant pipeline advances. Key pipeline progression highlights include:</w:t>
      </w:r>
    </w:p>
    <w:p>
      <w:pPr>
        <w:spacing w:after="0" w:line="114" w:lineRule="exact"/>
        <w:rPr>
          <w:sz w:val="20"/>
          <w:szCs w:val="20"/>
          <w:color w:val="auto"/>
        </w:rPr>
      </w:pPr>
    </w:p>
    <w:p>
      <w:pPr>
        <w:ind w:left="540" w:hanging="266"/>
        <w:spacing w:after="0"/>
        <w:tabs>
          <w:tab w:leader="none" w:pos="54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U.S. approval of Mounjaro (tirzepatide), the first and only GIP and GLP-1 receptor agonist, for the treatment of adults with type 2 diabetes</w:t>
      </w:r>
    </w:p>
    <w:p>
      <w:pPr>
        <w:spacing w:after="0" w:line="143" w:lineRule="exact"/>
        <w:rPr>
          <w:rFonts w:ascii="Arial" w:cs="Arial" w:eastAsia="Arial" w:hAnsi="Arial"/>
          <w:sz w:val="14"/>
          <w:szCs w:val="14"/>
          <w:color w:val="auto"/>
        </w:rPr>
      </w:pPr>
    </w:p>
    <w:p>
      <w:pPr>
        <w:ind w:left="560" w:right="52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Positive results from tirzepatide’s Phase III SURMOUNT-1 study evaluating the efficacy and safety of tirzepatide compared to placebo in adults with obesity, or overweight with at least one comorbidity who do not have diabetes</w:t>
      </w:r>
    </w:p>
    <w:p>
      <w:pPr>
        <w:spacing w:after="0" w:line="98" w:lineRule="exact"/>
        <w:rPr>
          <w:rFonts w:ascii="Arial" w:cs="Arial" w:eastAsia="Arial" w:hAnsi="Arial"/>
          <w:sz w:val="14"/>
          <w:szCs w:val="14"/>
          <w:color w:val="auto"/>
        </w:rPr>
      </w:pPr>
    </w:p>
    <w:p>
      <w:pPr>
        <w:ind w:left="560" w:right="40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In collaboration with Incyte Corporation, U.S. approval of Olumiant (baricitinib) as a first-in-disease systemic treatment for adults with severe alopecia areata</w:t>
      </w:r>
    </w:p>
    <w:p>
      <w:pPr>
        <w:spacing w:after="0" w:line="98" w:lineRule="exact"/>
        <w:rPr>
          <w:rFonts w:ascii="Arial" w:cs="Arial" w:eastAsia="Arial" w:hAnsi="Arial"/>
          <w:sz w:val="14"/>
          <w:szCs w:val="14"/>
          <w:color w:val="auto"/>
        </w:rPr>
      </w:pPr>
    </w:p>
    <w:p>
      <w:pPr>
        <w:ind w:left="560" w:right="2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In collaboration with Boehringer Ingelheim, U.S. approval of a new indication for Jardiance (empagliflozin) to treat adults with heart failure regardless of left ventricular ejection fraction</w:t>
      </w:r>
    </w:p>
    <w:p>
      <w:pPr>
        <w:spacing w:after="0" w:line="98" w:lineRule="exact"/>
        <w:rPr>
          <w:rFonts w:ascii="Arial" w:cs="Arial" w:eastAsia="Arial" w:hAnsi="Arial"/>
          <w:sz w:val="14"/>
          <w:szCs w:val="14"/>
          <w:color w:val="auto"/>
        </w:rPr>
      </w:pPr>
    </w:p>
    <w:p>
      <w:pPr>
        <w:ind w:left="560" w:right="30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U.S. Emergency Use Authorization of bebtelovimab for certain non-hospitalized patients with mild-to-moderate COVID-19 at high risk of progression to severe disease</w:t>
      </w:r>
    </w:p>
    <w:p>
      <w:pPr>
        <w:spacing w:after="0" w:line="98" w:lineRule="exact"/>
        <w:rPr>
          <w:rFonts w:ascii="Arial" w:cs="Arial" w:eastAsia="Arial" w:hAnsi="Arial"/>
          <w:sz w:val="14"/>
          <w:szCs w:val="14"/>
          <w:color w:val="auto"/>
        </w:rPr>
      </w:pPr>
    </w:p>
    <w:p>
      <w:pPr>
        <w:ind w:left="560" w:right="44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U.S. approval of Retevmo (selpercatinib), the first and only RET inhibitor for adults with advanced or metastatic solid tumors with a RET gene fusion, regardless of type</w:t>
      </w:r>
    </w:p>
    <w:p>
      <w:pPr>
        <w:spacing w:after="0" w:line="98" w:lineRule="exact"/>
        <w:rPr>
          <w:rFonts w:ascii="Arial" w:cs="Arial" w:eastAsia="Arial" w:hAnsi="Arial"/>
          <w:sz w:val="14"/>
          <w:szCs w:val="14"/>
          <w:color w:val="auto"/>
        </w:rPr>
      </w:pPr>
    </w:p>
    <w:p>
      <w:pPr>
        <w:ind w:left="560" w:right="120" w:hanging="286"/>
        <w:spacing w:after="0" w:line="271" w:lineRule="auto"/>
        <w:tabs>
          <w:tab w:leader="none" w:pos="55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Positive results from two studies of lebrikizumab’s Phase III program evaluating the efficacy and safety of lebrikizumab in people with moderate-to-severe atopic dermatitis through one year of treatment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66" w:name="page67"/>
    <w:bookmarkEnd w:id="66"/>
    <w:p>
      <w:pPr>
        <w:ind w:left="560" w:right="100" w:hanging="286"/>
        <w:spacing w:after="0" w:line="257" w:lineRule="auto"/>
        <w:tabs>
          <w:tab w:leader="none" w:pos="550" w:val="left"/>
        </w:tabs>
        <w:numPr>
          <w:ilvl w:val="0"/>
          <w:numId w:val="137"/>
        </w:numPr>
        <w:rPr>
          <w:rFonts w:ascii="Arial" w:cs="Arial" w:eastAsia="Arial" w:hAnsi="Arial"/>
          <w:sz w:val="14"/>
          <w:szCs w:val="14"/>
          <w:color w:val="auto"/>
        </w:rPr>
      </w:pPr>
      <w:r>
        <w:rPr>
          <w:rFonts w:ascii="Arial" w:cs="Arial" w:eastAsia="Arial" w:hAnsi="Arial"/>
          <w:sz w:val="16"/>
          <w:szCs w:val="16"/>
          <w:color w:val="auto"/>
        </w:rPr>
        <w:t>Updated data for Verzenio (abemaciclib) from the monarchE Phase III study evaluating the efficacy and safety of Verzenio in combination with standard endocrine therapy for the treatment of hormone receptor-positive (HR+), human epidermal growth factor receptor 2-negative (HER2-), node-positive, high risk early breast cancer.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highlights, see “</w:t>
      </w:r>
      <w:r>
        <w:rPr>
          <w:rFonts w:ascii="Arial" w:cs="Arial" w:eastAsia="Arial" w:hAnsi="Arial"/>
          <w:sz w:val="16"/>
          <w:szCs w:val="16"/>
          <w:u w:val="single" w:color="auto"/>
          <w:color w:val="0000FF"/>
        </w:rPr>
        <w:t>Proxy Statement Summary—Highlights of 2022 Performance</w:t>
      </w:r>
      <w:r>
        <w:rPr>
          <w:rFonts w:ascii="Arial" w:cs="Arial" w:eastAsia="Arial" w:hAnsi="Arial"/>
          <w:sz w:val="16"/>
          <w:szCs w:val="16"/>
          <w:color w:val="auto"/>
        </w:rPr>
        <w:t>.”</w:t>
      </w:r>
    </w:p>
    <w:p>
      <w:pPr>
        <w:spacing w:after="0" w:line="143"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By the end of 2022, Lilly exceeded its two-year EPS growth target for the performance award, our three-year stock price growth target for the shareholder value award and the median total shareholder return of our peer companies for the relative value award. The discussion below details the measures used in each program, what the performance goal was to obtain target performance, how performance outcomes were assessed and what the Talent and Compensation Committee approved as the final payout multiple.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Bonus Plan</w:t>
      </w:r>
    </w:p>
    <w:p>
      <w:pPr>
        <w:spacing w:after="0" w:line="1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company utilized revenue, EPS, and pipeline progress to incent the achievement of 2022 company objectives. Each measure contributes to the final payout multiple on a weighted basis: revenue (25 percent), EPS (50 percent), and pipeline progress (25 percent). Each performance measure is assessed a payout multiple of 0 to 200 percent.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Science and Technology Committee’s assessment of the company’s product pipeline achievements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4984750" cy="76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2"/>
                <w:szCs w:val="12"/>
                <w:b w:val="1"/>
                <w:bCs w:val="1"/>
                <w:color w:val="auto"/>
              </w:rPr>
              <w:t>Activity</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Objective</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Achievement</w:t>
            </w:r>
          </w:p>
        </w:tc>
        <w:tc>
          <w:tcPr>
            <w:tcW w:w="0" w:type="dxa"/>
            <w:vAlign w:val="bottom"/>
          </w:tcPr>
          <w:p>
            <w:pPr>
              <w:spacing w:after="0"/>
              <w:rPr>
                <w:sz w:val="1"/>
                <w:szCs w:val="1"/>
                <w:color w:val="auto"/>
              </w:rPr>
            </w:pPr>
          </w:p>
        </w:tc>
      </w:tr>
      <w:tr>
        <w:trPr>
          <w:trHeight w:val="165"/>
        </w:trPr>
        <w:tc>
          <w:tcPr>
            <w:tcW w:w="3420" w:type="dxa"/>
            <w:vAlign w:val="bottom"/>
            <w:vMerge w:val="restart"/>
          </w:tcPr>
          <w:p>
            <w:pPr>
              <w:spacing w:after="0"/>
              <w:rPr>
                <w:sz w:val="20"/>
                <w:szCs w:val="20"/>
                <w:color w:val="auto"/>
              </w:rPr>
            </w:pPr>
            <w:r>
              <w:rPr>
                <w:rFonts w:ascii="Arial" w:cs="Arial" w:eastAsia="Arial" w:hAnsi="Arial"/>
                <w:sz w:val="12"/>
                <w:szCs w:val="12"/>
                <w:color w:val="auto"/>
              </w:rPr>
              <w:t>Approvals</w:t>
            </w:r>
          </w:p>
        </w:tc>
        <w:tc>
          <w:tcPr>
            <w:tcW w:w="2200" w:type="dxa"/>
            <w:vAlign w:val="bottom"/>
          </w:tcPr>
          <w:p>
            <w:pPr>
              <w:jc w:val="center"/>
              <w:spacing w:after="0"/>
              <w:rPr>
                <w:sz w:val="20"/>
                <w:szCs w:val="20"/>
                <w:color w:val="auto"/>
              </w:rPr>
            </w:pPr>
            <w:r>
              <w:rPr>
                <w:rFonts w:ascii="Arial" w:cs="Arial" w:eastAsia="Arial" w:hAnsi="Arial"/>
                <w:sz w:val="12"/>
                <w:szCs w:val="12"/>
                <w:color w:val="auto"/>
              </w:rPr>
              <w:t>1 new drug first approval</w:t>
            </w:r>
          </w:p>
        </w:tc>
        <w:tc>
          <w:tcPr>
            <w:tcW w:w="2220" w:type="dxa"/>
            <w:vAlign w:val="bottom"/>
          </w:tcPr>
          <w:p>
            <w:pPr>
              <w:jc w:val="center"/>
              <w:spacing w:after="0"/>
              <w:rPr>
                <w:sz w:val="20"/>
                <w:szCs w:val="20"/>
                <w:color w:val="auto"/>
              </w:rPr>
            </w:pPr>
            <w:r>
              <w:rPr>
                <w:rFonts w:ascii="Arial" w:cs="Arial" w:eastAsia="Arial" w:hAnsi="Arial"/>
                <w:sz w:val="12"/>
                <w:szCs w:val="12"/>
                <w:color w:val="auto"/>
              </w:rPr>
              <w:t>1 new drug first approval</w:t>
            </w:r>
          </w:p>
        </w:tc>
        <w:tc>
          <w:tcPr>
            <w:tcW w:w="0" w:type="dxa"/>
            <w:vAlign w:val="bottom"/>
          </w:tcPr>
          <w:p>
            <w:pPr>
              <w:spacing w:after="0"/>
              <w:rPr>
                <w:sz w:val="1"/>
                <w:szCs w:val="1"/>
                <w:color w:val="auto"/>
              </w:rPr>
            </w:pPr>
          </w:p>
        </w:tc>
      </w:tr>
      <w:tr>
        <w:trPr>
          <w:trHeight w:val="95"/>
        </w:trPr>
        <w:tc>
          <w:tcPr>
            <w:tcW w:w="3420" w:type="dxa"/>
            <w:vAlign w:val="bottom"/>
            <w:vMerge w:val="continue"/>
          </w:tcPr>
          <w:p>
            <w:pPr>
              <w:spacing w:after="0"/>
              <w:rPr>
                <w:sz w:val="8"/>
                <w:szCs w:val="8"/>
                <w:color w:val="auto"/>
              </w:rPr>
            </w:pPr>
          </w:p>
        </w:tc>
        <w:tc>
          <w:tcPr>
            <w:tcW w:w="2200" w:type="dxa"/>
            <w:vAlign w:val="bottom"/>
            <w:vMerge w:val="restart"/>
          </w:tcPr>
          <w:p>
            <w:pPr>
              <w:jc w:val="center"/>
              <w:spacing w:after="0"/>
              <w:rPr>
                <w:sz w:val="20"/>
                <w:szCs w:val="20"/>
                <w:color w:val="auto"/>
              </w:rPr>
            </w:pPr>
            <w:r>
              <w:rPr>
                <w:rFonts w:ascii="Arial" w:cs="Arial" w:eastAsia="Arial" w:hAnsi="Arial"/>
                <w:sz w:val="12"/>
                <w:szCs w:val="12"/>
                <w:color w:val="auto"/>
              </w:rPr>
              <w:t>&gt;18 other approvals</w:t>
            </w:r>
          </w:p>
        </w:tc>
        <w:tc>
          <w:tcPr>
            <w:tcW w:w="2220" w:type="dxa"/>
            <w:vAlign w:val="bottom"/>
            <w:vMerge w:val="restart"/>
          </w:tcPr>
          <w:p>
            <w:pPr>
              <w:jc w:val="center"/>
              <w:spacing w:after="0"/>
              <w:rPr>
                <w:sz w:val="20"/>
                <w:szCs w:val="20"/>
                <w:color w:val="auto"/>
              </w:rPr>
            </w:pPr>
            <w:r>
              <w:rPr>
                <w:rFonts w:ascii="Arial" w:cs="Arial" w:eastAsia="Arial" w:hAnsi="Arial"/>
                <w:sz w:val="12"/>
                <w:szCs w:val="12"/>
                <w:color w:val="auto"/>
              </w:rPr>
              <w:t>30 other approvals</w:t>
            </w:r>
          </w:p>
        </w:tc>
        <w:tc>
          <w:tcPr>
            <w:tcW w:w="0" w:type="dxa"/>
            <w:vAlign w:val="bottom"/>
          </w:tcPr>
          <w:p>
            <w:pPr>
              <w:spacing w:after="0"/>
              <w:rPr>
                <w:sz w:val="1"/>
                <w:szCs w:val="1"/>
                <w:color w:val="auto"/>
              </w:rPr>
            </w:pPr>
          </w:p>
        </w:tc>
      </w:tr>
      <w:tr>
        <w:trPr>
          <w:trHeight w:val="70"/>
        </w:trPr>
        <w:tc>
          <w:tcPr>
            <w:tcW w:w="342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420" w:type="dxa"/>
            <w:vAlign w:val="bottom"/>
            <w:tcBorders>
              <w:bottom w:val="single" w:sz="8" w:color="C8C9CB"/>
            </w:tcBorders>
          </w:tcPr>
          <w:p>
            <w:pPr>
              <w:spacing w:after="0"/>
              <w:rPr>
                <w:sz w:val="2"/>
                <w:szCs w:val="2"/>
                <w:color w:val="auto"/>
              </w:rPr>
            </w:pPr>
          </w:p>
        </w:tc>
        <w:tc>
          <w:tcPr>
            <w:tcW w:w="2200" w:type="dxa"/>
            <w:vAlign w:val="bottom"/>
            <w:tcBorders>
              <w:bottom w:val="single" w:sz="8" w:color="C8C9CB"/>
            </w:tcBorders>
          </w:tcPr>
          <w:p>
            <w:pPr>
              <w:spacing w:after="0"/>
              <w:rPr>
                <w:sz w:val="2"/>
                <w:szCs w:val="2"/>
                <w:color w:val="auto"/>
              </w:rPr>
            </w:pPr>
          </w:p>
        </w:tc>
        <w:tc>
          <w:tcPr>
            <w:tcW w:w="2220" w:type="dxa"/>
            <w:vAlign w:val="bottom"/>
            <w:tcBorders>
              <w:bottom w:val="single" w:sz="8" w:color="C8C9CB"/>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420" w:type="dxa"/>
            <w:vAlign w:val="bottom"/>
            <w:shd w:val="clear" w:color="auto" w:fill="E6E6E6"/>
          </w:tcPr>
          <w:p>
            <w:pPr>
              <w:spacing w:after="0"/>
              <w:rPr>
                <w:sz w:val="20"/>
                <w:szCs w:val="20"/>
                <w:color w:val="auto"/>
              </w:rPr>
            </w:pPr>
            <w:r>
              <w:rPr>
                <w:rFonts w:ascii="Arial" w:cs="Arial" w:eastAsia="Arial" w:hAnsi="Arial"/>
                <w:sz w:val="12"/>
                <w:szCs w:val="12"/>
                <w:color w:val="auto"/>
              </w:rPr>
              <w:t>Potential new drug Phase III starts</w:t>
            </w:r>
          </w:p>
        </w:tc>
        <w:tc>
          <w:tcPr>
            <w:tcW w:w="2200" w:type="dxa"/>
            <w:vAlign w:val="bottom"/>
            <w:shd w:val="clear" w:color="auto" w:fill="E6E6E6"/>
          </w:tcPr>
          <w:p>
            <w:pPr>
              <w:jc w:val="center"/>
              <w:spacing w:after="0"/>
              <w:rPr>
                <w:sz w:val="20"/>
                <w:szCs w:val="20"/>
                <w:color w:val="auto"/>
              </w:rPr>
            </w:pPr>
            <w:r>
              <w:rPr>
                <w:rFonts w:ascii="Arial" w:cs="Arial" w:eastAsia="Arial" w:hAnsi="Arial"/>
                <w:sz w:val="12"/>
                <w:szCs w:val="12"/>
                <w:color w:val="auto"/>
                <w:w w:val="89"/>
              </w:rPr>
              <w:t>3</w:t>
            </w:r>
          </w:p>
        </w:tc>
        <w:tc>
          <w:tcPr>
            <w:tcW w:w="2220" w:type="dxa"/>
            <w:vAlign w:val="bottom"/>
            <w:shd w:val="clear" w:color="auto" w:fill="E6E6E6"/>
          </w:tcPr>
          <w:p>
            <w:pPr>
              <w:jc w:val="center"/>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00"/>
        </w:trPr>
        <w:tc>
          <w:tcPr>
            <w:tcW w:w="3420" w:type="dxa"/>
            <w:vAlign w:val="bottom"/>
            <w:tcBorders>
              <w:bottom w:val="single" w:sz="8" w:color="C8C9CB"/>
            </w:tcBorders>
            <w:shd w:val="clear" w:color="auto" w:fill="E6E6E6"/>
          </w:tcPr>
          <w:p>
            <w:pPr>
              <w:spacing w:after="0"/>
              <w:rPr>
                <w:sz w:val="8"/>
                <w:szCs w:val="8"/>
                <w:color w:val="auto"/>
              </w:rPr>
            </w:pPr>
          </w:p>
        </w:tc>
        <w:tc>
          <w:tcPr>
            <w:tcW w:w="2200" w:type="dxa"/>
            <w:vAlign w:val="bottom"/>
            <w:tcBorders>
              <w:bottom w:val="single" w:sz="8" w:color="C8C9CB"/>
            </w:tcBorders>
            <w:shd w:val="clear" w:color="auto" w:fill="E6E6E6"/>
          </w:tcPr>
          <w:p>
            <w:pPr>
              <w:spacing w:after="0"/>
              <w:rPr>
                <w:sz w:val="8"/>
                <w:szCs w:val="8"/>
                <w:color w:val="auto"/>
              </w:rPr>
            </w:pPr>
          </w:p>
        </w:tc>
        <w:tc>
          <w:tcPr>
            <w:tcW w:w="2220" w:type="dxa"/>
            <w:vAlign w:val="bottom"/>
            <w:tcBorders>
              <w:bottom w:val="single" w:sz="8" w:color="C8C9CB"/>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0"/>
                <w:szCs w:val="20"/>
                <w:color w:val="auto"/>
              </w:rPr>
            </w:pPr>
            <w:r>
              <w:rPr>
                <w:rFonts w:ascii="Arial" w:cs="Arial" w:eastAsia="Arial" w:hAnsi="Arial"/>
                <w:sz w:val="12"/>
                <w:szCs w:val="12"/>
                <w:color w:val="auto"/>
              </w:rPr>
              <w:t>Potential new drug Phase I starts</w:t>
            </w:r>
          </w:p>
        </w:tc>
        <w:tc>
          <w:tcPr>
            <w:tcW w:w="2200" w:type="dxa"/>
            <w:vAlign w:val="bottom"/>
          </w:tcPr>
          <w:p>
            <w:pPr>
              <w:jc w:val="center"/>
              <w:spacing w:after="0"/>
              <w:rPr>
                <w:sz w:val="20"/>
                <w:szCs w:val="20"/>
                <w:color w:val="auto"/>
              </w:rPr>
            </w:pPr>
            <w:r>
              <w:rPr>
                <w:rFonts w:ascii="Arial" w:cs="Arial" w:eastAsia="Arial" w:hAnsi="Arial"/>
                <w:sz w:val="12"/>
                <w:szCs w:val="12"/>
                <w:color w:val="auto"/>
              </w:rPr>
              <w:t>16-17</w:t>
            </w:r>
          </w:p>
        </w:tc>
        <w:tc>
          <w:tcPr>
            <w:tcW w:w="2220" w:type="dxa"/>
            <w:vAlign w:val="bottom"/>
          </w:tcPr>
          <w:p>
            <w:pPr>
              <w:jc w:val="center"/>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00"/>
        </w:trPr>
        <w:tc>
          <w:tcPr>
            <w:tcW w:w="3420" w:type="dxa"/>
            <w:vAlign w:val="bottom"/>
            <w:tcBorders>
              <w:bottom w:val="single" w:sz="8" w:color="C8C9CB"/>
            </w:tcBorders>
          </w:tcPr>
          <w:p>
            <w:pPr>
              <w:spacing w:after="0"/>
              <w:rPr>
                <w:sz w:val="8"/>
                <w:szCs w:val="8"/>
                <w:color w:val="auto"/>
              </w:rPr>
            </w:pPr>
          </w:p>
        </w:tc>
        <w:tc>
          <w:tcPr>
            <w:tcW w:w="2200" w:type="dxa"/>
            <w:vAlign w:val="bottom"/>
            <w:tcBorders>
              <w:bottom w:val="single" w:sz="8" w:color="C8C9CB"/>
            </w:tcBorders>
          </w:tcPr>
          <w:p>
            <w:pPr>
              <w:spacing w:after="0"/>
              <w:rPr>
                <w:sz w:val="8"/>
                <w:szCs w:val="8"/>
                <w:color w:val="auto"/>
              </w:rPr>
            </w:pPr>
          </w:p>
        </w:tc>
        <w:tc>
          <w:tcPr>
            <w:tcW w:w="2220" w:type="dxa"/>
            <w:vAlign w:val="bottom"/>
            <w:tcBorders>
              <w:bottom w:val="single" w:sz="8" w:color="C8C9CB"/>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3420" w:type="dxa"/>
            <w:vAlign w:val="bottom"/>
            <w:shd w:val="clear" w:color="auto" w:fill="E6E6E6"/>
          </w:tcPr>
          <w:p>
            <w:pPr>
              <w:spacing w:after="0"/>
              <w:rPr>
                <w:sz w:val="20"/>
                <w:szCs w:val="20"/>
                <w:color w:val="auto"/>
              </w:rPr>
            </w:pPr>
            <w:r>
              <w:rPr>
                <w:rFonts w:ascii="Arial" w:cs="Arial" w:eastAsia="Arial" w:hAnsi="Arial"/>
                <w:sz w:val="12"/>
                <w:szCs w:val="12"/>
                <w:color w:val="auto"/>
              </w:rPr>
              <w:t>Potential new indication or line extension Phase III starts</w:t>
            </w:r>
          </w:p>
        </w:tc>
        <w:tc>
          <w:tcPr>
            <w:tcW w:w="2200" w:type="dxa"/>
            <w:vAlign w:val="bottom"/>
            <w:shd w:val="clear" w:color="auto" w:fill="E6E6E6"/>
          </w:tcPr>
          <w:p>
            <w:pPr>
              <w:jc w:val="center"/>
              <w:spacing w:after="0"/>
              <w:rPr>
                <w:sz w:val="20"/>
                <w:szCs w:val="20"/>
                <w:color w:val="auto"/>
              </w:rPr>
            </w:pPr>
            <w:r>
              <w:rPr>
                <w:rFonts w:ascii="Arial" w:cs="Arial" w:eastAsia="Arial" w:hAnsi="Arial"/>
                <w:sz w:val="12"/>
                <w:szCs w:val="12"/>
                <w:color w:val="auto"/>
                <w:w w:val="89"/>
              </w:rPr>
              <w:t>5</w:t>
            </w:r>
          </w:p>
        </w:tc>
        <w:tc>
          <w:tcPr>
            <w:tcW w:w="2220" w:type="dxa"/>
            <w:vAlign w:val="bottom"/>
            <w:shd w:val="clear" w:color="auto" w:fill="E6E6E6"/>
          </w:tcPr>
          <w:p>
            <w:pPr>
              <w:jc w:val="center"/>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00"/>
        </w:trPr>
        <w:tc>
          <w:tcPr>
            <w:tcW w:w="3420" w:type="dxa"/>
            <w:vAlign w:val="bottom"/>
            <w:tcBorders>
              <w:bottom w:val="single" w:sz="8" w:color="C8C9CB"/>
            </w:tcBorders>
            <w:shd w:val="clear" w:color="auto" w:fill="E6E6E6"/>
          </w:tcPr>
          <w:p>
            <w:pPr>
              <w:spacing w:after="0"/>
              <w:rPr>
                <w:sz w:val="8"/>
                <w:szCs w:val="8"/>
                <w:color w:val="auto"/>
              </w:rPr>
            </w:pPr>
          </w:p>
        </w:tc>
        <w:tc>
          <w:tcPr>
            <w:tcW w:w="4420" w:type="dxa"/>
            <w:vAlign w:val="bottom"/>
            <w:tcBorders>
              <w:bottom w:val="single" w:sz="8" w:color="C8C9CB"/>
            </w:tcBorders>
            <w:gridSpan w:val="2"/>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3420" w:type="dxa"/>
            <w:vAlign w:val="bottom"/>
            <w:vMerge w:val="restart"/>
          </w:tcPr>
          <w:p>
            <w:pPr>
              <w:spacing w:after="0"/>
              <w:rPr>
                <w:sz w:val="20"/>
                <w:szCs w:val="20"/>
                <w:color w:val="auto"/>
              </w:rPr>
            </w:pPr>
            <w:r>
              <w:rPr>
                <w:rFonts w:ascii="Arial" w:cs="Arial" w:eastAsia="Arial" w:hAnsi="Arial"/>
                <w:sz w:val="12"/>
                <w:szCs w:val="12"/>
                <w:color w:val="auto"/>
              </w:rPr>
              <w:t>Plan Boldly</w:t>
            </w:r>
          </w:p>
        </w:tc>
        <w:tc>
          <w:tcPr>
            <w:tcW w:w="4420" w:type="dxa"/>
            <w:vAlign w:val="bottom"/>
            <w:gridSpan w:val="2"/>
          </w:tcPr>
          <w:p>
            <w:pPr>
              <w:jc w:val="center"/>
              <w:spacing w:after="0"/>
              <w:rPr>
                <w:sz w:val="20"/>
                <w:szCs w:val="20"/>
                <w:color w:val="auto"/>
              </w:rPr>
            </w:pPr>
            <w:r>
              <w:rPr>
                <w:rFonts w:ascii="Arial" w:cs="Arial" w:eastAsia="Arial" w:hAnsi="Arial"/>
                <w:sz w:val="12"/>
                <w:szCs w:val="12"/>
                <w:color w:val="auto"/>
              </w:rPr>
              <w:t>Meet industry benchmark for speed of Exceeded industry benchmark for speed</w:t>
            </w:r>
          </w:p>
        </w:tc>
        <w:tc>
          <w:tcPr>
            <w:tcW w:w="0" w:type="dxa"/>
            <w:vAlign w:val="bottom"/>
          </w:tcPr>
          <w:p>
            <w:pPr>
              <w:spacing w:after="0"/>
              <w:rPr>
                <w:sz w:val="1"/>
                <w:szCs w:val="1"/>
                <w:color w:val="auto"/>
              </w:rPr>
            </w:pPr>
          </w:p>
        </w:tc>
      </w:tr>
      <w:tr>
        <w:trPr>
          <w:trHeight w:val="95"/>
        </w:trPr>
        <w:tc>
          <w:tcPr>
            <w:tcW w:w="3420" w:type="dxa"/>
            <w:vAlign w:val="bottom"/>
            <w:vMerge w:val="continue"/>
          </w:tcPr>
          <w:p>
            <w:pPr>
              <w:spacing w:after="0"/>
              <w:rPr>
                <w:sz w:val="8"/>
                <w:szCs w:val="8"/>
                <w:color w:val="auto"/>
              </w:rPr>
            </w:pPr>
          </w:p>
        </w:tc>
        <w:tc>
          <w:tcPr>
            <w:tcW w:w="2200" w:type="dxa"/>
            <w:vAlign w:val="bottom"/>
            <w:vMerge w:val="restart"/>
          </w:tcPr>
          <w:p>
            <w:pPr>
              <w:jc w:val="center"/>
              <w:spacing w:after="0"/>
              <w:rPr>
                <w:sz w:val="20"/>
                <w:szCs w:val="20"/>
                <w:color w:val="auto"/>
              </w:rPr>
            </w:pPr>
            <w:r>
              <w:rPr>
                <w:rFonts w:ascii="Arial" w:cs="Arial" w:eastAsia="Arial" w:hAnsi="Arial"/>
                <w:sz w:val="12"/>
                <w:szCs w:val="12"/>
                <w:color w:val="auto"/>
              </w:rPr>
              <w:t>development</w:t>
            </w:r>
          </w:p>
        </w:tc>
        <w:tc>
          <w:tcPr>
            <w:tcW w:w="2220" w:type="dxa"/>
            <w:vAlign w:val="bottom"/>
            <w:vMerge w:val="restart"/>
          </w:tcPr>
          <w:p>
            <w:pPr>
              <w:jc w:val="center"/>
              <w:spacing w:after="0"/>
              <w:rPr>
                <w:sz w:val="20"/>
                <w:szCs w:val="20"/>
                <w:color w:val="auto"/>
              </w:rPr>
            </w:pPr>
            <w:r>
              <w:rPr>
                <w:rFonts w:ascii="Arial" w:cs="Arial" w:eastAsia="Arial" w:hAnsi="Arial"/>
                <w:sz w:val="12"/>
                <w:szCs w:val="12"/>
                <w:color w:val="auto"/>
              </w:rPr>
              <w:t>of development</w:t>
            </w:r>
          </w:p>
        </w:tc>
        <w:tc>
          <w:tcPr>
            <w:tcW w:w="0" w:type="dxa"/>
            <w:vAlign w:val="bottom"/>
          </w:tcPr>
          <w:p>
            <w:pPr>
              <w:spacing w:after="0"/>
              <w:rPr>
                <w:sz w:val="1"/>
                <w:szCs w:val="1"/>
                <w:color w:val="auto"/>
              </w:rPr>
            </w:pPr>
          </w:p>
        </w:tc>
      </w:tr>
      <w:tr>
        <w:trPr>
          <w:trHeight w:val="70"/>
        </w:trPr>
        <w:tc>
          <w:tcPr>
            <w:tcW w:w="342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420" w:type="dxa"/>
            <w:vAlign w:val="bottom"/>
            <w:tcBorders>
              <w:bottom w:val="single" w:sz="8" w:color="C8C9CB"/>
            </w:tcBorders>
          </w:tcPr>
          <w:p>
            <w:pPr>
              <w:spacing w:after="0"/>
              <w:rPr>
                <w:sz w:val="2"/>
                <w:szCs w:val="2"/>
                <w:color w:val="auto"/>
              </w:rPr>
            </w:pPr>
          </w:p>
        </w:tc>
        <w:tc>
          <w:tcPr>
            <w:tcW w:w="2200" w:type="dxa"/>
            <w:vAlign w:val="bottom"/>
            <w:tcBorders>
              <w:bottom w:val="single" w:sz="8" w:color="C8C9CB"/>
            </w:tcBorders>
          </w:tcPr>
          <w:p>
            <w:pPr>
              <w:spacing w:after="0"/>
              <w:rPr>
                <w:sz w:val="2"/>
                <w:szCs w:val="2"/>
                <w:color w:val="auto"/>
              </w:rPr>
            </w:pPr>
          </w:p>
        </w:tc>
        <w:tc>
          <w:tcPr>
            <w:tcW w:w="2220" w:type="dxa"/>
            <w:vAlign w:val="bottom"/>
            <w:tcBorders>
              <w:bottom w:val="single" w:sz="8" w:color="C8C9CB"/>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420" w:type="dxa"/>
            <w:vAlign w:val="bottom"/>
            <w:shd w:val="clear" w:color="auto" w:fill="E6E6E6"/>
          </w:tcPr>
          <w:p>
            <w:pPr>
              <w:spacing w:after="0"/>
              <w:rPr>
                <w:sz w:val="20"/>
                <w:szCs w:val="20"/>
                <w:color w:val="auto"/>
              </w:rPr>
            </w:pPr>
            <w:r>
              <w:rPr>
                <w:rFonts w:ascii="Arial" w:cs="Arial" w:eastAsia="Arial" w:hAnsi="Arial"/>
                <w:sz w:val="12"/>
                <w:szCs w:val="12"/>
                <w:color w:val="auto"/>
              </w:rPr>
              <w:t>Deliver to Launch</w:t>
            </w:r>
          </w:p>
        </w:tc>
        <w:tc>
          <w:tcPr>
            <w:tcW w:w="2200" w:type="dxa"/>
            <w:vAlign w:val="bottom"/>
            <w:shd w:val="clear" w:color="auto" w:fill="E6E6E6"/>
          </w:tcPr>
          <w:p>
            <w:pPr>
              <w:jc w:val="center"/>
              <w:spacing w:after="0"/>
              <w:rPr>
                <w:sz w:val="20"/>
                <w:szCs w:val="20"/>
                <w:color w:val="auto"/>
              </w:rPr>
            </w:pPr>
            <w:r>
              <w:rPr>
                <w:rFonts w:ascii="Arial" w:cs="Arial" w:eastAsia="Arial" w:hAnsi="Arial"/>
                <w:sz w:val="12"/>
                <w:szCs w:val="12"/>
                <w:color w:val="auto"/>
              </w:rPr>
              <w:t>Meet planned project timelines</w:t>
            </w:r>
          </w:p>
        </w:tc>
        <w:tc>
          <w:tcPr>
            <w:tcW w:w="2220" w:type="dxa"/>
            <w:vAlign w:val="bottom"/>
            <w:shd w:val="clear" w:color="auto" w:fill="E6E6E6"/>
          </w:tcPr>
          <w:p>
            <w:pPr>
              <w:jc w:val="center"/>
              <w:spacing w:after="0"/>
              <w:rPr>
                <w:sz w:val="20"/>
                <w:szCs w:val="20"/>
                <w:color w:val="auto"/>
              </w:rPr>
            </w:pPr>
            <w:r>
              <w:rPr>
                <w:rFonts w:ascii="Arial" w:cs="Arial" w:eastAsia="Arial" w:hAnsi="Arial"/>
                <w:sz w:val="12"/>
                <w:szCs w:val="12"/>
                <w:color w:val="auto"/>
              </w:rPr>
              <w:t>Met planned project timelines</w:t>
            </w:r>
          </w:p>
        </w:tc>
        <w:tc>
          <w:tcPr>
            <w:tcW w:w="0" w:type="dxa"/>
            <w:vAlign w:val="bottom"/>
          </w:tcPr>
          <w:p>
            <w:pPr>
              <w:spacing w:after="0"/>
              <w:rPr>
                <w:sz w:val="1"/>
                <w:szCs w:val="1"/>
                <w:color w:val="auto"/>
              </w:rPr>
            </w:pPr>
          </w:p>
        </w:tc>
      </w:tr>
      <w:tr>
        <w:trPr>
          <w:trHeight w:val="100"/>
        </w:trPr>
        <w:tc>
          <w:tcPr>
            <w:tcW w:w="3420" w:type="dxa"/>
            <w:vAlign w:val="bottom"/>
            <w:tcBorders>
              <w:bottom w:val="single" w:sz="8" w:color="C8C9CB"/>
            </w:tcBorders>
            <w:shd w:val="clear" w:color="auto" w:fill="E6E6E6"/>
          </w:tcPr>
          <w:p>
            <w:pPr>
              <w:spacing w:after="0"/>
              <w:rPr>
                <w:sz w:val="8"/>
                <w:szCs w:val="8"/>
                <w:color w:val="auto"/>
              </w:rPr>
            </w:pPr>
          </w:p>
        </w:tc>
        <w:tc>
          <w:tcPr>
            <w:tcW w:w="4420" w:type="dxa"/>
            <w:vAlign w:val="bottom"/>
            <w:tcBorders>
              <w:bottom w:val="single" w:sz="8" w:color="C8C9CB"/>
            </w:tcBorders>
            <w:gridSpan w:val="2"/>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3420" w:type="dxa"/>
            <w:vAlign w:val="bottom"/>
            <w:vMerge w:val="restart"/>
          </w:tcPr>
          <w:p>
            <w:pPr>
              <w:spacing w:after="0"/>
              <w:rPr>
                <w:sz w:val="20"/>
                <w:szCs w:val="20"/>
                <w:color w:val="auto"/>
              </w:rPr>
            </w:pPr>
            <w:r>
              <w:rPr>
                <w:rFonts w:ascii="Arial" w:cs="Arial" w:eastAsia="Arial" w:hAnsi="Arial"/>
                <w:sz w:val="12"/>
                <w:szCs w:val="12"/>
                <w:color w:val="auto"/>
              </w:rPr>
              <w:t>Qualitative Assessment</w:t>
            </w:r>
          </w:p>
        </w:tc>
        <w:tc>
          <w:tcPr>
            <w:tcW w:w="4420" w:type="dxa"/>
            <w:vAlign w:val="bottom"/>
            <w:gridSpan w:val="2"/>
          </w:tcPr>
          <w:p>
            <w:pPr>
              <w:jc w:val="center"/>
              <w:spacing w:after="0"/>
              <w:rPr>
                <w:sz w:val="20"/>
                <w:szCs w:val="20"/>
                <w:color w:val="auto"/>
              </w:rPr>
            </w:pPr>
            <w:r>
              <w:rPr>
                <w:rFonts w:ascii="Arial" w:cs="Arial" w:eastAsia="Arial" w:hAnsi="Arial"/>
                <w:sz w:val="12"/>
                <w:szCs w:val="12"/>
                <w:color w:val="auto"/>
              </w:rPr>
              <w:t>Assessment of the chief scientific and medical officer’s evaluation of</w:t>
            </w:r>
          </w:p>
        </w:tc>
        <w:tc>
          <w:tcPr>
            <w:tcW w:w="0" w:type="dxa"/>
            <w:vAlign w:val="bottom"/>
          </w:tcPr>
          <w:p>
            <w:pPr>
              <w:spacing w:after="0"/>
              <w:rPr>
                <w:sz w:val="1"/>
                <w:szCs w:val="1"/>
                <w:color w:val="auto"/>
              </w:rPr>
            </w:pPr>
          </w:p>
        </w:tc>
      </w:tr>
      <w:tr>
        <w:trPr>
          <w:trHeight w:val="95"/>
        </w:trPr>
        <w:tc>
          <w:tcPr>
            <w:tcW w:w="3420" w:type="dxa"/>
            <w:vAlign w:val="bottom"/>
            <w:vMerge w:val="continue"/>
          </w:tcPr>
          <w:p>
            <w:pPr>
              <w:spacing w:after="0"/>
              <w:rPr>
                <w:sz w:val="8"/>
                <w:szCs w:val="8"/>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12"/>
                <w:szCs w:val="12"/>
                <w:color w:val="auto"/>
              </w:rPr>
              <w:t>performance against strategic objectives</w:t>
            </w:r>
          </w:p>
        </w:tc>
        <w:tc>
          <w:tcPr>
            <w:tcW w:w="0" w:type="dxa"/>
            <w:vAlign w:val="bottom"/>
          </w:tcPr>
          <w:p>
            <w:pPr>
              <w:spacing w:after="0"/>
              <w:rPr>
                <w:sz w:val="1"/>
                <w:szCs w:val="1"/>
                <w:color w:val="auto"/>
              </w:rPr>
            </w:pPr>
          </w:p>
        </w:tc>
      </w:tr>
      <w:tr>
        <w:trPr>
          <w:trHeight w:val="70"/>
        </w:trPr>
        <w:tc>
          <w:tcPr>
            <w:tcW w:w="342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420" w:type="dxa"/>
            <w:vAlign w:val="bottom"/>
            <w:tcBorders>
              <w:bottom w:val="single" w:sz="8" w:color="DBDBDB"/>
            </w:tcBorders>
          </w:tcPr>
          <w:p>
            <w:pPr>
              <w:spacing w:after="0"/>
              <w:rPr>
                <w:sz w:val="2"/>
                <w:szCs w:val="2"/>
                <w:color w:val="auto"/>
              </w:rPr>
            </w:pPr>
          </w:p>
        </w:tc>
        <w:tc>
          <w:tcPr>
            <w:tcW w:w="4420" w:type="dxa"/>
            <w:vAlign w:val="bottom"/>
            <w:tcBorders>
              <w:bottom w:val="single" w:sz="8" w:color="C8C9C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20" w:type="dxa"/>
            <w:vAlign w:val="bottom"/>
            <w:shd w:val="clear" w:color="auto" w:fill="DBDBDB"/>
          </w:tcPr>
          <w:p>
            <w:pPr>
              <w:spacing w:after="0"/>
              <w:rPr>
                <w:sz w:val="20"/>
                <w:szCs w:val="20"/>
                <w:color w:val="auto"/>
              </w:rPr>
            </w:pPr>
            <w:r>
              <w:rPr>
                <w:rFonts w:ascii="Arial" w:cs="Arial" w:eastAsia="Arial" w:hAnsi="Arial"/>
                <w:sz w:val="12"/>
                <w:szCs w:val="12"/>
                <w:color w:val="auto"/>
              </w:rPr>
              <w:t>Game Changer Event</w:t>
            </w:r>
            <w:r>
              <w:rPr>
                <w:rFonts w:ascii="Arial" w:cs="Arial" w:eastAsia="Arial" w:hAnsi="Arial"/>
                <w:sz w:val="16"/>
                <w:szCs w:val="16"/>
                <w:color w:val="auto"/>
                <w:vertAlign w:val="superscript"/>
              </w:rPr>
              <w:t>1</w:t>
            </w:r>
          </w:p>
        </w:tc>
        <w:tc>
          <w:tcPr>
            <w:tcW w:w="4420" w:type="dxa"/>
            <w:vAlign w:val="bottom"/>
            <w:gridSpan w:val="2"/>
            <w:shd w:val="clear" w:color="auto" w:fill="DBDBDB"/>
          </w:tcPr>
          <w:p>
            <w:pPr>
              <w:jc w:val="center"/>
              <w:spacing w:after="0"/>
              <w:rPr>
                <w:sz w:val="20"/>
                <w:szCs w:val="20"/>
                <w:color w:val="auto"/>
              </w:rPr>
            </w:pPr>
            <w:r>
              <w:rPr>
                <w:rFonts w:ascii="Arial" w:cs="Arial" w:eastAsia="Arial" w:hAnsi="Arial"/>
                <w:sz w:val="12"/>
                <w:szCs w:val="12"/>
                <w:color w:val="auto"/>
              </w:rPr>
              <w:t>Assessment by the Science and Technology Committee of the Board regarding</w:t>
            </w:r>
          </w:p>
        </w:tc>
        <w:tc>
          <w:tcPr>
            <w:tcW w:w="0" w:type="dxa"/>
            <w:vAlign w:val="bottom"/>
          </w:tcPr>
          <w:p>
            <w:pPr>
              <w:spacing w:after="0"/>
              <w:rPr>
                <w:sz w:val="1"/>
                <w:szCs w:val="1"/>
                <w:color w:val="auto"/>
              </w:rPr>
            </w:pPr>
          </w:p>
        </w:tc>
      </w:tr>
      <w:tr>
        <w:trPr>
          <w:trHeight w:val="202"/>
        </w:trPr>
        <w:tc>
          <w:tcPr>
            <w:tcW w:w="3420" w:type="dxa"/>
            <w:vAlign w:val="bottom"/>
            <w:tcBorders>
              <w:bottom w:val="single" w:sz="8" w:color="DBDBDB"/>
            </w:tcBorders>
            <w:shd w:val="clear" w:color="auto" w:fill="DBDBDB"/>
          </w:tcPr>
          <w:p>
            <w:pPr>
              <w:spacing w:after="0"/>
              <w:rPr>
                <w:sz w:val="17"/>
                <w:szCs w:val="17"/>
                <w:color w:val="auto"/>
              </w:rPr>
            </w:pPr>
          </w:p>
        </w:tc>
        <w:tc>
          <w:tcPr>
            <w:tcW w:w="442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2"/>
                <w:szCs w:val="12"/>
                <w:color w:val="auto"/>
              </w:rPr>
              <w:t>significant scientific events</w:t>
            </w: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00" w:right="180" w:hanging="136"/>
        <w:spacing w:after="0" w:line="206" w:lineRule="auto"/>
        <w:tabs>
          <w:tab w:leader="none" w:pos="144" w:val="left"/>
        </w:tabs>
        <w:numPr>
          <w:ilvl w:val="0"/>
          <w:numId w:val="138"/>
        </w:numPr>
        <w:rPr>
          <w:rFonts w:ascii="Arial" w:cs="Arial" w:eastAsia="Arial" w:hAnsi="Arial"/>
          <w:sz w:val="20"/>
          <w:szCs w:val="20"/>
          <w:color w:val="auto"/>
          <w:vertAlign w:val="superscript"/>
        </w:rPr>
      </w:pPr>
      <w:r>
        <w:rPr>
          <w:rFonts w:ascii="Arial" w:cs="Arial" w:eastAsia="Arial" w:hAnsi="Arial"/>
          <w:sz w:val="14"/>
          <w:szCs w:val="14"/>
          <w:color w:val="auto"/>
        </w:rPr>
        <w:t>The Game Changer Event was added starting with the 2022 performance year. A Game Changer Event is a significant scientific advancement that the Science and Technology Committee of the board deems could capture significant value for patients and for the company.</w:t>
      </w:r>
    </w:p>
    <w:p>
      <w:pPr>
        <w:spacing w:after="0" w:line="19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Science and Technology Committee may also recommend that the Talent and Compensation Committee use downward discretion on the pipeline metric result if clinical development for a potential major asset is unsuccessful. The Science and Technology Committee did not recommend that the Talent and Compensation Committee exercise this discretion related to the 2022 pipeline multiple.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recommendation of the Science and Technology Committee, the Talent and Compensation Committee approved a pipeline multiple of 1.68.</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The company’s performance compared to targets as well as the resulting bonus multiple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4984750" cy="24333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4984750" cy="243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financial results, see Appendix A, “</w:t>
      </w:r>
      <w:r>
        <w:rPr>
          <w:rFonts w:ascii="Arial" w:cs="Arial" w:eastAsia="Arial" w:hAnsi="Arial"/>
          <w:sz w:val="16"/>
          <w:szCs w:val="16"/>
          <w:u w:val="single" w:color="auto"/>
          <w:color w:val="0000FF"/>
        </w:rPr>
        <w:t>Summary of Adjustments Related to the Annual Cash Bonus and Performance Award</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When combined, the revenue, EPS, and pipeline multiples yielded a bonus multiple of 1.20.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3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9"/>
              </w:rPr>
              <w:t>EPS</w:t>
            </w: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Pipeline</w:t>
            </w:r>
          </w:p>
        </w:tc>
        <w:tc>
          <w:tcPr>
            <w:tcW w:w="3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8"/>
              </w:rPr>
              <w:t>Payout</w:t>
            </w:r>
          </w:p>
        </w:tc>
      </w:tr>
      <w:tr>
        <w:trPr>
          <w:trHeight w:val="301"/>
        </w:trPr>
        <w:tc>
          <w:tcPr>
            <w:tcW w:w="1720" w:type="dxa"/>
            <w:vAlign w:val="bottom"/>
            <w:shd w:val="clear" w:color="auto" w:fill="BFE4FF"/>
          </w:tcPr>
          <w:p>
            <w:pPr>
              <w:jc w:val="center"/>
              <w:spacing w:after="0"/>
              <w:rPr>
                <w:sz w:val="20"/>
                <w:szCs w:val="20"/>
                <w:color w:val="auto"/>
              </w:rPr>
            </w:pPr>
            <w:r>
              <w:rPr>
                <w:rFonts w:ascii="Arial" w:cs="Arial" w:eastAsia="Arial" w:hAnsi="Arial"/>
                <w:sz w:val="16"/>
                <w:szCs w:val="16"/>
                <w:b w:val="1"/>
                <w:bCs w:val="1"/>
                <w:color w:val="auto"/>
                <w:w w:val="98"/>
              </w:rPr>
              <w:t>25% x 1.33</w:t>
            </w:r>
          </w:p>
        </w:tc>
        <w:tc>
          <w:tcPr>
            <w:tcW w:w="340" w:type="dxa"/>
            <w:vAlign w:val="bottom"/>
          </w:tcPr>
          <w:p>
            <w:pPr>
              <w:spacing w:after="0"/>
              <w:rPr>
                <w:sz w:val="24"/>
                <w:szCs w:val="24"/>
                <w:color w:val="auto"/>
              </w:rPr>
            </w:pPr>
          </w:p>
        </w:tc>
        <w:tc>
          <w:tcPr>
            <w:tcW w:w="1680" w:type="dxa"/>
            <w:vAlign w:val="bottom"/>
            <w:shd w:val="clear" w:color="auto" w:fill="00A1DE"/>
          </w:tcPr>
          <w:p>
            <w:pPr>
              <w:jc w:val="center"/>
              <w:spacing w:after="0"/>
              <w:rPr>
                <w:sz w:val="20"/>
                <w:szCs w:val="20"/>
                <w:color w:val="auto"/>
              </w:rPr>
            </w:pPr>
            <w:r>
              <w:rPr>
                <w:rFonts w:ascii="Arial" w:cs="Arial" w:eastAsia="Arial" w:hAnsi="Arial"/>
                <w:sz w:val="16"/>
                <w:szCs w:val="16"/>
                <w:b w:val="1"/>
                <w:bCs w:val="1"/>
                <w:color w:val="FFFFFF"/>
                <w:w w:val="98"/>
              </w:rPr>
              <w:t>50% x 0.90</w:t>
            </w:r>
          </w:p>
        </w:tc>
        <w:tc>
          <w:tcPr>
            <w:tcW w:w="340" w:type="dxa"/>
            <w:vAlign w:val="bottom"/>
          </w:tcPr>
          <w:p>
            <w:pPr>
              <w:spacing w:after="0"/>
              <w:rPr>
                <w:sz w:val="24"/>
                <w:szCs w:val="24"/>
                <w:color w:val="auto"/>
              </w:rPr>
            </w:pPr>
          </w:p>
        </w:tc>
        <w:tc>
          <w:tcPr>
            <w:tcW w:w="1700" w:type="dxa"/>
            <w:vAlign w:val="bottom"/>
            <w:shd w:val="clear" w:color="auto" w:fill="BFE4FF"/>
          </w:tcPr>
          <w:p>
            <w:pPr>
              <w:jc w:val="center"/>
              <w:spacing w:after="0"/>
              <w:rPr>
                <w:sz w:val="20"/>
                <w:szCs w:val="20"/>
                <w:color w:val="auto"/>
              </w:rPr>
            </w:pPr>
            <w:r>
              <w:rPr>
                <w:rFonts w:ascii="Arial" w:cs="Arial" w:eastAsia="Arial" w:hAnsi="Arial"/>
                <w:sz w:val="16"/>
                <w:szCs w:val="16"/>
                <w:b w:val="1"/>
                <w:bCs w:val="1"/>
                <w:color w:val="auto"/>
                <w:w w:val="96"/>
              </w:rPr>
              <w:t>25% x 1.68</w:t>
            </w:r>
          </w:p>
        </w:tc>
        <w:tc>
          <w:tcPr>
            <w:tcW w:w="340" w:type="dxa"/>
            <w:vAlign w:val="bottom"/>
          </w:tcPr>
          <w:p>
            <w:pPr>
              <w:spacing w:after="0"/>
              <w:rPr>
                <w:sz w:val="24"/>
                <w:szCs w:val="24"/>
                <w:color w:val="auto"/>
              </w:rPr>
            </w:pPr>
          </w:p>
        </w:tc>
        <w:tc>
          <w:tcPr>
            <w:tcW w:w="1720" w:type="dxa"/>
            <w:vAlign w:val="bottom"/>
            <w:shd w:val="clear" w:color="auto" w:fill="EE2724"/>
          </w:tcPr>
          <w:p>
            <w:pPr>
              <w:jc w:val="center"/>
              <w:spacing w:after="0"/>
              <w:rPr>
                <w:sz w:val="20"/>
                <w:szCs w:val="20"/>
                <w:color w:val="auto"/>
              </w:rPr>
            </w:pPr>
            <w:r>
              <w:rPr>
                <w:rFonts w:ascii="Arial" w:cs="Arial" w:eastAsia="Arial" w:hAnsi="Arial"/>
                <w:sz w:val="16"/>
                <w:szCs w:val="16"/>
                <w:b w:val="1"/>
                <w:bCs w:val="1"/>
                <w:color w:val="FFFFFF"/>
                <w:w w:val="97"/>
              </w:rPr>
              <w:t>1.20 bonus multiple</w:t>
            </w:r>
          </w:p>
        </w:tc>
      </w:tr>
      <w:tr>
        <w:trPr>
          <w:trHeight w:val="82"/>
        </w:trPr>
        <w:tc>
          <w:tcPr>
            <w:tcW w:w="1720" w:type="dxa"/>
            <w:vAlign w:val="bottom"/>
            <w:shd w:val="clear" w:color="auto" w:fill="BFE4FF"/>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shd w:val="clear" w:color="auto" w:fill="00A1DE"/>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shd w:val="clear" w:color="auto" w:fill="BFE4FF"/>
          </w:tcPr>
          <w:p>
            <w:pPr>
              <w:spacing w:after="0"/>
              <w:rPr>
                <w:sz w:val="7"/>
                <w:szCs w:val="7"/>
                <w:color w:val="auto"/>
              </w:rPr>
            </w:pPr>
          </w:p>
        </w:tc>
        <w:tc>
          <w:tcPr>
            <w:tcW w:w="340" w:type="dxa"/>
            <w:vAlign w:val="bottom"/>
          </w:tcPr>
          <w:p>
            <w:pPr>
              <w:spacing w:after="0"/>
              <w:rPr>
                <w:sz w:val="7"/>
                <w:szCs w:val="7"/>
                <w:color w:val="auto"/>
              </w:rPr>
            </w:pPr>
          </w:p>
        </w:tc>
        <w:tc>
          <w:tcPr>
            <w:tcW w:w="1720" w:type="dxa"/>
            <w:vAlign w:val="bottom"/>
            <w:shd w:val="clear" w:color="auto" w:fill="EE272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-221615</wp:posOffset>
            </wp:positionV>
            <wp:extent cx="148590" cy="148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-221615</wp:posOffset>
            </wp:positionV>
            <wp:extent cx="148590" cy="148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-221615</wp:posOffset>
            </wp:positionV>
            <wp:extent cx="148590" cy="148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D52B1E"/>
        </w:rPr>
        <w:t>Bonus Payments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2022 bonuses paid to the applicable named executive officers under the Bonus Plan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2158365" cy="76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2158365" cy="762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2022 Bonus ($)</w:t>
            </w:r>
          </w:p>
        </w:tc>
      </w:tr>
      <w:tr>
        <w:trPr>
          <w:trHeight w:val="188"/>
        </w:trPr>
        <w:tc>
          <w:tcPr>
            <w:tcW w:w="16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Mr. Ricks</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$2,700,000</w:t>
            </w:r>
          </w:p>
        </w:tc>
      </w:tr>
      <w:tr>
        <w:trPr>
          <w:trHeight w:val="180"/>
        </w:trPr>
        <w:tc>
          <w:tcPr>
            <w:tcW w:w="1620" w:type="dxa"/>
            <w:vAlign w:val="bottom"/>
          </w:tcPr>
          <w:p>
            <w:pPr>
              <w:spacing w:after="0"/>
              <w:rPr>
                <w:sz w:val="20"/>
                <w:szCs w:val="20"/>
                <w:color w:val="auto"/>
              </w:rPr>
            </w:pPr>
            <w:r>
              <w:rPr>
                <w:rFonts w:ascii="Arial" w:cs="Arial" w:eastAsia="Arial" w:hAnsi="Arial"/>
                <w:sz w:val="12"/>
                <w:szCs w:val="12"/>
                <w:color w:val="auto"/>
              </w:rPr>
              <w:t>Ms. Ashkenazi</w:t>
            </w:r>
          </w:p>
        </w:tc>
        <w:tc>
          <w:tcPr>
            <w:tcW w:w="1780" w:type="dxa"/>
            <w:vAlign w:val="bottom"/>
          </w:tcPr>
          <w:p>
            <w:pPr>
              <w:jc w:val="right"/>
              <w:spacing w:after="0"/>
              <w:rPr>
                <w:sz w:val="20"/>
                <w:szCs w:val="20"/>
                <w:color w:val="auto"/>
              </w:rPr>
            </w:pPr>
            <w:r>
              <w:rPr>
                <w:rFonts w:ascii="Arial" w:cs="Arial" w:eastAsia="Arial" w:hAnsi="Arial"/>
                <w:sz w:val="12"/>
                <w:szCs w:val="12"/>
                <w:color w:val="auto"/>
              </w:rPr>
              <w:t>$1,128,462</w:t>
            </w:r>
          </w:p>
        </w:tc>
      </w:tr>
      <w:tr>
        <w:trPr>
          <w:trHeight w:val="42"/>
        </w:trPr>
        <w:tc>
          <w:tcPr>
            <w:tcW w:w="16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02"/>
        </w:trPr>
        <w:tc>
          <w:tcPr>
            <w:tcW w:w="16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$1,442,308</w:t>
            </w:r>
          </w:p>
        </w:tc>
      </w:tr>
      <w:tr>
        <w:trPr>
          <w:trHeight w:val="180"/>
        </w:trPr>
        <w:tc>
          <w:tcPr>
            <w:tcW w:w="1620" w:type="dxa"/>
            <w:vAlign w:val="bottom"/>
          </w:tcPr>
          <w:p>
            <w:pPr>
              <w:spacing w:after="0"/>
              <w:rPr>
                <w:sz w:val="20"/>
                <w:szCs w:val="20"/>
                <w:color w:val="auto"/>
              </w:rPr>
            </w:pPr>
            <w:r>
              <w:rPr>
                <w:rFonts w:ascii="Arial" w:cs="Arial" w:eastAsia="Arial" w:hAnsi="Arial"/>
                <w:sz w:val="12"/>
                <w:szCs w:val="12"/>
                <w:color w:val="auto"/>
              </w:rPr>
              <w:t>Ms. Hakim</w:t>
            </w:r>
          </w:p>
        </w:tc>
        <w:tc>
          <w:tcPr>
            <w:tcW w:w="1780" w:type="dxa"/>
            <w:vAlign w:val="bottom"/>
          </w:tcPr>
          <w:p>
            <w:pPr>
              <w:jc w:val="right"/>
              <w:spacing w:after="0"/>
              <w:rPr>
                <w:sz w:val="20"/>
                <w:szCs w:val="20"/>
                <w:color w:val="auto"/>
              </w:rPr>
            </w:pPr>
            <w:r>
              <w:rPr>
                <w:rFonts w:ascii="Arial" w:cs="Arial" w:eastAsia="Arial" w:hAnsi="Arial"/>
                <w:sz w:val="12"/>
                <w:szCs w:val="12"/>
                <w:color w:val="auto"/>
              </w:rPr>
              <w:t>$1,051,154</w:t>
            </w:r>
          </w:p>
        </w:tc>
      </w:tr>
      <w:tr>
        <w:trPr>
          <w:trHeight w:val="42"/>
        </w:trPr>
        <w:tc>
          <w:tcPr>
            <w:tcW w:w="16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14"/>
        </w:trPr>
        <w:tc>
          <w:tcPr>
            <w:tcW w:w="16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$888,462</w:t>
            </w:r>
          </w:p>
        </w:tc>
      </w:tr>
      <w:tr>
        <w:trPr>
          <w:trHeight w:val="20"/>
        </w:trPr>
        <w:tc>
          <w:tcPr>
            <w:tcW w:w="16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2021-2023 Performance Awards</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target cumulative EPS for the 2021-2023 performance award was originally set in the first quarter of 2021, reflecting expected peer group EPS growth of 8.8 percent each year and a total cumulative target EPS of $15.40 over the two-year performance period. In May 2022, following the aforementioned change to its presentation of non-GAAP measures, the Talent and Compensation Committee updated the award to align with the new SEC guidance to exclude adjustments for acquired IPR&amp;D and development milestone charges from its non-GAAP results. The updated award retained the Talent and Compensation Committee’s decision to establish a two-year EPS growth target of 8.8 percent per year, but the growth was applied to an adjusted 2020 non-GAAP EPS of $6.89 that excluded acquired IPR&amp;D and development milestone charges. Using this methodology, the updated cumulative EPS target became $15.65 for the two-year performance period of 2021-2022. The company’s actual adjusted non-GAAP EPS over the performance period was $17.09 representing a growth rate of 15.2 percent and a final payout percentage of 140 percent.</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686" w:right="4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445135</wp:posOffset>
            </wp:positionV>
            <wp:extent cx="4984750" cy="157988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clrChange>
                        <a:clrFrom>
                          <a:srgbClr val="FFFFFF"/>
                        </a:clrFrom>
                        <a:clrTo>
                          <a:srgbClr val="FFFFFF">
                            <a:alpha val="0"/>
                          </a:srgbClr>
                        </a:clrTo>
                      </a:clrChange>
                      <a:extLst>
                        <a:ext uri="{28A0092B-C50C-407E-A947-70E740481C1C}"/>
                      </a:extLst>
                    </a:blip>
                    <a:srcRect/>
                    <a:stretch>
                      <a:fillRect/>
                    </a:stretch>
                  </pic:blipFill>
                  <pic:spPr bwMode="auto">
                    <a:xfrm>
                      <a:off x="0" y="0"/>
                      <a:ext cx="4984750"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
        <w:spacing w:after="0" w:line="257" w:lineRule="auto"/>
        <w:rPr>
          <w:sz w:val="20"/>
          <w:szCs w:val="20"/>
          <w:color w:val="auto"/>
        </w:rPr>
      </w:pPr>
      <w:r>
        <w:rPr>
          <w:rFonts w:ascii="Arial" w:cs="Arial" w:eastAsia="Arial" w:hAnsi="Arial"/>
          <w:sz w:val="16"/>
          <w:szCs w:val="16"/>
          <w:color w:val="auto"/>
        </w:rPr>
        <w:t>For Messrs. Ricks, Jonsson, Ms. Hakim and Dr. Skovronsky, shares earned for the 2021-2022 performance period are subject to an additional 13-month service-vesting period and are shown in the table below as restricted stock units. Because she was not an executive officer when the award was granted, Ms. Ashkenazi’s 2021-2022 performance award was paid in shares of Lilly common stock and not subject to the additional service-vesting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4577080" cy="76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4577080" cy="7620"/>
                    </a:xfrm>
                    <a:prstGeom prst="rect">
                      <a:avLst/>
                    </a:prstGeom>
                    <a:noFill/>
                  </pic:spPr>
                </pic:pic>
              </a:graphicData>
            </a:graphic>
          </wp:anchor>
        </w:drawing>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1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14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Target Shares</w:t>
            </w:r>
          </w:p>
        </w:tc>
        <w:tc>
          <w:tcPr>
            <w:tcW w:w="178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rPr>
              <w:t>Shares Earned</w:t>
            </w:r>
          </w:p>
        </w:tc>
        <w:tc>
          <w:tcPr>
            <w:tcW w:w="152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9"/>
              </w:rPr>
              <w:t>RSUs</w:t>
            </w:r>
          </w:p>
        </w:tc>
      </w:tr>
      <w:tr>
        <w:trPr>
          <w:trHeight w:val="196"/>
        </w:trPr>
        <w:tc>
          <w:tcPr>
            <w:tcW w:w="176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2140" w:type="dxa"/>
            <w:vAlign w:val="bottom"/>
            <w:shd w:val="clear" w:color="auto" w:fill="F2F2F2"/>
          </w:tcPr>
          <w:p>
            <w:pPr>
              <w:jc w:val="center"/>
              <w:ind w:left="498"/>
              <w:spacing w:after="0"/>
              <w:rPr>
                <w:sz w:val="20"/>
                <w:szCs w:val="20"/>
                <w:color w:val="auto"/>
              </w:rPr>
            </w:pPr>
            <w:r>
              <w:rPr>
                <w:rFonts w:ascii="Arial" w:cs="Arial" w:eastAsia="Arial" w:hAnsi="Arial"/>
                <w:sz w:val="12"/>
                <w:szCs w:val="12"/>
                <w:color w:val="auto"/>
              </w:rPr>
              <w:t>21,151</w:t>
            </w:r>
          </w:p>
        </w:tc>
        <w:tc>
          <w:tcPr>
            <w:tcW w:w="1780" w:type="dxa"/>
            <w:vAlign w:val="bottom"/>
            <w:shd w:val="clear" w:color="auto" w:fill="F2F2F2"/>
          </w:tcPr>
          <w:p>
            <w:pPr>
              <w:jc w:val="center"/>
              <w:ind w:right="18"/>
              <w:spacing w:after="0"/>
              <w:rPr>
                <w:sz w:val="20"/>
                <w:szCs w:val="20"/>
                <w:color w:val="auto"/>
              </w:rPr>
            </w:pPr>
            <w:r>
              <w:rPr>
                <w:rFonts w:ascii="Arial" w:cs="Arial" w:eastAsia="Arial" w:hAnsi="Arial"/>
                <w:sz w:val="12"/>
                <w:szCs w:val="12"/>
                <w:color w:val="auto"/>
              </w:rPr>
              <w:t>N/A</w:t>
            </w:r>
          </w:p>
        </w:tc>
        <w:tc>
          <w:tcPr>
            <w:tcW w:w="1520" w:type="dxa"/>
            <w:vAlign w:val="bottom"/>
            <w:shd w:val="clear" w:color="auto" w:fill="F2F2F2"/>
          </w:tcPr>
          <w:p>
            <w:pPr>
              <w:jc w:val="center"/>
              <w:ind w:right="58"/>
              <w:spacing w:after="0"/>
              <w:rPr>
                <w:sz w:val="20"/>
                <w:szCs w:val="20"/>
                <w:color w:val="auto"/>
              </w:rPr>
            </w:pPr>
            <w:r>
              <w:rPr>
                <w:rFonts w:ascii="Arial" w:cs="Arial" w:eastAsia="Arial" w:hAnsi="Arial"/>
                <w:sz w:val="12"/>
                <w:szCs w:val="12"/>
                <w:color w:val="auto"/>
                <w:w w:val="97"/>
              </w:rPr>
              <w:t>29,611</w:t>
            </w:r>
          </w:p>
        </w:tc>
      </w:tr>
      <w:tr>
        <w:trPr>
          <w:trHeight w:val="189"/>
        </w:trPr>
        <w:tc>
          <w:tcPr>
            <w:tcW w:w="1760" w:type="dxa"/>
            <w:vAlign w:val="bottom"/>
          </w:tcPr>
          <w:p>
            <w:pPr>
              <w:spacing w:after="0"/>
              <w:rPr>
                <w:sz w:val="20"/>
                <w:szCs w:val="20"/>
                <w:color w:val="auto"/>
              </w:rPr>
            </w:pPr>
            <w:r>
              <w:rPr>
                <w:rFonts w:ascii="Arial" w:cs="Arial" w:eastAsia="Arial" w:hAnsi="Arial"/>
                <w:sz w:val="12"/>
                <w:szCs w:val="12"/>
                <w:color w:val="auto"/>
              </w:rPr>
              <w:t>Ms. Ashkenazi</w:t>
            </w:r>
          </w:p>
        </w:tc>
        <w:tc>
          <w:tcPr>
            <w:tcW w:w="2140" w:type="dxa"/>
            <w:vAlign w:val="bottom"/>
          </w:tcPr>
          <w:p>
            <w:pPr>
              <w:jc w:val="center"/>
              <w:ind w:left="478"/>
              <w:spacing w:after="0"/>
              <w:rPr>
                <w:sz w:val="20"/>
                <w:szCs w:val="20"/>
                <w:color w:val="auto"/>
              </w:rPr>
            </w:pPr>
            <w:r>
              <w:rPr>
                <w:rFonts w:ascii="Arial" w:cs="Arial" w:eastAsia="Arial" w:hAnsi="Arial"/>
                <w:sz w:val="12"/>
                <w:szCs w:val="12"/>
                <w:color w:val="auto"/>
              </w:rPr>
              <w:t>5,540</w:t>
            </w:r>
          </w:p>
        </w:tc>
        <w:tc>
          <w:tcPr>
            <w:tcW w:w="1780" w:type="dxa"/>
            <w:vAlign w:val="bottom"/>
          </w:tcPr>
          <w:p>
            <w:pPr>
              <w:jc w:val="center"/>
              <w:ind w:right="38"/>
              <w:spacing w:after="0"/>
              <w:rPr>
                <w:sz w:val="20"/>
                <w:szCs w:val="20"/>
                <w:color w:val="auto"/>
              </w:rPr>
            </w:pPr>
            <w:r>
              <w:rPr>
                <w:rFonts w:ascii="Arial" w:cs="Arial" w:eastAsia="Arial" w:hAnsi="Arial"/>
                <w:sz w:val="12"/>
                <w:szCs w:val="12"/>
                <w:color w:val="auto"/>
              </w:rPr>
              <w:t>7,756</w:t>
            </w:r>
          </w:p>
        </w:tc>
        <w:tc>
          <w:tcPr>
            <w:tcW w:w="1520" w:type="dxa"/>
            <w:vAlign w:val="bottom"/>
          </w:tcPr>
          <w:p>
            <w:pPr>
              <w:jc w:val="center"/>
              <w:ind w:right="18"/>
              <w:spacing w:after="0"/>
              <w:rPr>
                <w:sz w:val="20"/>
                <w:szCs w:val="20"/>
                <w:color w:val="auto"/>
              </w:rPr>
            </w:pPr>
            <w:r>
              <w:rPr>
                <w:rFonts w:ascii="Arial" w:cs="Arial" w:eastAsia="Arial" w:hAnsi="Arial"/>
                <w:sz w:val="12"/>
                <w:szCs w:val="12"/>
                <w:color w:val="auto"/>
                <w:w w:val="99"/>
              </w:rPr>
              <w:t>N/A</w:t>
            </w:r>
          </w:p>
        </w:tc>
      </w:tr>
      <w:tr>
        <w:trPr>
          <w:trHeight w:val="208"/>
        </w:trPr>
        <w:tc>
          <w:tcPr>
            <w:tcW w:w="176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2140" w:type="dxa"/>
            <w:vAlign w:val="bottom"/>
            <w:shd w:val="clear" w:color="auto" w:fill="F2F2F2"/>
          </w:tcPr>
          <w:p>
            <w:pPr>
              <w:jc w:val="center"/>
              <w:ind w:left="478"/>
              <w:spacing w:after="0"/>
              <w:rPr>
                <w:sz w:val="20"/>
                <w:szCs w:val="20"/>
                <w:color w:val="auto"/>
              </w:rPr>
            </w:pPr>
            <w:r>
              <w:rPr>
                <w:rFonts w:ascii="Arial" w:cs="Arial" w:eastAsia="Arial" w:hAnsi="Arial"/>
                <w:sz w:val="12"/>
                <w:szCs w:val="12"/>
                <w:color w:val="auto"/>
              </w:rPr>
              <w:t>7,101</w:t>
            </w:r>
          </w:p>
        </w:tc>
        <w:tc>
          <w:tcPr>
            <w:tcW w:w="1780" w:type="dxa"/>
            <w:vAlign w:val="bottom"/>
            <w:shd w:val="clear" w:color="auto" w:fill="F2F2F2"/>
          </w:tcPr>
          <w:p>
            <w:pPr>
              <w:jc w:val="center"/>
              <w:ind w:right="18"/>
              <w:spacing w:after="0"/>
              <w:rPr>
                <w:sz w:val="20"/>
                <w:szCs w:val="20"/>
                <w:color w:val="auto"/>
              </w:rPr>
            </w:pPr>
            <w:r>
              <w:rPr>
                <w:rFonts w:ascii="Arial" w:cs="Arial" w:eastAsia="Arial" w:hAnsi="Arial"/>
                <w:sz w:val="12"/>
                <w:szCs w:val="12"/>
                <w:color w:val="auto"/>
              </w:rPr>
              <w:t>N/A</w:t>
            </w:r>
          </w:p>
        </w:tc>
        <w:tc>
          <w:tcPr>
            <w:tcW w:w="1520" w:type="dxa"/>
            <w:vAlign w:val="bottom"/>
            <w:shd w:val="clear" w:color="auto" w:fill="F2F2F2"/>
          </w:tcPr>
          <w:p>
            <w:pPr>
              <w:jc w:val="center"/>
              <w:ind w:right="58"/>
              <w:spacing w:after="0"/>
              <w:rPr>
                <w:sz w:val="20"/>
                <w:szCs w:val="20"/>
                <w:color w:val="auto"/>
              </w:rPr>
            </w:pPr>
            <w:r>
              <w:rPr>
                <w:rFonts w:ascii="Arial" w:cs="Arial" w:eastAsia="Arial" w:hAnsi="Arial"/>
                <w:sz w:val="12"/>
                <w:szCs w:val="12"/>
                <w:color w:val="auto"/>
              </w:rPr>
              <w:t>9,941</w:t>
            </w:r>
          </w:p>
        </w:tc>
      </w:tr>
      <w:tr>
        <w:trPr>
          <w:trHeight w:val="189"/>
        </w:trPr>
        <w:tc>
          <w:tcPr>
            <w:tcW w:w="1760" w:type="dxa"/>
            <w:vAlign w:val="bottom"/>
          </w:tcPr>
          <w:p>
            <w:pPr>
              <w:spacing w:after="0"/>
              <w:rPr>
                <w:sz w:val="20"/>
                <w:szCs w:val="20"/>
                <w:color w:val="auto"/>
              </w:rPr>
            </w:pPr>
            <w:r>
              <w:rPr>
                <w:rFonts w:ascii="Arial" w:cs="Arial" w:eastAsia="Arial" w:hAnsi="Arial"/>
                <w:sz w:val="12"/>
                <w:szCs w:val="12"/>
                <w:color w:val="auto"/>
              </w:rPr>
              <w:t>Ms. Hakim</w:t>
            </w:r>
          </w:p>
        </w:tc>
        <w:tc>
          <w:tcPr>
            <w:tcW w:w="2140" w:type="dxa"/>
            <w:vAlign w:val="bottom"/>
          </w:tcPr>
          <w:p>
            <w:pPr>
              <w:jc w:val="center"/>
              <w:ind w:left="478"/>
              <w:spacing w:after="0"/>
              <w:rPr>
                <w:sz w:val="20"/>
                <w:szCs w:val="20"/>
                <w:color w:val="auto"/>
              </w:rPr>
            </w:pPr>
            <w:r>
              <w:rPr>
                <w:rFonts w:ascii="Arial" w:cs="Arial" w:eastAsia="Arial" w:hAnsi="Arial"/>
                <w:sz w:val="12"/>
                <w:szCs w:val="12"/>
                <w:color w:val="auto"/>
              </w:rPr>
              <w:t>3,173</w:t>
            </w:r>
          </w:p>
        </w:tc>
        <w:tc>
          <w:tcPr>
            <w:tcW w:w="1780" w:type="dxa"/>
            <w:vAlign w:val="bottom"/>
          </w:tcPr>
          <w:p>
            <w:pPr>
              <w:jc w:val="center"/>
              <w:ind w:right="18"/>
              <w:spacing w:after="0"/>
              <w:rPr>
                <w:sz w:val="20"/>
                <w:szCs w:val="20"/>
                <w:color w:val="auto"/>
              </w:rPr>
            </w:pPr>
            <w:r>
              <w:rPr>
                <w:rFonts w:ascii="Arial" w:cs="Arial" w:eastAsia="Arial" w:hAnsi="Arial"/>
                <w:sz w:val="12"/>
                <w:szCs w:val="12"/>
                <w:color w:val="auto"/>
              </w:rPr>
              <w:t>N/A</w:t>
            </w:r>
          </w:p>
        </w:tc>
        <w:tc>
          <w:tcPr>
            <w:tcW w:w="1520" w:type="dxa"/>
            <w:vAlign w:val="bottom"/>
          </w:tcPr>
          <w:p>
            <w:pPr>
              <w:jc w:val="center"/>
              <w:ind w:right="58"/>
              <w:spacing w:after="0"/>
              <w:rPr>
                <w:sz w:val="20"/>
                <w:szCs w:val="20"/>
                <w:color w:val="auto"/>
              </w:rPr>
            </w:pPr>
            <w:r>
              <w:rPr>
                <w:rFonts w:ascii="Arial" w:cs="Arial" w:eastAsia="Arial" w:hAnsi="Arial"/>
                <w:sz w:val="12"/>
                <w:szCs w:val="12"/>
                <w:color w:val="auto"/>
              </w:rPr>
              <w:t>4,442</w:t>
            </w:r>
          </w:p>
        </w:tc>
      </w:tr>
      <w:tr>
        <w:trPr>
          <w:trHeight w:val="199"/>
        </w:trPr>
        <w:tc>
          <w:tcPr>
            <w:tcW w:w="176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2140" w:type="dxa"/>
            <w:vAlign w:val="bottom"/>
            <w:tcBorders>
              <w:bottom w:val="single" w:sz="8" w:color="auto"/>
            </w:tcBorders>
            <w:shd w:val="clear" w:color="auto" w:fill="F2F2F2"/>
          </w:tcPr>
          <w:p>
            <w:pPr>
              <w:jc w:val="center"/>
              <w:ind w:left="478"/>
              <w:spacing w:after="0"/>
              <w:rPr>
                <w:sz w:val="20"/>
                <w:szCs w:val="20"/>
                <w:color w:val="auto"/>
              </w:rPr>
            </w:pPr>
            <w:r>
              <w:rPr>
                <w:rFonts w:ascii="Arial" w:cs="Arial" w:eastAsia="Arial" w:hAnsi="Arial"/>
                <w:sz w:val="12"/>
                <w:szCs w:val="12"/>
                <w:color w:val="auto"/>
              </w:rPr>
              <w:t>2,946</w:t>
            </w:r>
          </w:p>
        </w:tc>
        <w:tc>
          <w:tcPr>
            <w:tcW w:w="1780" w:type="dxa"/>
            <w:vAlign w:val="bottom"/>
            <w:tcBorders>
              <w:bottom w:val="single" w:sz="8" w:color="auto"/>
            </w:tcBorders>
            <w:shd w:val="clear" w:color="auto" w:fill="F2F2F2"/>
          </w:tcPr>
          <w:p>
            <w:pPr>
              <w:jc w:val="center"/>
              <w:ind w:right="18"/>
              <w:spacing w:after="0"/>
              <w:rPr>
                <w:sz w:val="20"/>
                <w:szCs w:val="20"/>
                <w:color w:val="auto"/>
              </w:rPr>
            </w:pPr>
            <w:r>
              <w:rPr>
                <w:rFonts w:ascii="Arial" w:cs="Arial" w:eastAsia="Arial" w:hAnsi="Arial"/>
                <w:sz w:val="12"/>
                <w:szCs w:val="12"/>
                <w:color w:val="auto"/>
              </w:rPr>
              <w:t>N/A</w:t>
            </w:r>
          </w:p>
        </w:tc>
        <w:tc>
          <w:tcPr>
            <w:tcW w:w="1520" w:type="dxa"/>
            <w:vAlign w:val="bottom"/>
            <w:tcBorders>
              <w:bottom w:val="single" w:sz="8" w:color="auto"/>
            </w:tcBorders>
            <w:shd w:val="clear" w:color="auto" w:fill="F2F2F2"/>
          </w:tcPr>
          <w:p>
            <w:pPr>
              <w:jc w:val="center"/>
              <w:ind w:right="58"/>
              <w:spacing w:after="0"/>
              <w:rPr>
                <w:sz w:val="20"/>
                <w:szCs w:val="20"/>
                <w:color w:val="auto"/>
              </w:rPr>
            </w:pPr>
            <w:r>
              <w:rPr>
                <w:rFonts w:ascii="Arial" w:cs="Arial" w:eastAsia="Arial" w:hAnsi="Arial"/>
                <w:sz w:val="12"/>
                <w:szCs w:val="12"/>
                <w:color w:val="auto"/>
              </w:rPr>
              <w:t>4,124</w:t>
            </w:r>
          </w:p>
        </w:tc>
      </w:tr>
    </w:tbl>
    <w:p>
      <w:pPr>
        <w:spacing w:after="0" w:line="24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2020-2022 Shareholder Value Award</w:t>
      </w:r>
    </w:p>
    <w:p>
      <w:pPr>
        <w:spacing w:after="0" w:line="26" w:lineRule="exact"/>
        <w:rPr>
          <w:sz w:val="20"/>
          <w:szCs w:val="20"/>
          <w:color w:val="auto"/>
        </w:rPr>
      </w:pPr>
    </w:p>
    <w:p>
      <w:pPr>
        <w:ind w:left="7" w:right="140"/>
        <w:spacing w:after="0" w:line="246" w:lineRule="auto"/>
        <w:rPr>
          <w:sz w:val="20"/>
          <w:szCs w:val="20"/>
          <w:color w:val="auto"/>
        </w:rPr>
      </w:pPr>
      <w:r>
        <w:rPr>
          <w:rFonts w:ascii="Arial" w:cs="Arial" w:eastAsia="Arial" w:hAnsi="Arial"/>
          <w:sz w:val="16"/>
          <w:szCs w:val="16"/>
          <w:color w:val="auto"/>
        </w:rPr>
        <w:t>The target stock price range of $140.74 to $156.21 (17.5 percent to 30.1 percent total stock price growth) for the 2020-2022 shareholder value award was set in 2020 based on a beginning stock price of $119.76, which was the average closing price for Lilly stock for all trading days in November and December 2019. The ending stock price of $363.15, which was the average closing price for Lilly stock for all trading days in November and December 2022, represents annualized stock price growth of 44.7 percent over the relevant three-year period resulting in a payout percentage of 175 percent.</w:t>
      </w:r>
    </w:p>
    <w:p>
      <w:pPr>
        <w:spacing w:after="0" w:line="169" w:lineRule="exact"/>
        <w:rPr>
          <w:sz w:val="20"/>
          <w:szCs w:val="20"/>
          <w:color w:val="auto"/>
        </w:rPr>
      </w:pPr>
    </w:p>
    <w:p>
      <w:pPr>
        <w:ind w:left="1987"/>
        <w:spacing w:after="0"/>
        <w:rPr>
          <w:sz w:val="20"/>
          <w:szCs w:val="20"/>
          <w:color w:val="auto"/>
        </w:rPr>
      </w:pPr>
      <w:r>
        <w:rPr>
          <w:rFonts w:ascii="Arial" w:cs="Arial" w:eastAsia="Arial" w:hAnsi="Arial"/>
          <w:sz w:val="19"/>
          <w:szCs w:val="19"/>
          <w:b w:val="1"/>
          <w:bCs w:val="1"/>
          <w:color w:val="auto"/>
        </w:rPr>
        <w:t>2020-2022 Shareholder Value Award Payout</w:t>
      </w: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28"/>
        </w:trPr>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center"/>
              <w:ind w:left="6"/>
              <w:spacing w:after="0"/>
              <w:rPr>
                <w:sz w:val="20"/>
                <w:szCs w:val="20"/>
                <w:color w:val="auto"/>
              </w:rPr>
            </w:pPr>
            <w:r>
              <w:rPr>
                <w:rFonts w:ascii="Arial" w:cs="Arial" w:eastAsia="Arial" w:hAnsi="Arial"/>
                <w:sz w:val="11"/>
                <w:szCs w:val="11"/>
                <w:color w:val="auto"/>
                <w:w w:val="98"/>
              </w:rPr>
              <w:t>Final Result:</w:t>
            </w: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color w:val="auto"/>
                <w:w w:val="99"/>
              </w:rPr>
              <w:t>Avg. Stock Price: $363.15</w:t>
            </w: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center"/>
              <w:ind w:left="6"/>
              <w:spacing w:after="0"/>
              <w:rPr>
                <w:sz w:val="20"/>
                <w:szCs w:val="20"/>
                <w:color w:val="auto"/>
              </w:rPr>
            </w:pPr>
            <w:r>
              <w:rPr>
                <w:rFonts w:ascii="Arial" w:cs="Arial" w:eastAsia="Arial" w:hAnsi="Arial"/>
                <w:sz w:val="11"/>
                <w:szCs w:val="11"/>
                <w:color w:val="auto"/>
                <w:w w:val="98"/>
              </w:rPr>
              <w:t>Annualized Stock Price</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Target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center"/>
              <w:ind w:left="6"/>
              <w:spacing w:after="0"/>
              <w:rPr>
                <w:sz w:val="20"/>
                <w:szCs w:val="20"/>
                <w:color w:val="auto"/>
              </w:rPr>
            </w:pPr>
            <w:r>
              <w:rPr>
                <w:rFonts w:ascii="Arial" w:cs="Arial" w:eastAsia="Arial" w:hAnsi="Arial"/>
                <w:sz w:val="11"/>
                <w:szCs w:val="11"/>
                <w:color w:val="auto"/>
                <w:w w:val="98"/>
              </w:rPr>
              <w:t>Growth: 44.7%</w:t>
            </w:r>
          </w:p>
        </w:tc>
        <w:tc>
          <w:tcPr>
            <w:tcW w:w="0" w:type="dxa"/>
            <w:vAlign w:val="bottom"/>
          </w:tcPr>
          <w:p>
            <w:pPr>
              <w:spacing w:after="0"/>
              <w:rPr>
                <w:sz w:val="1"/>
                <w:szCs w:val="1"/>
                <w:color w:val="auto"/>
              </w:rPr>
            </w:pPr>
          </w:p>
        </w:tc>
      </w:tr>
      <w:tr>
        <w:trPr>
          <w:trHeight w:val="100"/>
        </w:trPr>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 of Target</w:t>
            </w:r>
          </w:p>
        </w:tc>
        <w:tc>
          <w:tcPr>
            <w:tcW w:w="6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auto"/>
              <w:right w:val="single" w:sz="8" w:color="auto"/>
            </w:tcBorders>
            <w:vMerge w:val="continue"/>
          </w:tcPr>
          <w:p>
            <w:pPr>
              <w:spacing w:after="0"/>
              <w:rPr>
                <w:sz w:val="19"/>
                <w:szCs w:val="19"/>
                <w:color w:val="auto"/>
              </w:rPr>
            </w:pPr>
          </w:p>
        </w:tc>
        <w:tc>
          <w:tcPr>
            <w:tcW w:w="6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87"/>
              </w:rPr>
              <w:t>0%</w:t>
            </w:r>
          </w:p>
        </w:tc>
        <w:tc>
          <w:tcPr>
            <w:tcW w:w="980" w:type="dxa"/>
            <w:vAlign w:val="bottom"/>
            <w:tcBorders>
              <w:bottom w:val="single" w:sz="8" w:color="auto"/>
              <w:right w:val="single" w:sz="8" w:color="auto"/>
            </w:tcBorders>
            <w:shd w:val="clear" w:color="auto" w:fill="BFE4FF"/>
          </w:tcPr>
          <w:p>
            <w:pPr>
              <w:jc w:val="right"/>
              <w:ind w:right="346"/>
              <w:spacing w:after="0"/>
              <w:rPr>
                <w:sz w:val="20"/>
                <w:szCs w:val="20"/>
                <w:color w:val="auto"/>
              </w:rPr>
            </w:pPr>
            <w:r>
              <w:rPr>
                <w:rFonts w:ascii="Arial" w:cs="Arial" w:eastAsia="Arial" w:hAnsi="Arial"/>
                <w:sz w:val="11"/>
                <w:szCs w:val="11"/>
                <w:b w:val="1"/>
                <w:bCs w:val="1"/>
                <w:color w:val="auto"/>
              </w:rPr>
              <w:t>50%</w:t>
            </w:r>
          </w:p>
        </w:tc>
        <w:tc>
          <w:tcPr>
            <w:tcW w:w="920" w:type="dxa"/>
            <w:vAlign w:val="bottom"/>
            <w:tcBorders>
              <w:bottom w:val="single" w:sz="8" w:color="auto"/>
              <w:right w:val="single" w:sz="8" w:color="auto"/>
            </w:tcBorders>
            <w:gridSpan w:val="2"/>
            <w:shd w:val="clear" w:color="auto" w:fill="BFE4FF"/>
          </w:tcPr>
          <w:p>
            <w:pPr>
              <w:jc w:val="right"/>
              <w:ind w:right="306"/>
              <w:spacing w:after="0"/>
              <w:rPr>
                <w:sz w:val="20"/>
                <w:szCs w:val="20"/>
                <w:color w:val="auto"/>
              </w:rPr>
            </w:pPr>
            <w:r>
              <w:rPr>
                <w:rFonts w:ascii="Arial" w:cs="Arial" w:eastAsia="Arial" w:hAnsi="Arial"/>
                <w:sz w:val="11"/>
                <w:szCs w:val="11"/>
                <w:b w:val="1"/>
                <w:bCs w:val="1"/>
                <w:color w:val="auto"/>
              </w:rPr>
              <w:t>75%</w:t>
            </w:r>
          </w:p>
        </w:tc>
        <w:tc>
          <w:tcPr>
            <w:tcW w:w="940" w:type="dxa"/>
            <w:vAlign w:val="bottom"/>
            <w:tcBorders>
              <w:bottom w:val="single" w:sz="8" w:color="auto"/>
              <w:right w:val="single" w:sz="8" w:color="auto"/>
            </w:tcBorders>
            <w:gridSpan w:val="2"/>
            <w:shd w:val="clear" w:color="auto" w:fill="BFE4FF"/>
          </w:tcPr>
          <w:p>
            <w:pPr>
              <w:jc w:val="right"/>
              <w:ind w:right="286"/>
              <w:spacing w:after="0"/>
              <w:rPr>
                <w:sz w:val="20"/>
                <w:szCs w:val="20"/>
                <w:color w:val="auto"/>
              </w:rPr>
            </w:pPr>
            <w:r>
              <w:rPr>
                <w:rFonts w:ascii="Arial" w:cs="Arial" w:eastAsia="Arial" w:hAnsi="Arial"/>
                <w:sz w:val="11"/>
                <w:szCs w:val="11"/>
                <w:b w:val="1"/>
                <w:bCs w:val="1"/>
                <w:color w:val="auto"/>
              </w:rPr>
              <w:t>100%</w:t>
            </w:r>
          </w:p>
        </w:tc>
        <w:tc>
          <w:tcPr>
            <w:tcW w:w="9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125%</w:t>
            </w:r>
          </w:p>
        </w:tc>
        <w:tc>
          <w:tcPr>
            <w:tcW w:w="9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150%</w:t>
            </w:r>
          </w:p>
        </w:tc>
        <w:tc>
          <w:tcPr>
            <w:tcW w:w="1000" w:type="dxa"/>
            <w:vAlign w:val="bottom"/>
            <w:tcBorders>
              <w:bottom w:val="single" w:sz="8" w:color="auto"/>
              <w:right w:val="single" w:sz="8" w:color="auto"/>
            </w:tcBorders>
            <w:shd w:val="clear" w:color="auto" w:fill="BFE4FF"/>
          </w:tcPr>
          <w:p>
            <w:pPr>
              <w:jc w:val="center"/>
              <w:ind w:right="186"/>
              <w:spacing w:after="0"/>
              <w:rPr>
                <w:sz w:val="20"/>
                <w:szCs w:val="20"/>
                <w:color w:val="auto"/>
              </w:rPr>
            </w:pPr>
            <w:r>
              <w:rPr>
                <w:rFonts w:ascii="Arial" w:cs="Arial" w:eastAsia="Arial" w:hAnsi="Arial"/>
                <w:sz w:val="11"/>
                <w:szCs w:val="11"/>
                <w:b w:val="1"/>
                <w:bCs w:val="1"/>
                <w:color w:val="auto"/>
                <w:w w:val="99"/>
              </w:rPr>
              <w:t>175%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Stock Price</w:t>
            </w:r>
          </w:p>
        </w:tc>
        <w:tc>
          <w:tcPr>
            <w:tcW w:w="6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&lt;$109.78</w:t>
            </w:r>
          </w:p>
        </w:tc>
        <w:tc>
          <w:tcPr>
            <w:tcW w:w="980" w:type="dxa"/>
            <w:vAlign w:val="bottom"/>
            <w:tcBorders>
              <w:bottom w:val="single" w:sz="8" w:color="auto"/>
              <w:right w:val="single" w:sz="8" w:color="auto"/>
            </w:tcBorders>
            <w:shd w:val="clear" w:color="auto" w:fill="BFE4FF"/>
          </w:tcPr>
          <w:p>
            <w:pPr>
              <w:jc w:val="right"/>
              <w:ind w:right="26"/>
              <w:spacing w:after="0"/>
              <w:rPr>
                <w:sz w:val="20"/>
                <w:szCs w:val="20"/>
                <w:color w:val="auto"/>
              </w:rPr>
            </w:pPr>
            <w:r>
              <w:rPr>
                <w:rFonts w:ascii="Arial" w:cs="Arial" w:eastAsia="Arial" w:hAnsi="Arial"/>
                <w:sz w:val="11"/>
                <w:szCs w:val="11"/>
                <w:b w:val="1"/>
                <w:bCs w:val="1"/>
                <w:color w:val="auto"/>
              </w:rPr>
              <w:t>$109.78- $125.25</w:t>
            </w:r>
          </w:p>
        </w:tc>
        <w:tc>
          <w:tcPr>
            <w:tcW w:w="4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b w:val="1"/>
                <w:bCs w:val="1"/>
                <w:color w:val="auto"/>
                <w:w w:val="95"/>
              </w:rPr>
              <w:t>$125.26</w:t>
            </w:r>
          </w:p>
        </w:tc>
        <w:tc>
          <w:tcPr>
            <w:tcW w:w="50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w w:val="94"/>
              </w:rPr>
              <w:t>- $140.73</w:t>
            </w:r>
          </w:p>
        </w:tc>
        <w:tc>
          <w:tcPr>
            <w:tcW w:w="4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b w:val="1"/>
                <w:bCs w:val="1"/>
                <w:color w:val="auto"/>
              </w:rPr>
              <w:t>$140.74</w:t>
            </w:r>
          </w:p>
        </w:tc>
        <w:tc>
          <w:tcPr>
            <w:tcW w:w="52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w w:val="98"/>
              </w:rPr>
              <w:t>- $156.21</w:t>
            </w:r>
          </w:p>
        </w:tc>
        <w:tc>
          <w:tcPr>
            <w:tcW w:w="9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8"/>
              </w:rPr>
              <w:t>$156.22 - $171.69</w:t>
            </w:r>
          </w:p>
        </w:tc>
        <w:tc>
          <w:tcPr>
            <w:tcW w:w="940" w:type="dxa"/>
            <w:vAlign w:val="bottom"/>
            <w:tcBorders>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8"/>
              </w:rPr>
              <w:t>$171.70 - $187.17</w:t>
            </w:r>
          </w:p>
        </w:tc>
        <w:tc>
          <w:tcPr>
            <w:tcW w:w="1000" w:type="dxa"/>
            <w:vAlign w:val="bottom"/>
            <w:tcBorders>
              <w:bottom w:val="single" w:sz="8" w:color="auto"/>
              <w:right w:val="single" w:sz="8" w:color="auto"/>
            </w:tcBorders>
            <w:shd w:val="clear" w:color="auto" w:fill="BFE4FF"/>
          </w:tcPr>
          <w:p>
            <w:pPr>
              <w:jc w:val="center"/>
              <w:ind w:right="166"/>
              <w:spacing w:after="0"/>
              <w:rPr>
                <w:sz w:val="20"/>
                <w:szCs w:val="20"/>
                <w:color w:val="auto"/>
              </w:rPr>
            </w:pPr>
            <w:r>
              <w:rPr>
                <w:rFonts w:ascii="Arial" w:cs="Arial" w:eastAsia="Arial" w:hAnsi="Arial"/>
                <w:sz w:val="11"/>
                <w:szCs w:val="11"/>
                <w:b w:val="1"/>
                <w:bCs w:val="1"/>
                <w:color w:val="auto"/>
                <w:w w:val="99"/>
              </w:rPr>
              <w:t>&gt;$187.17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1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Compound Annual</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&lt;-2.9%</w:t>
            </w:r>
          </w:p>
        </w:tc>
        <w:tc>
          <w:tcPr>
            <w:tcW w:w="980" w:type="dxa"/>
            <w:vAlign w:val="bottom"/>
            <w:tcBorders>
              <w:right w:val="single" w:sz="8" w:color="auto"/>
            </w:tcBorders>
            <w:vMerge w:val="restart"/>
          </w:tcPr>
          <w:p>
            <w:pPr>
              <w:jc w:val="right"/>
              <w:ind w:right="146"/>
              <w:spacing w:after="0"/>
              <w:rPr>
                <w:sz w:val="20"/>
                <w:szCs w:val="20"/>
                <w:color w:val="auto"/>
              </w:rPr>
            </w:pPr>
            <w:r>
              <w:rPr>
                <w:rFonts w:ascii="Arial" w:cs="Arial" w:eastAsia="Arial" w:hAnsi="Arial"/>
                <w:sz w:val="11"/>
                <w:szCs w:val="11"/>
                <w:color w:val="auto"/>
              </w:rPr>
              <w:t>-2.9%-1.5%</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- 5.5%</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5.5%</w:t>
            </w:r>
          </w:p>
        </w:tc>
        <w:tc>
          <w:tcPr>
            <w:tcW w:w="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- 9.3%</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9.3% - 12.8%</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12.8% - 16.0%</w:t>
            </w:r>
          </w:p>
        </w:tc>
        <w:tc>
          <w:tcPr>
            <w:tcW w:w="100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1"/>
                <w:szCs w:val="11"/>
                <w:color w:val="auto"/>
              </w:rPr>
              <w:t>&gt;16.0%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Stock Price Growth</w:t>
            </w:r>
          </w:p>
        </w:tc>
        <w:tc>
          <w:tcPr>
            <w:tcW w:w="64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20" w:type="dxa"/>
            <w:vAlign w:val="bottom"/>
            <w:tcBorders>
              <w:right w:val="single" w:sz="8" w:color="auto"/>
            </w:tcBorders>
            <w:vMerge w:val="continue"/>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12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12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-605790</wp:posOffset>
            </wp:positionV>
            <wp:extent cx="33020" cy="61912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33020" cy="619125"/>
                    </a:xfrm>
                    <a:prstGeom prst="rect">
                      <a:avLst/>
                    </a:prstGeom>
                    <a:noFill/>
                  </pic:spPr>
                </pic:pic>
              </a:graphicData>
            </a:graphic>
          </wp:anchor>
        </w:drawing>
      </w:r>
    </w:p>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number of shares paid to each named executive officers for the 2020-2022 shareholder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3501390" cy="762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Target Shares</w:t>
            </w:r>
          </w:p>
        </w:tc>
        <w:tc>
          <w:tcPr>
            <w:tcW w:w="16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Shares Paid Out</w:t>
            </w:r>
          </w:p>
        </w:tc>
      </w:tr>
      <w:tr>
        <w:trPr>
          <w:trHeight w:val="196"/>
        </w:trPr>
        <w:tc>
          <w:tcPr>
            <w:tcW w:w="178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2080" w:type="dxa"/>
            <w:vAlign w:val="bottom"/>
            <w:shd w:val="clear" w:color="auto" w:fill="F2F2F2"/>
          </w:tcPr>
          <w:p>
            <w:pPr>
              <w:jc w:val="center"/>
              <w:ind w:left="478"/>
              <w:spacing w:after="0"/>
              <w:rPr>
                <w:sz w:val="20"/>
                <w:szCs w:val="20"/>
                <w:color w:val="auto"/>
              </w:rPr>
            </w:pPr>
            <w:r>
              <w:rPr>
                <w:rFonts w:ascii="Arial" w:cs="Arial" w:eastAsia="Arial" w:hAnsi="Arial"/>
                <w:sz w:val="12"/>
                <w:szCs w:val="12"/>
                <w:color w:val="auto"/>
              </w:rPr>
              <w:t>33,750</w:t>
            </w:r>
          </w:p>
        </w:tc>
        <w:tc>
          <w:tcPr>
            <w:tcW w:w="16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59,063</w:t>
            </w:r>
          </w:p>
        </w:tc>
      </w:tr>
      <w:tr>
        <w:trPr>
          <w:trHeight w:val="199"/>
        </w:trPr>
        <w:tc>
          <w:tcPr>
            <w:tcW w:w="1780" w:type="dxa"/>
            <w:vAlign w:val="bottom"/>
          </w:tcPr>
          <w:p>
            <w:pPr>
              <w:spacing w:after="0"/>
              <w:rPr>
                <w:sz w:val="20"/>
                <w:szCs w:val="20"/>
                <w:color w:val="auto"/>
              </w:rPr>
            </w:pPr>
            <w:r>
              <w:rPr>
                <w:rFonts w:ascii="Arial" w:cs="Arial" w:eastAsia="Arial" w:hAnsi="Arial"/>
                <w:sz w:val="12"/>
                <w:szCs w:val="12"/>
                <w:color w:val="auto"/>
              </w:rPr>
              <w:t>Ms. Ashkenazi</w:t>
            </w:r>
            <w:r>
              <w:rPr>
                <w:rFonts w:ascii="Arial" w:cs="Arial" w:eastAsia="Arial" w:hAnsi="Arial"/>
                <w:sz w:val="16"/>
                <w:szCs w:val="16"/>
                <w:color w:val="auto"/>
                <w:vertAlign w:val="superscript"/>
              </w:rPr>
              <w:t>1</w:t>
            </w:r>
          </w:p>
        </w:tc>
        <w:tc>
          <w:tcPr>
            <w:tcW w:w="2080" w:type="dxa"/>
            <w:vAlign w:val="bottom"/>
          </w:tcPr>
          <w:p>
            <w:pPr>
              <w:jc w:val="center"/>
              <w:ind w:left="478"/>
              <w:spacing w:after="0"/>
              <w:rPr>
                <w:sz w:val="20"/>
                <w:szCs w:val="20"/>
                <w:color w:val="auto"/>
              </w:rPr>
            </w:pPr>
            <w:r>
              <w:rPr>
                <w:rFonts w:ascii="Arial" w:cs="Arial" w:eastAsia="Arial" w:hAnsi="Arial"/>
                <w:sz w:val="12"/>
                <w:szCs w:val="12"/>
                <w:color w:val="auto"/>
                <w:w w:val="99"/>
              </w:rPr>
              <w:t>1,317</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2,305</w:t>
            </w:r>
          </w:p>
        </w:tc>
      </w:tr>
      <w:tr>
        <w:trPr>
          <w:trHeight w:val="199"/>
        </w:trPr>
        <w:tc>
          <w:tcPr>
            <w:tcW w:w="178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2080" w:type="dxa"/>
            <w:vAlign w:val="bottom"/>
            <w:shd w:val="clear" w:color="auto" w:fill="F2F2F2"/>
          </w:tcPr>
          <w:p>
            <w:pPr>
              <w:jc w:val="center"/>
              <w:ind w:left="478"/>
              <w:spacing w:after="0"/>
              <w:rPr>
                <w:sz w:val="20"/>
                <w:szCs w:val="20"/>
                <w:color w:val="auto"/>
              </w:rPr>
            </w:pPr>
            <w:r>
              <w:rPr>
                <w:rFonts w:ascii="Arial" w:cs="Arial" w:eastAsia="Arial" w:hAnsi="Arial"/>
                <w:sz w:val="12"/>
                <w:szCs w:val="12"/>
                <w:color w:val="auto"/>
              </w:rPr>
              <w:t>11,070</w:t>
            </w:r>
          </w:p>
        </w:tc>
        <w:tc>
          <w:tcPr>
            <w:tcW w:w="16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19,373</w:t>
            </w:r>
          </w:p>
        </w:tc>
      </w:tr>
      <w:tr>
        <w:trPr>
          <w:trHeight w:val="189"/>
        </w:trPr>
        <w:tc>
          <w:tcPr>
            <w:tcW w:w="1780" w:type="dxa"/>
            <w:vAlign w:val="bottom"/>
          </w:tcPr>
          <w:p>
            <w:pPr>
              <w:spacing w:after="0"/>
              <w:rPr>
                <w:sz w:val="20"/>
                <w:szCs w:val="20"/>
                <w:color w:val="auto"/>
              </w:rPr>
            </w:pPr>
            <w:r>
              <w:rPr>
                <w:rFonts w:ascii="Arial" w:cs="Arial" w:eastAsia="Arial" w:hAnsi="Arial"/>
                <w:sz w:val="12"/>
                <w:szCs w:val="12"/>
                <w:color w:val="auto"/>
              </w:rPr>
              <w:t>Ms. Hakim</w:t>
            </w:r>
          </w:p>
        </w:tc>
        <w:tc>
          <w:tcPr>
            <w:tcW w:w="2080" w:type="dxa"/>
            <w:vAlign w:val="bottom"/>
          </w:tcPr>
          <w:p>
            <w:pPr>
              <w:jc w:val="center"/>
              <w:ind w:left="478"/>
              <w:spacing w:after="0"/>
              <w:rPr>
                <w:sz w:val="20"/>
                <w:szCs w:val="20"/>
                <w:color w:val="auto"/>
              </w:rPr>
            </w:pPr>
            <w:r>
              <w:rPr>
                <w:rFonts w:ascii="Arial" w:cs="Arial" w:eastAsia="Arial" w:hAnsi="Arial"/>
                <w:sz w:val="12"/>
                <w:szCs w:val="12"/>
                <w:color w:val="auto"/>
                <w:w w:val="99"/>
              </w:rPr>
              <w:t>5,400</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9,450</w:t>
            </w:r>
          </w:p>
        </w:tc>
      </w:tr>
      <w:tr>
        <w:trPr>
          <w:trHeight w:val="199"/>
        </w:trPr>
        <w:tc>
          <w:tcPr>
            <w:tcW w:w="17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2080" w:type="dxa"/>
            <w:vAlign w:val="bottom"/>
            <w:tcBorders>
              <w:bottom w:val="single" w:sz="8" w:color="auto"/>
            </w:tcBorders>
            <w:shd w:val="clear" w:color="auto" w:fill="F2F2F2"/>
          </w:tcPr>
          <w:p>
            <w:pPr>
              <w:jc w:val="center"/>
              <w:ind w:left="478"/>
              <w:spacing w:after="0"/>
              <w:rPr>
                <w:sz w:val="20"/>
                <w:szCs w:val="20"/>
                <w:color w:val="auto"/>
              </w:rPr>
            </w:pPr>
            <w:r>
              <w:rPr>
                <w:rFonts w:ascii="Arial" w:cs="Arial" w:eastAsia="Arial" w:hAnsi="Arial"/>
                <w:sz w:val="12"/>
                <w:szCs w:val="12"/>
                <w:color w:val="auto"/>
                <w:w w:val="99"/>
              </w:rPr>
              <w:t>4,725</w:t>
            </w:r>
          </w:p>
        </w:tc>
        <w:tc>
          <w:tcPr>
            <w:tcW w:w="16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w w:val="99"/>
              </w:rPr>
              <w:t>8,269</w:t>
            </w:r>
          </w:p>
        </w:tc>
      </w:tr>
    </w:tbl>
    <w:p>
      <w:pPr>
        <w:spacing w:after="0" w:line="148" w:lineRule="exact"/>
        <w:rPr>
          <w:sz w:val="20"/>
          <w:szCs w:val="20"/>
          <w:color w:val="auto"/>
        </w:rPr>
      </w:pPr>
    </w:p>
    <w:p>
      <w:pPr>
        <w:ind w:left="67" w:hanging="67"/>
        <w:spacing w:after="0"/>
        <w:tabs>
          <w:tab w:leader="none" w:pos="67" w:val="left"/>
        </w:tabs>
        <w:numPr>
          <w:ilvl w:val="0"/>
          <w:numId w:val="139"/>
        </w:numPr>
        <w:rPr>
          <w:rFonts w:ascii="Arial" w:cs="Arial" w:eastAsia="Arial" w:hAnsi="Arial"/>
          <w:sz w:val="16"/>
          <w:szCs w:val="16"/>
          <w:color w:val="auto"/>
          <w:vertAlign w:val="superscript"/>
        </w:rPr>
      </w:pPr>
      <w:r>
        <w:rPr>
          <w:rFonts w:ascii="Arial" w:cs="Arial" w:eastAsia="Arial" w:hAnsi="Arial"/>
          <w:sz w:val="12"/>
          <w:szCs w:val="12"/>
          <w:color w:val="auto"/>
        </w:rPr>
        <w:t>Ms. Ashkenazi’s 2020-2022 shareholder value award was granted prior to becoming an executive officer.</w:t>
      </w:r>
    </w:p>
    <w:p>
      <w:pPr>
        <w:spacing w:after="0" w:line="322" w:lineRule="exact"/>
        <w:rPr>
          <w:sz w:val="20"/>
          <w:szCs w:val="20"/>
          <w:color w:val="auto"/>
        </w:rPr>
      </w:pPr>
    </w:p>
    <w:p>
      <w:pPr>
        <w:jc w:val="center"/>
        <w:ind w:right="-106"/>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7"/>
          </w:cols>
          <w:pgMar w:left="313" w:top="1440" w:right="439" w:bottom="1440" w:gutter="0" w:footer="0" w:header="0"/>
        </w:sectPr>
      </w:pPr>
    </w:p>
    <w:bookmarkStart w:id="69" w:name="page70"/>
    <w:bookmarkEnd w:id="69"/>
    <w:p>
      <w:pPr>
        <w:ind w:left="7"/>
        <w:spacing w:after="0"/>
        <w:rPr>
          <w:sz w:val="20"/>
          <w:szCs w:val="20"/>
          <w:color w:val="auto"/>
        </w:rPr>
      </w:pPr>
      <w:r>
        <w:rPr>
          <w:rFonts w:ascii="Arial" w:cs="Arial" w:eastAsia="Arial" w:hAnsi="Arial"/>
          <w:sz w:val="19"/>
          <w:szCs w:val="19"/>
          <w:b w:val="1"/>
          <w:bCs w:val="1"/>
          <w:color w:val="auto"/>
        </w:rPr>
        <w:t>2020-2022 Relative Value Award</w:t>
      </w:r>
    </w:p>
    <w:p>
      <w:pPr>
        <w:spacing w:after="0" w:line="15" w:lineRule="exact"/>
        <w:rPr>
          <w:sz w:val="20"/>
          <w:szCs w:val="20"/>
          <w:color w:val="auto"/>
        </w:rPr>
      </w:pPr>
    </w:p>
    <w:p>
      <w:pPr>
        <w:ind w:left="7" w:right="80"/>
        <w:spacing w:after="0" w:line="246" w:lineRule="auto"/>
        <w:rPr>
          <w:sz w:val="20"/>
          <w:szCs w:val="20"/>
          <w:color w:val="auto"/>
        </w:rPr>
      </w:pPr>
      <w:r>
        <w:rPr>
          <w:rFonts w:ascii="Arial" w:cs="Arial" w:eastAsia="Arial" w:hAnsi="Arial"/>
          <w:sz w:val="16"/>
          <w:szCs w:val="16"/>
          <w:color w:val="auto"/>
        </w:rPr>
        <w:t>The relative value award is based on the three-year Lilly TSR performance compared to our peer group. To determine relative performance, the calculation compares the average closing price of each company’s stock for all trading days in November and December 2019 to the average closing price of each company’s stock for all trading days in November and December 2022, assuming reinvestment of dividends, to obtain the TSR for each company. The median TSR for the peer companies is then subtracted from Lilly’s TSR to determine what payout has been earned.</w:t>
      </w:r>
    </w:p>
    <w:p>
      <w:pPr>
        <w:spacing w:after="0" w:line="119" w:lineRule="exact"/>
        <w:rPr>
          <w:sz w:val="20"/>
          <w:szCs w:val="20"/>
          <w:color w:val="auto"/>
        </w:rPr>
      </w:pPr>
    </w:p>
    <w:p>
      <w:pPr>
        <w:ind w:left="7" w:right="220"/>
        <w:spacing w:after="0" w:line="252" w:lineRule="auto"/>
        <w:rPr>
          <w:sz w:val="20"/>
          <w:szCs w:val="20"/>
          <w:color w:val="auto"/>
        </w:rPr>
      </w:pPr>
      <w:r>
        <w:rPr>
          <w:rFonts w:ascii="Arial" w:cs="Arial" w:eastAsia="Arial" w:hAnsi="Arial"/>
          <w:sz w:val="16"/>
          <w:szCs w:val="16"/>
          <w:color w:val="auto"/>
        </w:rPr>
        <w:t>Lilly’s average closing price adjusted for dividend reinvestment for November and December 2019 was $113.96, and Lilly’s average closing price adjusted for dividend reinvestment for November and December 2022 was $362.94. Therefore, Lilly’s TSR over the performance period was 218.5 percent. The median TSR for the peer companies was 37.4 percent thereby making Lilly’s peer outperformance 181.1 percentage points (218.5 percent minus 37.4 percent). This level of outperformance yields a 175 percent payout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84750" cy="217360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4984750" cy="217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number of shares paid to each named executive officer for the 2020-2022 relative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3501390" cy="762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77"/>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Target Shares</w:t>
            </w:r>
          </w:p>
        </w:tc>
        <w:tc>
          <w:tcPr>
            <w:tcW w:w="16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Shares Paid Out</w:t>
            </w:r>
          </w:p>
        </w:tc>
      </w:tr>
      <w:tr>
        <w:trPr>
          <w:trHeight w:val="196"/>
        </w:trPr>
        <w:tc>
          <w:tcPr>
            <w:tcW w:w="178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2080" w:type="dxa"/>
            <w:vAlign w:val="bottom"/>
            <w:shd w:val="clear" w:color="auto" w:fill="F2F2F2"/>
          </w:tcPr>
          <w:p>
            <w:pPr>
              <w:jc w:val="center"/>
              <w:ind w:left="478"/>
              <w:spacing w:after="0"/>
              <w:rPr>
                <w:sz w:val="20"/>
                <w:szCs w:val="20"/>
                <w:color w:val="auto"/>
              </w:rPr>
            </w:pPr>
            <w:r>
              <w:rPr>
                <w:rFonts w:ascii="Arial" w:cs="Arial" w:eastAsia="Arial" w:hAnsi="Arial"/>
                <w:sz w:val="12"/>
                <w:szCs w:val="12"/>
                <w:color w:val="auto"/>
              </w:rPr>
              <w:t>24,319</w:t>
            </w:r>
          </w:p>
        </w:tc>
        <w:tc>
          <w:tcPr>
            <w:tcW w:w="16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42,558</w:t>
            </w:r>
          </w:p>
        </w:tc>
      </w:tr>
      <w:tr>
        <w:trPr>
          <w:trHeight w:val="199"/>
        </w:trPr>
        <w:tc>
          <w:tcPr>
            <w:tcW w:w="1780" w:type="dxa"/>
            <w:vAlign w:val="bottom"/>
          </w:tcPr>
          <w:p>
            <w:pPr>
              <w:spacing w:after="0"/>
              <w:rPr>
                <w:sz w:val="20"/>
                <w:szCs w:val="20"/>
                <w:color w:val="auto"/>
              </w:rPr>
            </w:pPr>
            <w:r>
              <w:rPr>
                <w:rFonts w:ascii="Arial" w:cs="Arial" w:eastAsia="Arial" w:hAnsi="Arial"/>
                <w:sz w:val="12"/>
                <w:szCs w:val="12"/>
                <w:color w:val="auto"/>
              </w:rPr>
              <w:t>Ms. Ashkenazi</w:t>
            </w:r>
            <w:r>
              <w:rPr>
                <w:rFonts w:ascii="Arial" w:cs="Arial" w:eastAsia="Arial" w:hAnsi="Arial"/>
                <w:sz w:val="16"/>
                <w:szCs w:val="16"/>
                <w:color w:val="auto"/>
                <w:vertAlign w:val="superscript"/>
              </w:rPr>
              <w:t>1</w:t>
            </w:r>
          </w:p>
        </w:tc>
        <w:tc>
          <w:tcPr>
            <w:tcW w:w="2080" w:type="dxa"/>
            <w:vAlign w:val="bottom"/>
          </w:tcPr>
          <w:p>
            <w:pPr>
              <w:jc w:val="center"/>
              <w:ind w:left="478"/>
              <w:spacing w:after="0"/>
              <w:rPr>
                <w:sz w:val="20"/>
                <w:szCs w:val="20"/>
                <w:color w:val="auto"/>
              </w:rPr>
            </w:pPr>
            <w:r>
              <w:rPr>
                <w:rFonts w:ascii="Arial" w:cs="Arial" w:eastAsia="Arial" w:hAnsi="Arial"/>
                <w:sz w:val="12"/>
                <w:szCs w:val="12"/>
                <w:color w:val="auto"/>
                <w:w w:val="99"/>
              </w:rPr>
              <w:t>1,042</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1,824</w:t>
            </w:r>
          </w:p>
        </w:tc>
      </w:tr>
      <w:tr>
        <w:trPr>
          <w:trHeight w:val="199"/>
        </w:trPr>
        <w:tc>
          <w:tcPr>
            <w:tcW w:w="178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2080" w:type="dxa"/>
            <w:vAlign w:val="bottom"/>
            <w:shd w:val="clear" w:color="auto" w:fill="F2F2F2"/>
          </w:tcPr>
          <w:p>
            <w:pPr>
              <w:jc w:val="center"/>
              <w:ind w:left="478"/>
              <w:spacing w:after="0"/>
              <w:rPr>
                <w:sz w:val="20"/>
                <w:szCs w:val="20"/>
                <w:color w:val="auto"/>
              </w:rPr>
            </w:pPr>
            <w:r>
              <w:rPr>
                <w:rFonts w:ascii="Arial" w:cs="Arial" w:eastAsia="Arial" w:hAnsi="Arial"/>
                <w:sz w:val="12"/>
                <w:szCs w:val="12"/>
                <w:color w:val="auto"/>
                <w:w w:val="99"/>
              </w:rPr>
              <w:t>7,977</w:t>
            </w:r>
          </w:p>
        </w:tc>
        <w:tc>
          <w:tcPr>
            <w:tcW w:w="16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13,960</w:t>
            </w:r>
          </w:p>
        </w:tc>
      </w:tr>
      <w:tr>
        <w:trPr>
          <w:trHeight w:val="189"/>
        </w:trPr>
        <w:tc>
          <w:tcPr>
            <w:tcW w:w="1780" w:type="dxa"/>
            <w:vAlign w:val="bottom"/>
          </w:tcPr>
          <w:p>
            <w:pPr>
              <w:spacing w:after="0"/>
              <w:rPr>
                <w:sz w:val="20"/>
                <w:szCs w:val="20"/>
                <w:color w:val="auto"/>
              </w:rPr>
            </w:pPr>
            <w:r>
              <w:rPr>
                <w:rFonts w:ascii="Arial" w:cs="Arial" w:eastAsia="Arial" w:hAnsi="Arial"/>
                <w:sz w:val="12"/>
                <w:szCs w:val="12"/>
                <w:color w:val="auto"/>
              </w:rPr>
              <w:t>Ms. Hakim</w:t>
            </w:r>
          </w:p>
        </w:tc>
        <w:tc>
          <w:tcPr>
            <w:tcW w:w="2080" w:type="dxa"/>
            <w:vAlign w:val="bottom"/>
          </w:tcPr>
          <w:p>
            <w:pPr>
              <w:jc w:val="center"/>
              <w:ind w:left="478"/>
              <w:spacing w:after="0"/>
              <w:rPr>
                <w:sz w:val="20"/>
                <w:szCs w:val="20"/>
                <w:color w:val="auto"/>
              </w:rPr>
            </w:pPr>
            <w:r>
              <w:rPr>
                <w:rFonts w:ascii="Arial" w:cs="Arial" w:eastAsia="Arial" w:hAnsi="Arial"/>
                <w:sz w:val="12"/>
                <w:szCs w:val="12"/>
                <w:color w:val="auto"/>
                <w:w w:val="99"/>
              </w:rPr>
              <w:t>3,891</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6,809</w:t>
            </w:r>
          </w:p>
        </w:tc>
      </w:tr>
      <w:tr>
        <w:trPr>
          <w:trHeight w:val="199"/>
        </w:trPr>
        <w:tc>
          <w:tcPr>
            <w:tcW w:w="17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2080" w:type="dxa"/>
            <w:vAlign w:val="bottom"/>
            <w:tcBorders>
              <w:bottom w:val="single" w:sz="8" w:color="auto"/>
            </w:tcBorders>
            <w:shd w:val="clear" w:color="auto" w:fill="F2F2F2"/>
          </w:tcPr>
          <w:p>
            <w:pPr>
              <w:jc w:val="center"/>
              <w:ind w:left="478"/>
              <w:spacing w:after="0"/>
              <w:rPr>
                <w:sz w:val="20"/>
                <w:szCs w:val="20"/>
                <w:color w:val="auto"/>
              </w:rPr>
            </w:pPr>
            <w:r>
              <w:rPr>
                <w:rFonts w:ascii="Arial" w:cs="Arial" w:eastAsia="Arial" w:hAnsi="Arial"/>
                <w:sz w:val="12"/>
                <w:szCs w:val="12"/>
                <w:color w:val="auto"/>
                <w:w w:val="99"/>
              </w:rPr>
              <w:t>3,405</w:t>
            </w:r>
          </w:p>
        </w:tc>
        <w:tc>
          <w:tcPr>
            <w:tcW w:w="16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w w:val="99"/>
              </w:rPr>
              <w:t>5,959</w:t>
            </w:r>
          </w:p>
        </w:tc>
      </w:tr>
    </w:tbl>
    <w:p>
      <w:pPr>
        <w:spacing w:after="0" w:line="148" w:lineRule="exact"/>
        <w:rPr>
          <w:sz w:val="20"/>
          <w:szCs w:val="20"/>
          <w:color w:val="auto"/>
        </w:rPr>
      </w:pPr>
    </w:p>
    <w:p>
      <w:pPr>
        <w:ind w:left="67" w:hanging="67"/>
        <w:spacing w:after="0"/>
        <w:tabs>
          <w:tab w:leader="none" w:pos="67" w:val="left"/>
        </w:tabs>
        <w:numPr>
          <w:ilvl w:val="0"/>
          <w:numId w:val="140"/>
        </w:numPr>
        <w:rPr>
          <w:rFonts w:ascii="Arial" w:cs="Arial" w:eastAsia="Arial" w:hAnsi="Arial"/>
          <w:sz w:val="16"/>
          <w:szCs w:val="16"/>
          <w:color w:val="auto"/>
          <w:vertAlign w:val="superscript"/>
        </w:rPr>
      </w:pPr>
      <w:r>
        <w:rPr>
          <w:rFonts w:ascii="Arial" w:cs="Arial" w:eastAsia="Arial" w:hAnsi="Arial"/>
          <w:sz w:val="12"/>
          <w:szCs w:val="12"/>
          <w:color w:val="auto"/>
        </w:rPr>
        <w:t>Ms. Ashkenazi’s 2020-2022 relative value award was granted prior to becoming an executive officer.</w:t>
      </w:r>
    </w:p>
    <w:p>
      <w:pPr>
        <w:spacing w:after="0" w:line="32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Other Compensation Practices and Information</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Employee Benefits</w:t>
      </w:r>
    </w:p>
    <w:p>
      <w:pPr>
        <w:spacing w:after="0" w:line="1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offers core employee benefits coverage to:</w:t>
      </w:r>
    </w:p>
    <w:p>
      <w:pPr>
        <w:spacing w:after="0" w:line="36" w:lineRule="exact"/>
        <w:rPr>
          <w:sz w:val="20"/>
          <w:szCs w:val="20"/>
          <w:color w:val="auto"/>
        </w:rPr>
      </w:pPr>
    </w:p>
    <w:p>
      <w:pPr>
        <w:ind w:left="487" w:hanging="276"/>
        <w:spacing w:after="0"/>
        <w:tabs>
          <w:tab w:leader="none" w:pos="487" w:val="left"/>
        </w:tabs>
        <w:numPr>
          <w:ilvl w:val="0"/>
          <w:numId w:val="141"/>
        </w:numPr>
        <w:rPr>
          <w:rFonts w:ascii="Arial" w:cs="Arial" w:eastAsia="Arial" w:hAnsi="Arial"/>
          <w:sz w:val="14"/>
          <w:szCs w:val="14"/>
          <w:color w:val="auto"/>
        </w:rPr>
      </w:pPr>
      <w:r>
        <w:rPr>
          <w:rFonts w:ascii="Arial" w:cs="Arial" w:eastAsia="Arial" w:hAnsi="Arial"/>
          <w:sz w:val="16"/>
          <w:szCs w:val="16"/>
          <w:color w:val="auto"/>
        </w:rPr>
        <w:t>provide our workforce with a reasonable level of financial support in the event of illness or injury,</w:t>
      </w:r>
    </w:p>
    <w:p>
      <w:pPr>
        <w:spacing w:after="0" w:line="49" w:lineRule="exact"/>
        <w:rPr>
          <w:rFonts w:ascii="Arial" w:cs="Arial" w:eastAsia="Arial" w:hAnsi="Arial"/>
          <w:sz w:val="14"/>
          <w:szCs w:val="14"/>
          <w:color w:val="auto"/>
        </w:rPr>
      </w:pPr>
    </w:p>
    <w:p>
      <w:pPr>
        <w:ind w:left="487" w:hanging="276"/>
        <w:spacing w:after="0"/>
        <w:tabs>
          <w:tab w:leader="none" w:pos="487" w:val="left"/>
        </w:tabs>
        <w:numPr>
          <w:ilvl w:val="0"/>
          <w:numId w:val="141"/>
        </w:numPr>
        <w:rPr>
          <w:rFonts w:ascii="Arial" w:cs="Arial" w:eastAsia="Arial" w:hAnsi="Arial"/>
          <w:sz w:val="14"/>
          <w:szCs w:val="14"/>
          <w:color w:val="auto"/>
        </w:rPr>
      </w:pPr>
      <w:r>
        <w:rPr>
          <w:rFonts w:ascii="Arial" w:cs="Arial" w:eastAsia="Arial" w:hAnsi="Arial"/>
          <w:sz w:val="16"/>
          <w:szCs w:val="16"/>
          <w:color w:val="auto"/>
        </w:rPr>
        <w:t>provide post-retirement income, and</w:t>
      </w:r>
    </w:p>
    <w:p>
      <w:pPr>
        <w:spacing w:after="0" w:line="49" w:lineRule="exact"/>
        <w:rPr>
          <w:rFonts w:ascii="Arial" w:cs="Arial" w:eastAsia="Arial" w:hAnsi="Arial"/>
          <w:sz w:val="14"/>
          <w:szCs w:val="14"/>
          <w:color w:val="auto"/>
        </w:rPr>
      </w:pPr>
    </w:p>
    <w:p>
      <w:pPr>
        <w:ind w:left="487" w:hanging="276"/>
        <w:spacing w:after="0"/>
        <w:tabs>
          <w:tab w:leader="none" w:pos="487" w:val="left"/>
        </w:tabs>
        <w:numPr>
          <w:ilvl w:val="0"/>
          <w:numId w:val="141"/>
        </w:numPr>
        <w:rPr>
          <w:rFonts w:ascii="Arial" w:cs="Arial" w:eastAsia="Arial" w:hAnsi="Arial"/>
          <w:sz w:val="14"/>
          <w:szCs w:val="14"/>
          <w:color w:val="auto"/>
        </w:rPr>
      </w:pPr>
      <w:r>
        <w:rPr>
          <w:rFonts w:ascii="Arial" w:cs="Arial" w:eastAsia="Arial" w:hAnsi="Arial"/>
          <w:sz w:val="16"/>
          <w:szCs w:val="16"/>
          <w:color w:val="auto"/>
        </w:rPr>
        <w:t>enhance productivity and job satisfaction through benefit programs that focus on overall well-being.</w:t>
      </w:r>
    </w:p>
    <w:p>
      <w:pPr>
        <w:spacing w:after="0" w:line="50"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The benefit programs available to executive officers are offered to all eligible U.S. employees and include benefits such as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calculated retirement benefit exceeds Internal Revenue Service (IRS) limits for amounts that can be paid through a qualified plan, the company also offers a nonqualified pension plan and a nonqualified savings plan. These plans provide</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875" w:right="319" w:bottom="1440" w:gutter="0" w:footer="0" w:header="0"/>
        </w:sectPr>
      </w:pPr>
    </w:p>
    <w:bookmarkStart w:id="70" w:name="page71"/>
    <w:bookmarkEnd w:id="70"/>
    <w:p>
      <w:pPr>
        <w:ind w:right="60"/>
        <w:spacing w:after="0" w:line="271" w:lineRule="auto"/>
        <w:rPr>
          <w:sz w:val="20"/>
          <w:szCs w:val="20"/>
          <w:color w:val="auto"/>
        </w:rPr>
      </w:pPr>
      <w:r>
        <w:rPr>
          <w:rFonts w:ascii="Arial" w:cs="Arial" w:eastAsia="Arial" w:hAnsi="Arial"/>
          <w:sz w:val="16"/>
          <w:szCs w:val="16"/>
          <w:color w:val="auto"/>
        </w:rPr>
        <w:t>only the difference between the calculated benefits and the applicable IRS limits, and the formula is the same for all participating employees. The cost of employee benefits is partially borne by the employee, including each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Perquisites</w:t>
      </w:r>
    </w:p>
    <w:p>
      <w:pPr>
        <w:spacing w:after="0" w:line="15"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The company provides limited perquisites to executive officers. Mr. Ricks was granted personal use of the corporate aircraft up to a maximum incremental cost established by the Talent and Compensation Committee as a means to (i) increase his time available for company business and (ii) protect his health and safety. The incremental cost of personal use of the corporate aircraft is included as a perquisite in the Summary Compensation Table under the heading “</w:t>
      </w:r>
      <w:r>
        <w:rPr>
          <w:rFonts w:ascii="Arial" w:cs="Arial" w:eastAsia="Arial" w:hAnsi="Arial"/>
          <w:sz w:val="16"/>
          <w:szCs w:val="16"/>
          <w:u w:val="single" w:color="auto"/>
          <w:color w:val="0000FF"/>
        </w:rPr>
        <w:t>All 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Compensation.</w:t>
      </w:r>
      <w:r>
        <w:rPr>
          <w:rFonts w:ascii="Arial" w:cs="Arial" w:eastAsia="Arial" w:hAnsi="Arial"/>
          <w:sz w:val="16"/>
          <w:szCs w:val="16"/>
          <w:color w:val="000000"/>
        </w:rPr>
        <w: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Lilly Deferred Compensation Plan</w:t>
      </w:r>
    </w:p>
    <w:p>
      <w:pPr>
        <w:spacing w:after="0" w:line="15"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w:t>
      </w:r>
      <w:r>
        <w:rPr>
          <w:rFonts w:ascii="Arial" w:cs="Arial" w:eastAsia="Arial" w:hAnsi="Arial"/>
          <w:sz w:val="16"/>
          <w:szCs w:val="16"/>
          <w:u w:val="single" w:color="auto"/>
          <w:color w:val="0000FF"/>
        </w:rPr>
        <w:t>Nonqualified Deferred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Compensation in 2022</w:t>
      </w:r>
      <w:r>
        <w:rPr>
          <w:rFonts w:ascii="Arial" w:cs="Arial" w:eastAsia="Arial" w:hAnsi="Arial"/>
          <w:sz w:val="16"/>
          <w:szCs w:val="16"/>
          <w:color w:val="000000"/>
        </w:rPr>
        <w:t>” table.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Severance Benefits</w:t>
      </w:r>
    </w:p>
    <w:p>
      <w:pPr>
        <w:spacing w:after="0" w:line="26"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Except in the case of certain terminations following a change in control of the company, the company is generally not obligated to pay severance to executive officers upon termination of their employment; any such payments are at the discretion of the Talent and Compensation Committee.</w:t>
      </w:r>
    </w:p>
    <w:p>
      <w:pPr>
        <w:spacing w:after="0" w:line="114"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Highlights of Our Change-in-Control Severance Plans</w:t>
      </w:r>
    </w:p>
    <w:p>
      <w:pPr>
        <w:spacing w:after="0" w:line="15" w:lineRule="exact"/>
        <w:rPr>
          <w:sz w:val="20"/>
          <w:szCs w:val="20"/>
          <w:color w:val="auto"/>
        </w:rPr>
      </w:pPr>
    </w:p>
    <w:p>
      <w:pPr>
        <w:ind w:left="540" w:hanging="266"/>
        <w:spacing w:after="0"/>
        <w:tabs>
          <w:tab w:leader="none" w:pos="540" w:val="left"/>
        </w:tabs>
        <w:numPr>
          <w:ilvl w:val="0"/>
          <w:numId w:val="142"/>
        </w:numPr>
        <w:rPr>
          <w:rFonts w:ascii="Arial" w:cs="Arial" w:eastAsia="Arial" w:hAnsi="Arial"/>
          <w:sz w:val="14"/>
          <w:szCs w:val="14"/>
          <w:color w:val="auto"/>
        </w:rPr>
      </w:pPr>
      <w:r>
        <w:rPr>
          <w:rFonts w:ascii="Arial" w:cs="Arial" w:eastAsia="Arial" w:hAnsi="Arial"/>
          <w:sz w:val="16"/>
          <w:szCs w:val="16"/>
          <w:color w:val="auto"/>
        </w:rPr>
        <w:t>all regular employees are covered</w:t>
      </w:r>
    </w:p>
    <w:p>
      <w:pPr>
        <w:spacing w:after="0" w:line="35" w:lineRule="exact"/>
        <w:rPr>
          <w:rFonts w:ascii="Arial" w:cs="Arial" w:eastAsia="Arial" w:hAnsi="Arial"/>
          <w:sz w:val="14"/>
          <w:szCs w:val="14"/>
          <w:color w:val="auto"/>
        </w:rPr>
      </w:pPr>
    </w:p>
    <w:p>
      <w:pPr>
        <w:ind w:left="540" w:hanging="266"/>
        <w:spacing w:after="0"/>
        <w:tabs>
          <w:tab w:leader="none" w:pos="540" w:val="left"/>
        </w:tabs>
        <w:numPr>
          <w:ilvl w:val="0"/>
          <w:numId w:val="142"/>
        </w:numPr>
        <w:rPr>
          <w:rFonts w:ascii="Arial" w:cs="Arial" w:eastAsia="Arial" w:hAnsi="Arial"/>
          <w:sz w:val="14"/>
          <w:szCs w:val="14"/>
          <w:color w:val="auto"/>
        </w:rPr>
      </w:pPr>
      <w:r>
        <w:rPr>
          <w:rFonts w:ascii="Arial" w:cs="Arial" w:eastAsia="Arial" w:hAnsi="Arial"/>
          <w:sz w:val="16"/>
          <w:szCs w:val="16"/>
          <w:color w:val="auto"/>
        </w:rPr>
        <w:t>double trigger required</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42"/>
        </w:numPr>
        <w:rPr>
          <w:rFonts w:ascii="Arial" w:cs="Arial" w:eastAsia="Arial" w:hAnsi="Arial"/>
          <w:sz w:val="14"/>
          <w:szCs w:val="14"/>
          <w:color w:val="auto"/>
        </w:rPr>
      </w:pPr>
      <w:r>
        <w:rPr>
          <w:rFonts w:ascii="Arial" w:cs="Arial" w:eastAsia="Arial" w:hAnsi="Arial"/>
          <w:sz w:val="16"/>
          <w:szCs w:val="16"/>
          <w:color w:val="auto"/>
        </w:rPr>
        <w:t>no tax gross-ups</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42"/>
        </w:numPr>
        <w:rPr>
          <w:rFonts w:ascii="Arial" w:cs="Arial" w:eastAsia="Arial" w:hAnsi="Arial"/>
          <w:sz w:val="14"/>
          <w:szCs w:val="14"/>
          <w:color w:val="auto"/>
        </w:rPr>
      </w:pPr>
      <w:r>
        <w:rPr>
          <w:rFonts w:ascii="Arial" w:cs="Arial" w:eastAsia="Arial" w:hAnsi="Arial"/>
          <w:sz w:val="16"/>
          <w:szCs w:val="16"/>
          <w:color w:val="auto"/>
        </w:rPr>
        <w:t>up to two-year pay protection</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42"/>
        </w:numPr>
        <w:rPr>
          <w:rFonts w:ascii="Arial" w:cs="Arial" w:eastAsia="Arial" w:hAnsi="Arial"/>
          <w:sz w:val="14"/>
          <w:szCs w:val="14"/>
          <w:color w:val="auto"/>
        </w:rPr>
      </w:pPr>
      <w:r>
        <w:rPr>
          <w:rFonts w:ascii="Arial" w:cs="Arial" w:eastAsia="Arial" w:hAnsi="Arial"/>
          <w:sz w:val="16"/>
          <w:szCs w:val="16"/>
          <w:color w:val="auto"/>
        </w:rPr>
        <w:t>18-month benefit continuation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Although benefit levels may differ depending on the employee’s job level and seniority, the basic elements of the plans are comparable for all eligible employees:</w:t>
      </w:r>
    </w:p>
    <w:p>
      <w:pPr>
        <w:spacing w:after="0" w:line="232" w:lineRule="exact"/>
        <w:rPr>
          <w:sz w:val="20"/>
          <w:szCs w:val="20"/>
          <w:color w:val="auto"/>
        </w:rPr>
      </w:pPr>
    </w:p>
    <w:p>
      <w:pPr>
        <w:ind w:left="280" w:hanging="146"/>
        <w:spacing w:after="0" w:line="266" w:lineRule="auto"/>
        <w:tabs>
          <w:tab w:leader="none" w:pos="271" w:val="left"/>
        </w:tabs>
        <w:numPr>
          <w:ilvl w:val="0"/>
          <w:numId w:val="143"/>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Double trigger: </w:t>
      </w:r>
      <w:r>
        <w:rPr>
          <w:rFonts w:ascii="Arial" w:cs="Arial" w:eastAsia="Arial" w:hAnsi="Arial"/>
          <w:sz w:val="15"/>
          <w:szCs w:val="15"/>
          <w:color w:val="000000"/>
        </w:rPr>
        <w:t>Unlike “single trigger” plans that pay out immediately upon a change in control, our plans require a “double trigger”—a change in control</w:t>
      </w:r>
      <w:r>
        <w:rPr>
          <w:rFonts w:ascii="Arial" w:cs="Arial" w:eastAsia="Arial" w:hAnsi="Arial"/>
          <w:sz w:val="17"/>
          <w:szCs w:val="17"/>
          <w:b w:val="1"/>
          <w:bCs w:val="1"/>
          <w:color w:val="D52B1E"/>
        </w:rPr>
        <w:t xml:space="preserve"> </w:t>
      </w:r>
      <w:r>
        <w:rPr>
          <w:rFonts w:ascii="Arial" w:cs="Arial" w:eastAsia="Arial" w:hAnsi="Arial"/>
          <w:sz w:val="15"/>
          <w:szCs w:val="15"/>
          <w:color w:val="000000"/>
        </w:rPr>
        <w:t>followed by an involuntary loss of employment within two years. This is consistent 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47" w:lineRule="exact"/>
        <w:rPr>
          <w:rFonts w:ascii="Arial" w:cs="Arial" w:eastAsia="Arial" w:hAnsi="Arial"/>
          <w:sz w:val="14"/>
          <w:szCs w:val="14"/>
          <w:b w:val="1"/>
          <w:bCs w:val="1"/>
          <w:color w:val="D52B1E"/>
        </w:rPr>
      </w:pPr>
    </w:p>
    <w:p>
      <w:pPr>
        <w:ind w:left="280" w:right="20" w:hanging="146"/>
        <w:spacing w:after="0" w:line="283" w:lineRule="auto"/>
        <w:tabs>
          <w:tab w:leader="none" w:pos="271" w:val="left"/>
        </w:tabs>
        <w:numPr>
          <w:ilvl w:val="0"/>
          <w:numId w:val="143"/>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Covered terminations: </w:t>
      </w:r>
      <w:r>
        <w:rPr>
          <w:rFonts w:ascii="Arial" w:cs="Arial" w:eastAsia="Arial" w:hAnsi="Arial"/>
          <w:sz w:val="15"/>
          <w:szCs w:val="15"/>
          <w:color w:val="000000"/>
        </w:rPr>
        <w:t>Employees are eligible for payments if, within two years of the change in control, their employment is terminated (i) without cause by</w:t>
      </w:r>
      <w:r>
        <w:rPr>
          <w:rFonts w:ascii="Arial" w:cs="Arial" w:eastAsia="Arial" w:hAnsi="Arial"/>
          <w:sz w:val="17"/>
          <w:szCs w:val="17"/>
          <w:b w:val="1"/>
          <w:bCs w:val="1"/>
          <w:color w:val="D52B1E"/>
        </w:rPr>
        <w:t xml:space="preserve"> </w:t>
      </w:r>
      <w:r>
        <w:rPr>
          <w:rFonts w:ascii="Arial" w:cs="Arial" w:eastAsia="Arial" w:hAnsi="Arial"/>
          <w:sz w:val="15"/>
          <w:szCs w:val="15"/>
          <w:color w:val="000000"/>
        </w:rPr>
        <w:t>the company or (ii) for good reason by the employee, each as defined in the plans. See “</w:t>
      </w:r>
      <w:r>
        <w:rPr>
          <w:rFonts w:ascii="Arial" w:cs="Arial" w:eastAsia="Arial" w:hAnsi="Arial"/>
          <w:sz w:val="15"/>
          <w:szCs w:val="15"/>
          <w:u w:val="single" w:color="auto"/>
          <w:color w:val="0000FF"/>
        </w:rPr>
        <w:t>Compensation—Executive Compensation—Payments upon</w:t>
      </w:r>
      <w:r>
        <w:rPr>
          <w:rFonts w:ascii="Arial" w:cs="Arial" w:eastAsia="Arial" w:hAnsi="Arial"/>
          <w:sz w:val="15"/>
          <w:szCs w:val="15"/>
          <w:color w:val="000000"/>
        </w:rPr>
        <w:t xml:space="preserve"> </w:t>
      </w:r>
      <w:r>
        <w:rPr>
          <w:rFonts w:ascii="Arial" w:cs="Arial" w:eastAsia="Arial" w:hAnsi="Arial"/>
          <w:sz w:val="15"/>
          <w:szCs w:val="15"/>
          <w:u w:val="single" w:color="auto"/>
          <w:color w:val="0000FF"/>
        </w:rPr>
        <w:t>Termination or Change in Control</w:t>
      </w:r>
      <w:r>
        <w:rPr>
          <w:rFonts w:ascii="Arial" w:cs="Arial" w:eastAsia="Arial" w:hAnsi="Arial"/>
          <w:sz w:val="15"/>
          <w:szCs w:val="15"/>
          <w:color w:val="000000"/>
        </w:rPr>
        <w:t>” for a more detailed discussion, including a discussion of what constitutes a change in control.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1" w:name="page72"/>
    <w:bookmarkEnd w:id="71"/>
    <w:p>
      <w:pPr>
        <w:ind w:left="280" w:right="520" w:hanging="146"/>
        <w:spacing w:after="0" w:line="275" w:lineRule="auto"/>
        <w:tabs>
          <w:tab w:leader="none" w:pos="271" w:val="left"/>
        </w:tabs>
        <w:numPr>
          <w:ilvl w:val="0"/>
          <w:numId w:val="144"/>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Employees who suffer a covered termination receive up to two years of pay and 18 months of benefits protection: </w:t>
      </w:r>
      <w:r>
        <w:rPr>
          <w:rFonts w:ascii="Arial" w:cs="Arial" w:eastAsia="Arial" w:hAnsi="Arial"/>
          <w:sz w:val="15"/>
          <w:szCs w:val="15"/>
          <w:color w:val="000000"/>
        </w:rPr>
        <w:t>These provisions</w:t>
      </w:r>
      <w:r>
        <w:rPr>
          <w:rFonts w:ascii="Arial" w:cs="Arial" w:eastAsia="Arial" w:hAnsi="Arial"/>
          <w:sz w:val="17"/>
          <w:szCs w:val="17"/>
          <w:b w:val="1"/>
          <w:bCs w:val="1"/>
          <w:color w:val="D52B1E"/>
        </w:rPr>
        <w:t xml:space="preserve"> </w:t>
      </w:r>
      <w:r>
        <w:rPr>
          <w:rFonts w:ascii="Arial" w:cs="Arial" w:eastAsia="Arial" w:hAnsi="Arial"/>
          <w:sz w:val="15"/>
          <w:szCs w:val="15"/>
          <w:color w:val="000000"/>
        </w:rPr>
        <w:t>ensure employees a reasonable period of protection of their income and core employee benefits.</w:t>
      </w:r>
    </w:p>
    <w:p>
      <w:pPr>
        <w:ind w:left="420" w:right="180" w:hanging="146"/>
        <w:spacing w:after="0" w:line="271" w:lineRule="auto"/>
        <w:tabs>
          <w:tab w:leader="none" w:pos="411" w:val="left"/>
        </w:tabs>
        <w:numPr>
          <w:ilvl w:val="1"/>
          <w:numId w:val="144"/>
        </w:numPr>
        <w:rPr>
          <w:rFonts w:ascii="Arial" w:cs="Arial" w:eastAsia="Arial" w:hAnsi="Arial"/>
          <w:sz w:val="14"/>
          <w:szCs w:val="14"/>
          <w:color w:val="auto"/>
        </w:rPr>
      </w:pPr>
      <w:r>
        <w:rPr>
          <w:rFonts w:ascii="Arial" w:cs="Arial" w:eastAsia="Arial" w:hAnsi="Arial"/>
          <w:sz w:val="16"/>
          <w:szCs w:val="16"/>
          <w:color w:val="auto"/>
        </w:rPr>
        <w:t>Severance payment. Eligible terminated employees would receive a severance payment ranging from six months’ to two years’ base salary. Executives are all eligible for two years’ base salary plus two times the then-current year’s target bonus.</w:t>
      </w:r>
    </w:p>
    <w:p>
      <w:pPr>
        <w:spacing w:after="0" w:line="98" w:lineRule="exact"/>
        <w:rPr>
          <w:rFonts w:ascii="Arial" w:cs="Arial" w:eastAsia="Arial" w:hAnsi="Arial"/>
          <w:sz w:val="14"/>
          <w:szCs w:val="14"/>
          <w:color w:val="auto"/>
        </w:rPr>
      </w:pPr>
    </w:p>
    <w:p>
      <w:pPr>
        <w:ind w:left="420" w:right="100" w:hanging="146"/>
        <w:spacing w:after="0" w:line="257" w:lineRule="auto"/>
        <w:tabs>
          <w:tab w:leader="none" w:pos="411" w:val="left"/>
        </w:tabs>
        <w:numPr>
          <w:ilvl w:val="1"/>
          <w:numId w:val="144"/>
        </w:numPr>
        <w:rPr>
          <w:rFonts w:ascii="Arial" w:cs="Arial" w:eastAsia="Arial" w:hAnsi="Arial"/>
          <w:sz w:val="14"/>
          <w:szCs w:val="14"/>
          <w:color w:val="auto"/>
        </w:rPr>
      </w:pPr>
      <w:r>
        <w:rPr>
          <w:rFonts w:ascii="Arial" w:cs="Arial" w:eastAsia="Arial" w:hAnsi="Arial"/>
          <w:sz w:val="16"/>
          <w:szCs w:val="16"/>
          <w:color w:val="auto"/>
        </w:rPr>
        <w:t>Benefit continuation. Basic employee benefits such as health, dental, life insurance and long-term disability would continue for 18 months following termination 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198" w:lineRule="exact"/>
        <w:rPr>
          <w:rFonts w:ascii="Arial" w:cs="Arial" w:eastAsia="Arial" w:hAnsi="Arial"/>
          <w:sz w:val="14"/>
          <w:szCs w:val="14"/>
          <w:color w:val="auto"/>
        </w:rPr>
      </w:pPr>
    </w:p>
    <w:p>
      <w:pPr>
        <w:ind w:left="260" w:hanging="126"/>
        <w:spacing w:after="0"/>
        <w:tabs>
          <w:tab w:leader="none" w:pos="260" w:val="left"/>
        </w:tabs>
        <w:numPr>
          <w:ilvl w:val="0"/>
          <w:numId w:val="144"/>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Accelerated vesting of equity awards: </w:t>
      </w:r>
      <w:r>
        <w:rPr>
          <w:rFonts w:ascii="Arial" w:cs="Arial" w:eastAsia="Arial" w:hAnsi="Arial"/>
          <w:sz w:val="15"/>
          <w:szCs w:val="15"/>
          <w:color w:val="000000"/>
        </w:rPr>
        <w:t>Any unvested equity awards would vest at the time of a covered termination.</w:t>
      </w:r>
    </w:p>
    <w:p>
      <w:pPr>
        <w:spacing w:after="0" w:line="225" w:lineRule="exact"/>
        <w:rPr>
          <w:rFonts w:ascii="Arial" w:cs="Arial" w:eastAsia="Arial" w:hAnsi="Arial"/>
          <w:sz w:val="14"/>
          <w:szCs w:val="14"/>
          <w:b w:val="1"/>
          <w:bCs w:val="1"/>
          <w:color w:val="D52B1E"/>
        </w:rPr>
      </w:pPr>
    </w:p>
    <w:p>
      <w:pPr>
        <w:ind w:left="280" w:right="100" w:hanging="146"/>
        <w:spacing w:after="0" w:line="264" w:lineRule="auto"/>
        <w:tabs>
          <w:tab w:leader="none" w:pos="271" w:val="left"/>
        </w:tabs>
        <w:numPr>
          <w:ilvl w:val="0"/>
          <w:numId w:val="144"/>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Excise tax: </w:t>
      </w:r>
      <w:r>
        <w:rPr>
          <w:rFonts w:ascii="Arial" w:cs="Arial" w:eastAsia="Arial" w:hAnsi="Arial"/>
          <w:sz w:val="15"/>
          <w:szCs w:val="15"/>
          <w:color w:val="000000"/>
        </w:rPr>
        <w:t>In some circumstances, the payments or other benefits received by the employee in connection with a change in control could exceed limits</w:t>
      </w:r>
      <w:r>
        <w:rPr>
          <w:rFonts w:ascii="Arial" w:cs="Arial" w:eastAsia="Arial" w:hAnsi="Arial"/>
          <w:sz w:val="17"/>
          <w:szCs w:val="17"/>
          <w:b w:val="1"/>
          <w:bCs w:val="1"/>
          <w:color w:val="D52B1E"/>
        </w:rPr>
        <w:t xml:space="preserve"> </w:t>
      </w:r>
      <w:r>
        <w:rPr>
          <w:rFonts w:ascii="Arial" w:cs="Arial" w:eastAsia="Arial" w:hAnsi="Arial"/>
          <w:sz w:val="15"/>
          <w:szCs w:val="15"/>
          <w:color w:val="000000"/>
        </w:rPr>
        <w:t>established under Section 280G of the Internal Revenue Code. The employee would then be subject to an excise tax on top of normal federal income tax. The company does not reimburse employees for these taxes. However, the amount of any change-in-control-related benefit will be reduced to the 280G limit if the effect would be to deliver a greater after-tax benefit than the employee would receive with an unreduced benefit.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Share Ownership and Retention Guidelines</w:t>
      </w:r>
    </w:p>
    <w:p>
      <w:pPr>
        <w:spacing w:after="0" w:line="57"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 The share ownership requirement for the CEO is 12 times his annual base salary and the share ownership requirement for the other named executive officers is 6 times their annual base salary.</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Until ownership of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spacing w:after="0" w:line="115"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All of the named executive officers are compliant with the share ownership guidelines. The following graphic shows each respective named executive officer’s guideline and each named executive officer’s holdings as of December 31, 2022.</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20" w:type="dxa"/>
            <w:vAlign w:val="bottom"/>
            <w:gridSpan w:val="4"/>
          </w:tcPr>
          <w:p>
            <w:pPr>
              <w:jc w:val="center"/>
              <w:ind w:right="1698"/>
              <w:spacing w:after="0"/>
              <w:rPr>
                <w:sz w:val="20"/>
                <w:szCs w:val="20"/>
                <w:color w:val="auto"/>
              </w:rPr>
            </w:pPr>
            <w:r>
              <w:rPr>
                <w:rFonts w:ascii="Arial" w:cs="Arial" w:eastAsia="Arial" w:hAnsi="Arial"/>
                <w:sz w:val="19"/>
                <w:szCs w:val="19"/>
                <w:b w:val="1"/>
                <w:bCs w:val="1"/>
                <w:color w:val="auto"/>
                <w:w w:val="98"/>
              </w:rPr>
              <w:t>Share Ownership and Retention Guidelines</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60" w:type="dxa"/>
            <w:vAlign w:val="bottom"/>
            <w:gridSpan w:val="3"/>
          </w:tcPr>
          <w:p>
            <w:pPr>
              <w:ind w:left="20"/>
              <w:spacing w:after="0"/>
              <w:rPr>
                <w:sz w:val="20"/>
                <w:szCs w:val="20"/>
                <w:color w:val="auto"/>
              </w:rPr>
            </w:pPr>
            <w:r>
              <w:rPr>
                <w:rFonts w:ascii="Arial" w:cs="Arial" w:eastAsia="Arial" w:hAnsi="Arial"/>
                <w:sz w:val="11"/>
                <w:szCs w:val="11"/>
                <w:b w:val="1"/>
                <w:bCs w:val="1"/>
                <w:color w:val="00A1DE"/>
              </w:rPr>
              <w:t>12x Base Salary Ownership Requirement</w:t>
            </w:r>
          </w:p>
        </w:tc>
        <w:tc>
          <w:tcPr>
            <w:tcW w:w="0" w:type="dxa"/>
            <w:vAlign w:val="bottom"/>
          </w:tcPr>
          <w:p>
            <w:pPr>
              <w:spacing w:after="0"/>
              <w:rPr>
                <w:sz w:val="1"/>
                <w:szCs w:val="1"/>
                <w:color w:val="auto"/>
              </w:rPr>
            </w:pPr>
          </w:p>
        </w:tc>
      </w:tr>
      <w:tr>
        <w:trPr>
          <w:trHeight w:val="77"/>
        </w:trPr>
        <w:tc>
          <w:tcPr>
            <w:tcW w:w="13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Mr. Ricks</w:t>
            </w: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80" w:type="dxa"/>
            <w:vAlign w:val="bottom"/>
            <w:shd w:val="clear" w:color="auto" w:fill="D0E7F7"/>
          </w:tcPr>
          <w:p>
            <w:pPr>
              <w:spacing w:after="0"/>
              <w:rPr>
                <w:sz w:val="20"/>
                <w:szCs w:val="20"/>
                <w:color w:val="auto"/>
              </w:rPr>
            </w:pPr>
          </w:p>
        </w:tc>
        <w:tc>
          <w:tcPr>
            <w:tcW w:w="560" w:type="dxa"/>
            <w:vAlign w:val="bottom"/>
            <w:shd w:val="clear" w:color="auto" w:fill="D0E7F7"/>
          </w:tcPr>
          <w:p>
            <w:pPr>
              <w:spacing w:after="0"/>
              <w:rPr>
                <w:sz w:val="20"/>
                <w:szCs w:val="20"/>
                <w:color w:val="auto"/>
              </w:rPr>
            </w:pPr>
          </w:p>
        </w:tc>
        <w:tc>
          <w:tcPr>
            <w:tcW w:w="260" w:type="dxa"/>
            <w:vAlign w:val="bottom"/>
            <w:shd w:val="clear" w:color="auto" w:fill="D0E7F7"/>
          </w:tcPr>
          <w:p>
            <w:pPr>
              <w:spacing w:after="0"/>
              <w:rPr>
                <w:sz w:val="20"/>
                <w:szCs w:val="20"/>
                <w:color w:val="auto"/>
              </w:rPr>
            </w:pPr>
          </w:p>
        </w:tc>
        <w:tc>
          <w:tcPr>
            <w:tcW w:w="1440" w:type="dxa"/>
            <w:vAlign w:val="bottom"/>
            <w:shd w:val="clear" w:color="auto" w:fill="D0E7F7"/>
          </w:tcPr>
          <w:p>
            <w:pPr>
              <w:spacing w:after="0"/>
              <w:rPr>
                <w:sz w:val="20"/>
                <w:szCs w:val="20"/>
                <w:color w:val="auto"/>
              </w:rPr>
            </w:pPr>
          </w:p>
        </w:tc>
        <w:tc>
          <w:tcPr>
            <w:tcW w:w="3760" w:type="dxa"/>
            <w:vAlign w:val="bottom"/>
            <w:shd w:val="clear" w:color="auto" w:fill="D0E7F7"/>
          </w:tcPr>
          <w:p>
            <w:pPr>
              <w:ind w:left="3480"/>
              <w:spacing w:after="0"/>
              <w:rPr>
                <w:sz w:val="20"/>
                <w:szCs w:val="20"/>
                <w:color w:val="auto"/>
              </w:rPr>
            </w:pPr>
            <w:r>
              <w:rPr>
                <w:rFonts w:ascii="Arial" w:cs="Arial" w:eastAsia="Arial" w:hAnsi="Arial"/>
                <w:sz w:val="12"/>
                <w:szCs w:val="12"/>
                <w:b w:val="1"/>
                <w:bCs w:val="1"/>
                <w:color w:val="auto"/>
                <w:w w:val="97"/>
              </w:rPr>
              <w:t>123x</w:t>
            </w: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280" w:type="dxa"/>
            <w:vAlign w:val="bottom"/>
            <w:tcBorders>
              <w:bottom w:val="single" w:sz="8" w:color="B6B6B6"/>
            </w:tcBorders>
          </w:tcPr>
          <w:p>
            <w:pPr>
              <w:spacing w:after="0"/>
              <w:rPr>
                <w:sz w:val="11"/>
                <w:szCs w:val="11"/>
                <w:color w:val="auto"/>
              </w:rPr>
            </w:pPr>
          </w:p>
        </w:tc>
        <w:tc>
          <w:tcPr>
            <w:tcW w:w="6020" w:type="dxa"/>
            <w:vAlign w:val="bottom"/>
            <w:tcBorders>
              <w:bottom w:val="single" w:sz="8" w:color="B6B6B6"/>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gridSpan w:val="4"/>
          </w:tcPr>
          <w:p>
            <w:pPr>
              <w:ind w:left="160"/>
              <w:spacing w:after="0"/>
              <w:rPr>
                <w:sz w:val="20"/>
                <w:szCs w:val="20"/>
                <w:color w:val="auto"/>
              </w:rPr>
            </w:pPr>
            <w:r>
              <w:rPr>
                <w:rFonts w:ascii="Arial" w:cs="Arial" w:eastAsia="Arial" w:hAnsi="Arial"/>
                <w:sz w:val="11"/>
                <w:szCs w:val="11"/>
                <w:b w:val="1"/>
                <w:bCs w:val="1"/>
                <w:color w:val="00A1DE"/>
              </w:rPr>
              <w:t>6x Base Salary Ownership Requirement</w:t>
            </w:r>
          </w:p>
        </w:tc>
        <w:tc>
          <w:tcPr>
            <w:tcW w:w="0" w:type="dxa"/>
            <w:vAlign w:val="bottom"/>
          </w:tcPr>
          <w:p>
            <w:pPr>
              <w:spacing w:after="0"/>
              <w:rPr>
                <w:sz w:val="1"/>
                <w:szCs w:val="1"/>
                <w:color w:val="auto"/>
              </w:rPr>
            </w:pPr>
          </w:p>
        </w:tc>
      </w:tr>
      <w:tr>
        <w:trPr>
          <w:trHeight w:val="88"/>
        </w:trPr>
        <w:tc>
          <w:tcPr>
            <w:tcW w:w="13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Ms. Ashkenazi</w:t>
            </w:r>
          </w:p>
        </w:tc>
        <w:tc>
          <w:tcPr>
            <w:tcW w:w="280" w:type="dxa"/>
            <w:vAlign w:val="bottom"/>
          </w:tcPr>
          <w:p>
            <w:pPr>
              <w:spacing w:after="0"/>
              <w:rPr>
                <w:sz w:val="7"/>
                <w:szCs w:val="7"/>
                <w:color w:val="auto"/>
              </w:rPr>
            </w:pPr>
          </w:p>
        </w:tc>
        <w:tc>
          <w:tcPr>
            <w:tcW w:w="82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80" w:type="dxa"/>
            <w:vAlign w:val="bottom"/>
            <w:shd w:val="clear" w:color="auto" w:fill="D0E7F7"/>
          </w:tcPr>
          <w:p>
            <w:pPr>
              <w:spacing w:after="0"/>
              <w:rPr>
                <w:sz w:val="20"/>
                <w:szCs w:val="20"/>
                <w:color w:val="auto"/>
              </w:rPr>
            </w:pPr>
          </w:p>
        </w:tc>
        <w:tc>
          <w:tcPr>
            <w:tcW w:w="560" w:type="dxa"/>
            <w:vAlign w:val="bottom"/>
            <w:shd w:val="clear" w:color="auto" w:fill="D0E7F7"/>
          </w:tcPr>
          <w:p>
            <w:pPr>
              <w:ind w:left="340"/>
              <w:spacing w:after="0"/>
              <w:rPr>
                <w:sz w:val="20"/>
                <w:szCs w:val="20"/>
                <w:color w:val="auto"/>
              </w:rPr>
            </w:pPr>
            <w:r>
              <w:rPr>
                <w:rFonts w:ascii="Arial" w:cs="Arial" w:eastAsia="Arial" w:hAnsi="Arial"/>
                <w:sz w:val="12"/>
                <w:szCs w:val="12"/>
                <w:b w:val="1"/>
                <w:bCs w:val="1"/>
                <w:color w:val="auto"/>
                <w:w w:val="99"/>
              </w:rPr>
              <w:t>12x</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3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w w:val="95"/>
              </w:rPr>
              <w:t>Dr. Skovronsky</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80" w:type="dxa"/>
            <w:vAlign w:val="bottom"/>
            <w:shd w:val="clear" w:color="auto" w:fill="D0E7F7"/>
          </w:tcPr>
          <w:p>
            <w:pPr>
              <w:spacing w:after="0"/>
              <w:rPr>
                <w:sz w:val="20"/>
                <w:szCs w:val="20"/>
                <w:color w:val="auto"/>
              </w:rPr>
            </w:pPr>
          </w:p>
        </w:tc>
        <w:tc>
          <w:tcPr>
            <w:tcW w:w="560" w:type="dxa"/>
            <w:vAlign w:val="bottom"/>
            <w:shd w:val="clear" w:color="auto" w:fill="D0E7F7"/>
          </w:tcPr>
          <w:p>
            <w:pPr>
              <w:spacing w:after="0"/>
              <w:rPr>
                <w:sz w:val="20"/>
                <w:szCs w:val="20"/>
                <w:color w:val="auto"/>
              </w:rPr>
            </w:pPr>
          </w:p>
        </w:tc>
        <w:tc>
          <w:tcPr>
            <w:tcW w:w="260" w:type="dxa"/>
            <w:vAlign w:val="bottom"/>
            <w:shd w:val="clear" w:color="auto" w:fill="D0E7F7"/>
          </w:tcPr>
          <w:p>
            <w:pPr>
              <w:spacing w:after="0"/>
              <w:rPr>
                <w:sz w:val="20"/>
                <w:szCs w:val="20"/>
                <w:color w:val="auto"/>
              </w:rPr>
            </w:pPr>
          </w:p>
        </w:tc>
        <w:tc>
          <w:tcPr>
            <w:tcW w:w="1440" w:type="dxa"/>
            <w:vAlign w:val="bottom"/>
            <w:shd w:val="clear" w:color="auto" w:fill="D0E7F7"/>
          </w:tcPr>
          <w:p>
            <w:pPr>
              <w:jc w:val="center"/>
              <w:ind w:left="1118"/>
              <w:spacing w:after="0"/>
              <w:rPr>
                <w:sz w:val="20"/>
                <w:szCs w:val="20"/>
                <w:color w:val="auto"/>
              </w:rPr>
            </w:pPr>
            <w:r>
              <w:rPr>
                <w:rFonts w:ascii="Arial" w:cs="Arial" w:eastAsia="Arial" w:hAnsi="Arial"/>
                <w:sz w:val="12"/>
                <w:szCs w:val="12"/>
                <w:b w:val="1"/>
                <w:bCs w:val="1"/>
                <w:color w:val="auto"/>
              </w:rPr>
              <w:t>43x</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3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Ms. Hakim*</w:t>
            </w:r>
          </w:p>
        </w:tc>
        <w:tc>
          <w:tcPr>
            <w:tcW w:w="1100" w:type="dxa"/>
            <w:vAlign w:val="bottom"/>
            <w:gridSpan w:val="3"/>
          </w:tcPr>
          <w:p>
            <w:pPr>
              <w:spacing w:after="0"/>
              <w:rPr>
                <w:sz w:val="11"/>
                <w:szCs w:val="11"/>
                <w:color w:val="auto"/>
              </w:rPr>
            </w:pPr>
          </w:p>
        </w:tc>
        <w:tc>
          <w:tcPr>
            <w:tcW w:w="5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80" w:type="dxa"/>
            <w:vAlign w:val="bottom"/>
            <w:shd w:val="clear" w:color="auto" w:fill="D0E7F7"/>
          </w:tcPr>
          <w:p>
            <w:pPr>
              <w:ind w:left="120"/>
              <w:spacing w:after="0"/>
              <w:rPr>
                <w:sz w:val="20"/>
                <w:szCs w:val="20"/>
                <w:color w:val="auto"/>
              </w:rPr>
            </w:pPr>
            <w:r>
              <w:rPr>
                <w:rFonts w:ascii="Arial" w:cs="Arial" w:eastAsia="Arial" w:hAnsi="Arial"/>
                <w:sz w:val="12"/>
                <w:szCs w:val="12"/>
                <w:b w:val="1"/>
                <w:bCs w:val="1"/>
                <w:color w:val="auto"/>
              </w:rPr>
              <w:t>4x</w:t>
            </w:r>
          </w:p>
        </w:tc>
        <w:tc>
          <w:tcPr>
            <w:tcW w:w="820" w:type="dxa"/>
            <w:vAlign w:val="bottom"/>
            <w:gridSpan w:val="2"/>
          </w:tcPr>
          <w:p>
            <w:pPr>
              <w:spacing w:after="0"/>
              <w:rPr>
                <w:sz w:val="20"/>
                <w:szCs w:val="20"/>
                <w:color w:val="auto"/>
              </w:rPr>
            </w:pPr>
          </w:p>
        </w:tc>
        <w:tc>
          <w:tcPr>
            <w:tcW w:w="5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3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Mr. Jonsson</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80" w:type="dxa"/>
            <w:vAlign w:val="bottom"/>
            <w:shd w:val="clear" w:color="auto" w:fill="D0E7F7"/>
          </w:tcPr>
          <w:p>
            <w:pPr>
              <w:spacing w:after="0"/>
              <w:rPr>
                <w:sz w:val="20"/>
                <w:szCs w:val="20"/>
                <w:color w:val="auto"/>
              </w:rPr>
            </w:pPr>
          </w:p>
        </w:tc>
        <w:tc>
          <w:tcPr>
            <w:tcW w:w="560" w:type="dxa"/>
            <w:vAlign w:val="bottom"/>
            <w:shd w:val="clear" w:color="auto" w:fill="D0E7F7"/>
          </w:tcPr>
          <w:p>
            <w:pPr>
              <w:spacing w:after="0"/>
              <w:rPr>
                <w:sz w:val="20"/>
                <w:szCs w:val="20"/>
                <w:color w:val="auto"/>
              </w:rPr>
            </w:pPr>
          </w:p>
        </w:tc>
        <w:tc>
          <w:tcPr>
            <w:tcW w:w="260" w:type="dxa"/>
            <w:vAlign w:val="bottom"/>
            <w:shd w:val="clear" w:color="auto" w:fill="D0E7F7"/>
          </w:tcPr>
          <w:p>
            <w:pPr>
              <w:ind w:left="40"/>
              <w:spacing w:after="0"/>
              <w:rPr>
                <w:sz w:val="20"/>
                <w:szCs w:val="20"/>
                <w:color w:val="auto"/>
              </w:rPr>
            </w:pPr>
            <w:r>
              <w:rPr>
                <w:rFonts w:ascii="Arial" w:cs="Arial" w:eastAsia="Arial" w:hAnsi="Arial"/>
                <w:sz w:val="12"/>
                <w:szCs w:val="12"/>
                <w:b w:val="1"/>
                <w:bCs w:val="1"/>
                <w:color w:val="auto"/>
                <w:w w:val="99"/>
              </w:rPr>
              <w:t>16x</w:t>
            </w:r>
          </w:p>
        </w:tc>
        <w:tc>
          <w:tcPr>
            <w:tcW w:w="5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-969010</wp:posOffset>
            </wp:positionV>
            <wp:extent cx="33020" cy="106362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3020" cy="1063625"/>
                    </a:xfrm>
                    <a:prstGeom prst="rect">
                      <a:avLst/>
                    </a:prstGeom>
                    <a:noFill/>
                  </pic:spPr>
                </pic:pic>
              </a:graphicData>
            </a:graphic>
          </wp:anchor>
        </w:drawing>
        <w:drawing>
          <wp:anchor simplePos="0" relativeHeight="251657728" behindDoc="1" locked="0" layoutInCell="0" allowOverlap="1">
            <wp:simplePos x="0" y="0"/>
            <wp:positionH relativeFrom="column">
              <wp:posOffset>1459230</wp:posOffset>
            </wp:positionH>
            <wp:positionV relativeFrom="paragraph">
              <wp:posOffset>-1398905</wp:posOffset>
            </wp:positionV>
            <wp:extent cx="33020" cy="2927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33020" cy="292735"/>
                    </a:xfrm>
                    <a:prstGeom prst="rect">
                      <a:avLst/>
                    </a:prstGeom>
                    <a:noFill/>
                  </pic:spPr>
                </pic:pic>
              </a:graphicData>
            </a:graphic>
          </wp:anchor>
        </w:drawing>
      </w:r>
    </w:p>
    <w:p>
      <w:pPr>
        <w:spacing w:after="0" w:line="124" w:lineRule="exact"/>
        <w:rPr>
          <w:sz w:val="20"/>
          <w:szCs w:val="20"/>
          <w:color w:val="auto"/>
        </w:rPr>
      </w:pPr>
    </w:p>
    <w:p>
      <w:pPr>
        <w:ind w:right="3600"/>
        <w:spacing w:after="0" w:line="310" w:lineRule="auto"/>
        <w:rPr>
          <w:sz w:val="20"/>
          <w:szCs w:val="20"/>
          <w:color w:val="auto"/>
        </w:rPr>
      </w:pPr>
      <w:r>
        <w:rPr>
          <w:rFonts w:ascii="Arial" w:cs="Arial" w:eastAsia="Arial" w:hAnsi="Arial"/>
          <w:sz w:val="12"/>
          <w:szCs w:val="12"/>
          <w:color w:val="auto"/>
        </w:rPr>
        <w:t>*Ms. Hakim joined Lilly in February 2020 and has held at least 50 percent of her net share payouts in compliance with share ownership and retention guidelines.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72" w:name="page73"/>
    <w:bookmarkEnd w:id="72"/>
    <w:p>
      <w:pPr>
        <w:ind w:left="7"/>
        <w:spacing w:after="0"/>
        <w:rPr>
          <w:sz w:val="20"/>
          <w:szCs w:val="20"/>
          <w:color w:val="auto"/>
        </w:rPr>
      </w:pPr>
      <w:r>
        <w:rPr>
          <w:rFonts w:ascii="Arial" w:cs="Arial" w:eastAsia="Arial" w:hAnsi="Arial"/>
          <w:sz w:val="22"/>
          <w:szCs w:val="22"/>
          <w:b w:val="1"/>
          <w:bCs w:val="1"/>
          <w:color w:val="00A1DE"/>
        </w:rPr>
        <w:t>Prohibition on Hedging and Pledging Shares</w:t>
      </w:r>
    </w:p>
    <w:p>
      <w:pPr>
        <w:spacing w:after="0" w:line="57" w:lineRule="exact"/>
        <w:rPr>
          <w:sz w:val="20"/>
          <w:szCs w:val="20"/>
          <w:color w:val="auto"/>
        </w:rPr>
      </w:pPr>
    </w:p>
    <w:p>
      <w:pPr>
        <w:jc w:val="both"/>
        <w:ind w:left="7"/>
        <w:spacing w:after="0" w:line="257" w:lineRule="auto"/>
        <w:rPr>
          <w:sz w:val="20"/>
          <w:szCs w:val="20"/>
          <w:color w:val="auto"/>
        </w:rPr>
      </w:pPr>
      <w:r>
        <w:rPr>
          <w:rFonts w:ascii="Arial" w:cs="Arial" w:eastAsia="Arial" w:hAnsi="Arial"/>
          <w:sz w:val="16"/>
          <w:szCs w:val="16"/>
          <w:color w:val="auto"/>
        </w:rPr>
        <w:t>Non-employee directors and employees, including executive officers, are not permitted to hedge their economic exposures to company stock through short sales or derivative transactions. Non-employee directors and employees, including executive officers, are prohibited from pledging any company stock (i.e., using company stock as collateral for a loan or trading shares on margin).</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Executive Compensation Recovery Policy</w:t>
      </w:r>
    </w:p>
    <w:p>
      <w:pPr>
        <w:spacing w:after="0" w:line="68" w:lineRule="exact"/>
        <w:rPr>
          <w:sz w:val="20"/>
          <w:szCs w:val="20"/>
          <w:color w:val="auto"/>
        </w:rPr>
      </w:pPr>
    </w:p>
    <w:p>
      <w:pPr>
        <w:jc w:val="both"/>
        <w:ind w:left="7" w:right="20"/>
        <w:spacing w:after="0" w:line="289" w:lineRule="auto"/>
        <w:rPr>
          <w:sz w:val="20"/>
          <w:szCs w:val="20"/>
          <w:color w:val="auto"/>
        </w:rPr>
      </w:pPr>
      <w:r>
        <w:rPr>
          <w:rFonts w:ascii="Arial" w:cs="Arial" w:eastAsia="Arial" w:hAnsi="Arial"/>
          <w:sz w:val="14"/>
          <w:szCs w:val="14"/>
          <w:color w:val="auto"/>
        </w:rPr>
        <w:t>Pursuant to the provisions of our incentive award agreements and our robust executive compensation recovery policy (the Executive Compensation Recovery Policy), Lilly may seek recoupment of incentive compensation (cash or equity) and/or non-qualified benefits previously granted or paid to executives in the event of:</w:t>
      </w:r>
    </w:p>
    <w:p>
      <w:pPr>
        <w:ind w:left="7" w:right="100" w:hanging="7"/>
        <w:spacing w:after="0" w:line="252" w:lineRule="auto"/>
        <w:tabs>
          <w:tab w:leader="none" w:pos="2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certain financial restatements resulting from misconduct or (b) other misconduct resulting in material violations of law or company policy that causes significant harm to the company. Furthermore, all outstanding incentive awards are subject to forfeiture upon termination of employment.</w:t>
      </w:r>
    </w:p>
    <w:p>
      <w:pPr>
        <w:spacing w:after="0" w:line="114"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Specifically, the company may recover all or a portion of any incentive compensation paid to an executive officer during the prior three years and the company could also recover non-qualified retirement benefits accrued beginning January 1, 2022, in the case of materially inaccurate financial statements or material errors in the performance calculation. Compensation recovery may occur whether financial statement inaccuracies or errors result in a restatement and whether or not the executive officer has engaged in wrongful conduct. Subsequent changes in status, including retirement or termination of employment, do not affect the company’s rights to recover compensation under the policy.</w:t>
      </w:r>
    </w:p>
    <w:p>
      <w:pPr>
        <w:spacing w:after="0" w:line="116"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The Executive Compensation Recovery Policy is administered by the Talent and Compensation Committee. The company will disclose decisions to take action pursuant to the Executive Compensation Recovery Policy in its proxy materials when required by, and in compliance with, SEC rules and regulations and other applicable laws. In addition, when legally permissible to do so, the company will disclose a decision to act under this policy when the facts and circumstances of the matter that triggered application of the policy have been publicly disclosed in the company’s filings with the SEC and where disclosure can be made without prejudicing the company and its shareholders.</w:t>
      </w:r>
    </w:p>
    <w:p>
      <w:pPr>
        <w:spacing w:after="0" w:line="105" w:lineRule="exact"/>
        <w:rPr>
          <w:sz w:val="20"/>
          <w:szCs w:val="20"/>
          <w:color w:val="auto"/>
        </w:rPr>
      </w:pPr>
    </w:p>
    <w:p>
      <w:pPr>
        <w:ind w:left="7" w:right="40"/>
        <w:spacing w:after="0" w:line="238" w:lineRule="auto"/>
        <w:rPr>
          <w:sz w:val="20"/>
          <w:szCs w:val="20"/>
          <w:color w:val="auto"/>
        </w:rPr>
      </w:pPr>
      <w:r>
        <w:rPr>
          <w:rFonts w:ascii="Arial" w:cs="Arial" w:eastAsia="Arial" w:hAnsi="Arial"/>
          <w:sz w:val="16"/>
          <w:szCs w:val="16"/>
          <w:color w:val="auto"/>
        </w:rPr>
        <w:t>The company will further comply with any recoupment requirements imposed by applicable laws, rules or regulations, including in connection with the final rule issued by the SEC implementing the provisions of the Dodd-Frank Wall Street Reform and Consumer Protection Act relating to recoupment of incentive-based compensation. We will monitor the listing standards adopted by the NYSE and amend our Executive Compensation Recovery Policy during the required timeframe in compliance with those standards.</w:t>
      </w:r>
    </w:p>
    <w:p>
      <w:pPr>
        <w:spacing w:after="0" w:line="324"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820" w:right="359" w:bottom="1440" w:gutter="0" w:footer="0" w:header="0"/>
        </w:sectPr>
      </w:pPr>
    </w:p>
    <w:bookmarkStart w:id="73" w:name="page74"/>
    <w:bookmarkEnd w:id="73"/>
    <w:p>
      <w:pPr>
        <w:ind w:left="7"/>
        <w:spacing w:after="0"/>
        <w:rPr>
          <w:sz w:val="20"/>
          <w:szCs w:val="20"/>
          <w:color w:val="auto"/>
        </w:rPr>
      </w:pPr>
      <w:r>
        <w:rPr>
          <w:rFonts w:ascii="Arial" w:cs="Arial" w:eastAsia="Arial" w:hAnsi="Arial"/>
          <w:sz w:val="28"/>
          <w:szCs w:val="28"/>
          <w:b w:val="1"/>
          <w:bCs w:val="1"/>
          <w:color w:val="D52B1E"/>
        </w:rPr>
        <w:t>Executive Compensation</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84750" cy="762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30"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Non-Equity</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Change in</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rPr>
              <w:t>Name and</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Incentive Plan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8"/>
        </w:trPr>
        <w:tc>
          <w:tcPr>
            <w:tcW w:w="9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2"/>
                <w:szCs w:val="12"/>
                <w:b w:val="1"/>
                <w:bCs w:val="1"/>
                <w:color w:val="auto"/>
              </w:rPr>
              <w:t>Salary</w:t>
            </w:r>
          </w:p>
        </w:tc>
        <w:tc>
          <w:tcPr>
            <w:tcW w:w="72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auto"/>
              </w:rPr>
              <w:t>Bonus</w:t>
            </w: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Awards</w:t>
            </w: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Compensation</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Value</w:t>
            </w: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Compensation</w:t>
            </w: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rPr>
              <w:t>Principal</w:t>
            </w:r>
          </w:p>
        </w:tc>
        <w:tc>
          <w:tcPr>
            <w:tcW w:w="3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47"/>
        </w:trPr>
        <w:tc>
          <w:tcPr>
            <w:tcW w:w="9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8"/>
                <w:szCs w:val="8"/>
                <w:b w:val="1"/>
                <w:bCs w:val="1"/>
                <w:color w:val="auto"/>
              </w:rPr>
              <w:t>1</w:t>
            </w: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 xml:space="preserve">($) </w:t>
            </w:r>
            <w:r>
              <w:rPr>
                <w:rFonts w:ascii="Arial" w:cs="Arial" w:eastAsia="Arial" w:hAnsi="Arial"/>
                <w:sz w:val="8"/>
                <w:szCs w:val="8"/>
                <w:b w:val="1"/>
                <w:bCs w:val="1"/>
                <w:color w:val="auto"/>
                <w:w w:val="97"/>
              </w:rPr>
              <w:t>2</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 xml:space="preserve">($) </w:t>
            </w:r>
            <w:r>
              <w:rPr>
                <w:rFonts w:ascii="Arial" w:cs="Arial" w:eastAsia="Arial" w:hAnsi="Arial"/>
                <w:sz w:val="8"/>
                <w:szCs w:val="8"/>
                <w:b w:val="1"/>
                <w:bCs w:val="1"/>
                <w:color w:val="auto"/>
                <w:w w:val="97"/>
              </w:rPr>
              <w:t>3</w:t>
            </w: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8"/>
                <w:szCs w:val="8"/>
                <w:b w:val="1"/>
                <w:bCs w:val="1"/>
                <w:color w:val="auto"/>
              </w:rPr>
              <w:t>4</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rPr>
              <w:t>Position</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Year</w:t>
            </w:r>
          </w:p>
        </w:tc>
        <w:tc>
          <w:tcPr>
            <w:tcW w:w="820" w:type="dxa"/>
            <w:vAlign w:val="bottom"/>
            <w:vMerge w:val="restart"/>
          </w:tcPr>
          <w:p>
            <w:pPr>
              <w:jc w:val="right"/>
              <w:ind w:right="299"/>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ind w:right="2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53"/>
        </w:trPr>
        <w:tc>
          <w:tcPr>
            <w:tcW w:w="90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David A. Ricks</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2022</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$1,500,000</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$ 16,981,250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$2,700,000</w:t>
            </w:r>
          </w:p>
        </w:tc>
        <w:tc>
          <w:tcPr>
            <w:tcW w:w="820" w:type="dxa"/>
            <w:vAlign w:val="bottom"/>
            <w:shd w:val="clear" w:color="auto" w:fill="F2F2F2"/>
          </w:tcPr>
          <w:p>
            <w:pPr>
              <w:jc w:val="right"/>
              <w:ind w:right="19"/>
              <w:spacing w:after="0"/>
              <w:rPr>
                <w:sz w:val="20"/>
                <w:szCs w:val="20"/>
                <w:color w:val="auto"/>
              </w:rPr>
            </w:pPr>
            <w:r>
              <w:rPr>
                <w:rFonts w:ascii="Arial" w:cs="Arial" w:eastAsia="Arial" w:hAnsi="Arial"/>
                <w:sz w:val="12"/>
                <w:szCs w:val="12"/>
                <w:color w:val="auto"/>
              </w:rPr>
              <w:t>$0</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$216,885</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$21,398,135</w:t>
            </w:r>
          </w:p>
        </w:tc>
        <w:tc>
          <w:tcPr>
            <w:tcW w:w="0" w:type="dxa"/>
            <w:vAlign w:val="bottom"/>
          </w:tcPr>
          <w:p>
            <w:pPr>
              <w:spacing w:after="0"/>
              <w:rPr>
                <w:sz w:val="1"/>
                <w:szCs w:val="1"/>
                <w:color w:val="auto"/>
              </w:rPr>
            </w:pPr>
          </w:p>
        </w:tc>
      </w:tr>
      <w:tr>
        <w:trPr>
          <w:trHeight w:val="197"/>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Chair,</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2021</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$1,500,000</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$ 14,966,000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$2,475,000</w:t>
            </w:r>
          </w:p>
        </w:tc>
        <w:tc>
          <w:tcPr>
            <w:tcW w:w="820" w:type="dxa"/>
            <w:vAlign w:val="bottom"/>
            <w:shd w:val="clear" w:color="auto" w:fill="F2F2F2"/>
          </w:tcPr>
          <w:p>
            <w:pPr>
              <w:jc w:val="right"/>
              <w:ind w:right="19"/>
              <w:spacing w:after="0"/>
              <w:rPr>
                <w:sz w:val="20"/>
                <w:szCs w:val="20"/>
                <w:color w:val="auto"/>
              </w:rPr>
            </w:pPr>
            <w:r>
              <w:rPr>
                <w:rFonts w:ascii="Arial" w:cs="Arial" w:eastAsia="Arial" w:hAnsi="Arial"/>
                <w:sz w:val="12"/>
                <w:szCs w:val="12"/>
                <w:color w:val="auto"/>
              </w:rPr>
              <w:t>$2,442,235</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$126,750</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$21,509,985</w:t>
            </w:r>
          </w:p>
        </w:tc>
        <w:tc>
          <w:tcPr>
            <w:tcW w:w="0" w:type="dxa"/>
            <w:vAlign w:val="bottom"/>
          </w:tcPr>
          <w:p>
            <w:pPr>
              <w:spacing w:after="0"/>
              <w:rPr>
                <w:sz w:val="1"/>
                <w:szCs w:val="1"/>
                <w:color w:val="auto"/>
              </w:rPr>
            </w:pPr>
          </w:p>
        </w:tc>
      </w:tr>
      <w:tr>
        <w:trPr>
          <w:trHeight w:val="148"/>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President, and</w:t>
            </w:r>
          </w:p>
        </w:tc>
        <w:tc>
          <w:tcPr>
            <w:tcW w:w="36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Chief Executive</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2020</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$1,483,333</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$13,587,500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$2,625,500</w:t>
            </w:r>
          </w:p>
        </w:tc>
        <w:tc>
          <w:tcPr>
            <w:tcW w:w="820" w:type="dxa"/>
            <w:vAlign w:val="bottom"/>
            <w:shd w:val="clear" w:color="auto" w:fill="F2F2F2"/>
          </w:tcPr>
          <w:p>
            <w:pPr>
              <w:jc w:val="right"/>
              <w:ind w:right="19"/>
              <w:spacing w:after="0"/>
              <w:rPr>
                <w:sz w:val="20"/>
                <w:szCs w:val="20"/>
                <w:color w:val="auto"/>
              </w:rPr>
            </w:pPr>
            <w:r>
              <w:rPr>
                <w:rFonts w:ascii="Arial" w:cs="Arial" w:eastAsia="Arial" w:hAnsi="Arial"/>
                <w:sz w:val="12"/>
                <w:szCs w:val="12"/>
                <w:color w:val="auto"/>
              </w:rPr>
              <w:t>$5,883,924</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$128,372</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$23,708,629</w:t>
            </w:r>
          </w:p>
        </w:tc>
        <w:tc>
          <w:tcPr>
            <w:tcW w:w="0" w:type="dxa"/>
            <w:vAlign w:val="bottom"/>
          </w:tcPr>
          <w:p>
            <w:pPr>
              <w:spacing w:after="0"/>
              <w:rPr>
                <w:sz w:val="1"/>
                <w:szCs w:val="1"/>
                <w:color w:val="auto"/>
              </w:rPr>
            </w:pPr>
          </w:p>
        </w:tc>
      </w:tr>
      <w:tr>
        <w:trPr>
          <w:trHeight w:val="183"/>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Officer</w:t>
            </w:r>
          </w:p>
        </w:tc>
        <w:tc>
          <w:tcPr>
            <w:tcW w:w="360" w:type="dxa"/>
            <w:vAlign w:val="bottom"/>
            <w:shd w:val="clear" w:color="auto" w:fill="F2F2F2"/>
          </w:tcPr>
          <w:p>
            <w:pPr>
              <w:spacing w:after="0"/>
              <w:rPr>
                <w:sz w:val="15"/>
                <w:szCs w:val="15"/>
                <w:color w:val="auto"/>
              </w:rPr>
            </w:pPr>
          </w:p>
        </w:tc>
        <w:tc>
          <w:tcPr>
            <w:tcW w:w="82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140" w:type="dxa"/>
            <w:vAlign w:val="bottom"/>
            <w:shd w:val="clear" w:color="auto" w:fill="F2F2F2"/>
          </w:tcPr>
          <w:p>
            <w:pPr>
              <w:spacing w:after="0"/>
              <w:rPr>
                <w:sz w:val="15"/>
                <w:szCs w:val="15"/>
                <w:color w:val="auto"/>
              </w:rPr>
            </w:pPr>
          </w:p>
        </w:tc>
        <w:tc>
          <w:tcPr>
            <w:tcW w:w="82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00" w:type="dxa"/>
            <w:vAlign w:val="bottom"/>
          </w:tcPr>
          <w:p>
            <w:pPr>
              <w:spacing w:after="0"/>
              <w:rPr>
                <w:sz w:val="20"/>
                <w:szCs w:val="20"/>
                <w:color w:val="auto"/>
              </w:rPr>
            </w:pPr>
            <w:r>
              <w:rPr>
                <w:rFonts w:ascii="Arial" w:cs="Arial" w:eastAsia="Arial" w:hAnsi="Arial"/>
                <w:sz w:val="12"/>
                <w:szCs w:val="12"/>
                <w:color w:val="auto"/>
              </w:rPr>
              <w:t>Anat</w:t>
            </w:r>
          </w:p>
        </w:tc>
        <w:tc>
          <w:tcPr>
            <w:tcW w:w="360" w:type="dxa"/>
            <w:vAlign w:val="bottom"/>
          </w:tcPr>
          <w:p>
            <w:pPr>
              <w:ind w:left="40"/>
              <w:spacing w:after="0"/>
              <w:rPr>
                <w:sz w:val="20"/>
                <w:szCs w:val="20"/>
                <w:color w:val="auto"/>
              </w:rPr>
            </w:pPr>
            <w:r>
              <w:rPr>
                <w:rFonts w:ascii="Arial" w:cs="Arial" w:eastAsia="Arial" w:hAnsi="Arial"/>
                <w:sz w:val="12"/>
                <w:szCs w:val="12"/>
                <w:color w:val="auto"/>
              </w:rPr>
              <w:t>2022</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$940,385</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tcPr>
          <w:p>
            <w:pPr>
              <w:jc w:val="center"/>
              <w:spacing w:after="0"/>
              <w:rPr>
                <w:sz w:val="20"/>
                <w:szCs w:val="20"/>
                <w:color w:val="auto"/>
              </w:rPr>
            </w:pPr>
            <w:r>
              <w:rPr>
                <w:rFonts w:ascii="Arial" w:cs="Arial" w:eastAsia="Arial" w:hAnsi="Arial"/>
                <w:sz w:val="12"/>
                <w:szCs w:val="12"/>
                <w:color w:val="auto"/>
              </w:rPr>
              <w:t>$3,135,000</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$1,128,462</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w:t>
            </w: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$56,423</w:t>
            </w:r>
          </w:p>
        </w:tc>
        <w:tc>
          <w:tcPr>
            <w:tcW w:w="1040" w:type="dxa"/>
            <w:vAlign w:val="bottom"/>
          </w:tcPr>
          <w:p>
            <w:pPr>
              <w:jc w:val="right"/>
              <w:spacing w:after="0"/>
              <w:rPr>
                <w:sz w:val="20"/>
                <w:szCs w:val="20"/>
                <w:color w:val="auto"/>
              </w:rPr>
            </w:pPr>
            <w:r>
              <w:rPr>
                <w:rFonts w:ascii="Arial" w:cs="Arial" w:eastAsia="Arial" w:hAnsi="Arial"/>
                <w:sz w:val="12"/>
                <w:szCs w:val="12"/>
                <w:color w:val="auto"/>
              </w:rPr>
              <w:t>$5,260,270</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20"/>
                <w:szCs w:val="20"/>
                <w:color w:val="auto"/>
              </w:rPr>
            </w:pPr>
            <w:r>
              <w:rPr>
                <w:rFonts w:ascii="Arial" w:cs="Arial" w:eastAsia="Arial" w:hAnsi="Arial"/>
                <w:sz w:val="12"/>
                <w:szCs w:val="12"/>
                <w:color w:val="auto"/>
              </w:rPr>
              <w:t>Ashkenazi</w:t>
            </w:r>
            <w:r>
              <w:rPr>
                <w:rFonts w:ascii="Arial" w:cs="Arial" w:eastAsia="Arial" w:hAnsi="Arial"/>
                <w:sz w:val="16"/>
                <w:szCs w:val="16"/>
                <w:color w:val="auto"/>
                <w:vertAlign w:val="superscript"/>
              </w:rPr>
              <w:t>5</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20"/>
                <w:szCs w:val="20"/>
                <w:color w:val="auto"/>
              </w:rPr>
            </w:pPr>
            <w:r>
              <w:rPr>
                <w:rFonts w:ascii="Arial" w:cs="Arial" w:eastAsia="Arial" w:hAnsi="Arial"/>
                <w:sz w:val="12"/>
                <w:szCs w:val="12"/>
                <w:color w:val="auto"/>
              </w:rPr>
              <w:t>Executive Vice</w:t>
            </w:r>
          </w:p>
        </w:tc>
        <w:tc>
          <w:tcPr>
            <w:tcW w:w="360" w:type="dxa"/>
            <w:vAlign w:val="bottom"/>
          </w:tcPr>
          <w:p>
            <w:pPr>
              <w:ind w:left="40"/>
              <w:spacing w:after="0"/>
              <w:rPr>
                <w:sz w:val="20"/>
                <w:szCs w:val="20"/>
                <w:color w:val="auto"/>
              </w:rPr>
            </w:pPr>
            <w:r>
              <w:rPr>
                <w:rFonts w:ascii="Arial" w:cs="Arial" w:eastAsia="Arial" w:hAnsi="Arial"/>
                <w:sz w:val="12"/>
                <w:szCs w:val="12"/>
                <w:color w:val="auto"/>
              </w:rPr>
              <w:t>2021</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$850,432</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tcPr>
          <w:p>
            <w:pPr>
              <w:jc w:val="center"/>
              <w:spacing w:after="0"/>
              <w:rPr>
                <w:sz w:val="20"/>
                <w:szCs w:val="20"/>
                <w:color w:val="auto"/>
              </w:rPr>
            </w:pPr>
            <w:r>
              <w:rPr>
                <w:rFonts w:ascii="Arial" w:cs="Arial" w:eastAsia="Arial" w:hAnsi="Arial"/>
                <w:sz w:val="12"/>
                <w:szCs w:val="12"/>
                <w:color w:val="auto"/>
              </w:rPr>
              <w:t>$2,453,000</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$906,894</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$395,335</w:t>
            </w: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$51,026</w:t>
            </w:r>
          </w:p>
        </w:tc>
        <w:tc>
          <w:tcPr>
            <w:tcW w:w="1040" w:type="dxa"/>
            <w:vAlign w:val="bottom"/>
          </w:tcPr>
          <w:p>
            <w:pPr>
              <w:jc w:val="right"/>
              <w:spacing w:after="0"/>
              <w:rPr>
                <w:sz w:val="20"/>
                <w:szCs w:val="20"/>
                <w:color w:val="auto"/>
              </w:rPr>
            </w:pPr>
            <w:r>
              <w:rPr>
                <w:rFonts w:ascii="Arial" w:cs="Arial" w:eastAsia="Arial" w:hAnsi="Arial"/>
                <w:sz w:val="12"/>
                <w:szCs w:val="12"/>
                <w:color w:val="auto"/>
              </w:rPr>
              <w:t>$4,656,687</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20"/>
                <w:szCs w:val="20"/>
                <w:color w:val="auto"/>
              </w:rPr>
            </w:pPr>
            <w:r>
              <w:rPr>
                <w:rFonts w:ascii="Arial" w:cs="Arial" w:eastAsia="Arial" w:hAnsi="Arial"/>
                <w:sz w:val="12"/>
                <w:szCs w:val="12"/>
                <w:color w:val="auto"/>
              </w:rPr>
              <w:t>President and</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20"/>
                <w:szCs w:val="20"/>
                <w:color w:val="auto"/>
              </w:rPr>
            </w:pPr>
            <w:r>
              <w:rPr>
                <w:rFonts w:ascii="Arial" w:cs="Arial" w:eastAsia="Arial" w:hAnsi="Arial"/>
                <w:sz w:val="12"/>
                <w:szCs w:val="12"/>
                <w:color w:val="auto"/>
              </w:rPr>
              <w:t>Chief Financial</w:t>
            </w:r>
          </w:p>
        </w:tc>
        <w:tc>
          <w:tcPr>
            <w:tcW w:w="360" w:type="dxa"/>
            <w:vAlign w:val="bottom"/>
          </w:tcPr>
          <w:p>
            <w:pPr>
              <w:ind w:left="40"/>
              <w:spacing w:after="0"/>
              <w:rPr>
                <w:sz w:val="20"/>
                <w:szCs w:val="20"/>
                <w:color w:val="auto"/>
              </w:rPr>
            </w:pPr>
            <w:r>
              <w:rPr>
                <w:rFonts w:ascii="Arial" w:cs="Arial" w:eastAsia="Arial" w:hAnsi="Arial"/>
                <w:sz w:val="12"/>
                <w:szCs w:val="12"/>
                <w:color w:val="auto"/>
              </w:rPr>
              <w:t>2020</w:t>
            </w:r>
          </w:p>
        </w:tc>
        <w:tc>
          <w:tcPr>
            <w:tcW w:w="820" w:type="dxa"/>
            <w:vAlign w:val="bottom"/>
          </w:tcPr>
          <w:p>
            <w:pPr>
              <w:jc w:val="right"/>
              <w:ind w:right="39"/>
              <w:spacing w:after="0"/>
              <w:rPr>
                <w:sz w:val="20"/>
                <w:szCs w:val="20"/>
                <w:color w:val="auto"/>
              </w:rPr>
            </w:pPr>
            <w:r>
              <w:rPr>
                <w:rFonts w:ascii="Arial" w:cs="Arial" w:eastAsia="Arial" w:hAnsi="Arial"/>
                <w:sz w:val="12"/>
                <w:szCs w:val="12"/>
                <w:color w:val="auto"/>
              </w:rPr>
              <w:t>N/A</w:t>
            </w:r>
          </w:p>
        </w:tc>
        <w:tc>
          <w:tcPr>
            <w:tcW w:w="720" w:type="dxa"/>
            <w:vAlign w:val="bottom"/>
          </w:tcPr>
          <w:p>
            <w:pPr>
              <w:jc w:val="right"/>
              <w:spacing w:after="0"/>
              <w:rPr>
                <w:sz w:val="20"/>
                <w:szCs w:val="20"/>
                <w:color w:val="auto"/>
              </w:rPr>
            </w:pPr>
            <w:r>
              <w:rPr>
                <w:rFonts w:ascii="Arial" w:cs="Arial" w:eastAsia="Arial" w:hAnsi="Arial"/>
                <w:sz w:val="12"/>
                <w:szCs w:val="12"/>
                <w:color w:val="auto"/>
              </w:rPr>
              <w:t>N/A</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N/A</w:t>
            </w: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N/A</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N/A</w:t>
            </w: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N/A</w:t>
            </w:r>
          </w:p>
        </w:tc>
        <w:tc>
          <w:tcPr>
            <w:tcW w:w="104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20"/>
                <w:szCs w:val="20"/>
                <w:color w:val="auto"/>
              </w:rPr>
            </w:pPr>
            <w:r>
              <w:rPr>
                <w:rFonts w:ascii="Arial" w:cs="Arial" w:eastAsia="Arial" w:hAnsi="Arial"/>
                <w:sz w:val="12"/>
                <w:szCs w:val="12"/>
                <w:color w:val="auto"/>
              </w:rPr>
              <w:t>Officer</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Daniel M.</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2022</w:t>
            </w:r>
          </w:p>
        </w:tc>
        <w:tc>
          <w:tcPr>
            <w:tcW w:w="820" w:type="dxa"/>
            <w:vAlign w:val="bottom"/>
            <w:shd w:val="clear" w:color="auto" w:fill="F2F2F2"/>
          </w:tcPr>
          <w:p>
            <w:pPr>
              <w:jc w:val="right"/>
              <w:ind w:right="119"/>
              <w:spacing w:after="0"/>
              <w:rPr>
                <w:sz w:val="20"/>
                <w:szCs w:val="20"/>
                <w:color w:val="auto"/>
              </w:rPr>
            </w:pPr>
            <w:r>
              <w:rPr>
                <w:rFonts w:ascii="Arial" w:cs="Arial" w:eastAsia="Arial" w:hAnsi="Arial"/>
                <w:sz w:val="12"/>
                <w:szCs w:val="12"/>
                <w:color w:val="auto"/>
              </w:rPr>
              <w:t>$1,201,923</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$5,747,500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$1,442,308</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$0</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$72,115</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$8,463,846</w:t>
            </w:r>
          </w:p>
        </w:tc>
        <w:tc>
          <w:tcPr>
            <w:tcW w:w="0" w:type="dxa"/>
            <w:vAlign w:val="bottom"/>
          </w:tcPr>
          <w:p>
            <w:pPr>
              <w:spacing w:after="0"/>
              <w:rPr>
                <w:sz w:val="1"/>
                <w:szCs w:val="1"/>
                <w:color w:val="auto"/>
              </w:rPr>
            </w:pPr>
          </w:p>
        </w:tc>
      </w:tr>
      <w:tr>
        <w:trPr>
          <w:trHeight w:val="140"/>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Skovronsky,</w:t>
            </w:r>
          </w:p>
        </w:tc>
        <w:tc>
          <w:tcPr>
            <w:tcW w:w="36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M.D., Ph.D.</w:t>
            </w:r>
          </w:p>
        </w:tc>
        <w:tc>
          <w:tcPr>
            <w:tcW w:w="36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14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0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Executive Vice</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2021</w:t>
            </w:r>
          </w:p>
        </w:tc>
        <w:tc>
          <w:tcPr>
            <w:tcW w:w="820" w:type="dxa"/>
            <w:vAlign w:val="bottom"/>
            <w:shd w:val="clear" w:color="auto" w:fill="F2F2F2"/>
          </w:tcPr>
          <w:p>
            <w:pPr>
              <w:jc w:val="right"/>
              <w:ind w:right="119"/>
              <w:spacing w:after="0"/>
              <w:rPr>
                <w:sz w:val="20"/>
                <w:szCs w:val="20"/>
                <w:color w:val="auto"/>
              </w:rPr>
            </w:pPr>
            <w:r>
              <w:rPr>
                <w:rFonts w:ascii="Arial" w:cs="Arial" w:eastAsia="Arial" w:hAnsi="Arial"/>
                <w:sz w:val="12"/>
                <w:szCs w:val="12"/>
                <w:color w:val="auto"/>
              </w:rPr>
              <w:t>$1,000,000</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$5,024,300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$1,100,000</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$342,792</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$60,000</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$7,527,092</w:t>
            </w:r>
          </w:p>
        </w:tc>
        <w:tc>
          <w:tcPr>
            <w:tcW w:w="0" w:type="dxa"/>
            <w:vAlign w:val="bottom"/>
          </w:tcPr>
          <w:p>
            <w:pPr>
              <w:spacing w:after="0"/>
              <w:rPr>
                <w:sz w:val="1"/>
                <w:szCs w:val="1"/>
                <w:color w:val="auto"/>
              </w:rPr>
            </w:pPr>
          </w:p>
        </w:tc>
      </w:tr>
      <w:tr>
        <w:trPr>
          <w:trHeight w:val="140"/>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President,</w:t>
            </w:r>
          </w:p>
        </w:tc>
        <w:tc>
          <w:tcPr>
            <w:tcW w:w="36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Chief Scientific</w:t>
            </w:r>
          </w:p>
        </w:tc>
        <w:tc>
          <w:tcPr>
            <w:tcW w:w="36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960" w:type="dxa"/>
            <w:vAlign w:val="bottom"/>
            <w:shd w:val="clear" w:color="auto" w:fill="F2F2F2"/>
          </w:tcPr>
          <w:p>
            <w:pPr>
              <w:spacing w:after="0"/>
              <w:rPr>
                <w:sz w:val="13"/>
                <w:szCs w:val="13"/>
                <w:color w:val="auto"/>
              </w:rPr>
            </w:pPr>
          </w:p>
        </w:tc>
        <w:tc>
          <w:tcPr>
            <w:tcW w:w="114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1080" w:type="dxa"/>
            <w:vAlign w:val="bottom"/>
            <w:shd w:val="clear" w:color="auto" w:fill="F2F2F2"/>
          </w:tcPr>
          <w:p>
            <w:pPr>
              <w:spacing w:after="0"/>
              <w:rPr>
                <w:sz w:val="13"/>
                <w:szCs w:val="13"/>
                <w:color w:val="auto"/>
              </w:rPr>
            </w:pPr>
          </w:p>
        </w:tc>
        <w:tc>
          <w:tcPr>
            <w:tcW w:w="10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and Medical</w:t>
            </w:r>
          </w:p>
        </w:tc>
        <w:tc>
          <w:tcPr>
            <w:tcW w:w="360" w:type="dxa"/>
            <w:vAlign w:val="bottom"/>
            <w:vMerge w:val="restart"/>
            <w:shd w:val="clear" w:color="auto" w:fill="F2F2F2"/>
          </w:tcPr>
          <w:p>
            <w:pPr>
              <w:ind w:left="40"/>
              <w:spacing w:after="0"/>
              <w:rPr>
                <w:sz w:val="20"/>
                <w:szCs w:val="20"/>
                <w:color w:val="auto"/>
              </w:rPr>
            </w:pPr>
            <w:r>
              <w:rPr>
                <w:rFonts w:ascii="Arial" w:cs="Arial" w:eastAsia="Arial" w:hAnsi="Arial"/>
                <w:sz w:val="12"/>
                <w:szCs w:val="12"/>
                <w:color w:val="auto"/>
              </w:rPr>
              <w:t>2020</w:t>
            </w:r>
          </w:p>
        </w:tc>
        <w:tc>
          <w:tcPr>
            <w:tcW w:w="820" w:type="dxa"/>
            <w:vAlign w:val="bottom"/>
            <w:vMerge w:val="restart"/>
            <w:shd w:val="clear" w:color="auto" w:fill="F2F2F2"/>
          </w:tcPr>
          <w:p>
            <w:pPr>
              <w:jc w:val="right"/>
              <w:ind w:right="139"/>
              <w:spacing w:after="0"/>
              <w:rPr>
                <w:sz w:val="20"/>
                <w:szCs w:val="20"/>
                <w:color w:val="auto"/>
              </w:rPr>
            </w:pPr>
            <w:r>
              <w:rPr>
                <w:rFonts w:ascii="Arial" w:cs="Arial" w:eastAsia="Arial" w:hAnsi="Arial"/>
                <w:sz w:val="12"/>
                <w:szCs w:val="12"/>
                <w:color w:val="auto"/>
              </w:rPr>
              <w:t>$983,333</w:t>
            </w:r>
          </w:p>
        </w:tc>
        <w:tc>
          <w:tcPr>
            <w:tcW w:w="720" w:type="dxa"/>
            <w:vAlign w:val="bottom"/>
            <w:vMerge w:val="restart"/>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vMerge w:val="restart"/>
            <w:shd w:val="clear" w:color="auto" w:fill="F2F2F2"/>
          </w:tcPr>
          <w:p>
            <w:pPr>
              <w:jc w:val="center"/>
              <w:spacing w:after="0"/>
              <w:rPr>
                <w:sz w:val="20"/>
                <w:szCs w:val="20"/>
                <w:color w:val="auto"/>
              </w:rPr>
            </w:pPr>
            <w:r>
              <w:rPr>
                <w:rFonts w:ascii="Arial" w:cs="Arial" w:eastAsia="Arial" w:hAnsi="Arial"/>
                <w:sz w:val="12"/>
                <w:szCs w:val="12"/>
                <w:color w:val="auto"/>
              </w:rPr>
              <w:t>$4,456,700</w:t>
            </w:r>
          </w:p>
        </w:tc>
        <w:tc>
          <w:tcPr>
            <w:tcW w:w="1140" w:type="dxa"/>
            <w:vAlign w:val="bottom"/>
            <w:vMerge w:val="restart"/>
            <w:shd w:val="clear" w:color="auto" w:fill="F2F2F2"/>
          </w:tcPr>
          <w:p>
            <w:pPr>
              <w:jc w:val="right"/>
              <w:ind w:right="99"/>
              <w:spacing w:after="0"/>
              <w:rPr>
                <w:sz w:val="20"/>
                <w:szCs w:val="20"/>
                <w:color w:val="auto"/>
              </w:rPr>
            </w:pPr>
            <w:r>
              <w:rPr>
                <w:rFonts w:ascii="Arial" w:cs="Arial" w:eastAsia="Arial" w:hAnsi="Arial"/>
                <w:sz w:val="12"/>
                <w:szCs w:val="12"/>
                <w:color w:val="auto"/>
              </w:rPr>
              <w:t>$1,102,317</w:t>
            </w:r>
          </w:p>
        </w:tc>
        <w:tc>
          <w:tcPr>
            <w:tcW w:w="820" w:type="dxa"/>
            <w:vAlign w:val="bottom"/>
            <w:vMerge w:val="restart"/>
            <w:shd w:val="clear" w:color="auto" w:fill="F2F2F2"/>
          </w:tcPr>
          <w:p>
            <w:pPr>
              <w:jc w:val="right"/>
              <w:ind w:right="79"/>
              <w:spacing w:after="0"/>
              <w:rPr>
                <w:sz w:val="20"/>
                <w:szCs w:val="20"/>
                <w:color w:val="auto"/>
              </w:rPr>
            </w:pPr>
            <w:r>
              <w:rPr>
                <w:rFonts w:ascii="Arial" w:cs="Arial" w:eastAsia="Arial" w:hAnsi="Arial"/>
                <w:sz w:val="12"/>
                <w:szCs w:val="12"/>
                <w:color w:val="auto"/>
              </w:rPr>
              <w:t>$751,223</w:t>
            </w:r>
          </w:p>
        </w:tc>
        <w:tc>
          <w:tcPr>
            <w:tcW w:w="1080" w:type="dxa"/>
            <w:vAlign w:val="bottom"/>
            <w:vMerge w:val="restart"/>
            <w:shd w:val="clear" w:color="auto" w:fill="F2F2F2"/>
          </w:tcPr>
          <w:p>
            <w:pPr>
              <w:jc w:val="right"/>
              <w:ind w:right="39"/>
              <w:spacing w:after="0"/>
              <w:rPr>
                <w:sz w:val="20"/>
                <w:szCs w:val="20"/>
                <w:color w:val="auto"/>
              </w:rPr>
            </w:pPr>
            <w:r>
              <w:rPr>
                <w:rFonts w:ascii="Arial" w:cs="Arial" w:eastAsia="Arial" w:hAnsi="Arial"/>
                <w:sz w:val="12"/>
                <w:szCs w:val="12"/>
                <w:color w:val="auto"/>
              </w:rPr>
              <w:t>$58,539</w:t>
            </w:r>
          </w:p>
        </w:tc>
        <w:tc>
          <w:tcPr>
            <w:tcW w:w="104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$7,352,112</w:t>
            </w:r>
          </w:p>
        </w:tc>
        <w:tc>
          <w:tcPr>
            <w:tcW w:w="0" w:type="dxa"/>
            <w:vAlign w:val="bottom"/>
          </w:tcPr>
          <w:p>
            <w:pPr>
              <w:spacing w:after="0"/>
              <w:rPr>
                <w:sz w:val="1"/>
                <w:szCs w:val="1"/>
                <w:color w:val="auto"/>
              </w:rPr>
            </w:pPr>
          </w:p>
        </w:tc>
      </w:tr>
      <w:tr>
        <w:trPr>
          <w:trHeight w:val="95"/>
        </w:trPr>
        <w:tc>
          <w:tcPr>
            <w:tcW w:w="900" w:type="dxa"/>
            <w:vAlign w:val="bottom"/>
            <w:vMerge w:val="restart"/>
            <w:shd w:val="clear" w:color="auto" w:fill="F2F2F2"/>
          </w:tcPr>
          <w:p>
            <w:pPr>
              <w:spacing w:after="0"/>
              <w:rPr>
                <w:sz w:val="20"/>
                <w:szCs w:val="20"/>
                <w:color w:val="auto"/>
              </w:rPr>
            </w:pPr>
            <w:r>
              <w:rPr>
                <w:rFonts w:ascii="Arial" w:cs="Arial" w:eastAsia="Arial" w:hAnsi="Arial"/>
                <w:sz w:val="12"/>
                <w:szCs w:val="12"/>
                <w:color w:val="auto"/>
              </w:rPr>
              <w:t>Officer and</w:t>
            </w:r>
          </w:p>
        </w:tc>
        <w:tc>
          <w:tcPr>
            <w:tcW w:w="360" w:type="dxa"/>
            <w:vAlign w:val="bottom"/>
            <w:vMerge w:val="continue"/>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720" w:type="dxa"/>
            <w:vAlign w:val="bottom"/>
            <w:vMerge w:val="continue"/>
            <w:shd w:val="clear" w:color="auto" w:fill="F2F2F2"/>
          </w:tcPr>
          <w:p>
            <w:pPr>
              <w:spacing w:after="0"/>
              <w:rPr>
                <w:sz w:val="8"/>
                <w:szCs w:val="8"/>
                <w:color w:val="auto"/>
              </w:rPr>
            </w:pPr>
          </w:p>
        </w:tc>
        <w:tc>
          <w:tcPr>
            <w:tcW w:w="960" w:type="dxa"/>
            <w:vAlign w:val="bottom"/>
            <w:vMerge w:val="continue"/>
            <w:shd w:val="clear" w:color="auto" w:fill="F2F2F2"/>
          </w:tcPr>
          <w:p>
            <w:pPr>
              <w:spacing w:after="0"/>
              <w:rPr>
                <w:sz w:val="8"/>
                <w:szCs w:val="8"/>
                <w:color w:val="auto"/>
              </w:rPr>
            </w:pPr>
          </w:p>
        </w:tc>
        <w:tc>
          <w:tcPr>
            <w:tcW w:w="1140" w:type="dxa"/>
            <w:vAlign w:val="bottom"/>
            <w:vMerge w:val="continue"/>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1080" w:type="dxa"/>
            <w:vAlign w:val="bottom"/>
            <w:vMerge w:val="continue"/>
            <w:shd w:val="clear" w:color="auto" w:fill="F2F2F2"/>
          </w:tcPr>
          <w:p>
            <w:pPr>
              <w:spacing w:after="0"/>
              <w:rPr>
                <w:sz w:val="8"/>
                <w:szCs w:val="8"/>
                <w:color w:val="auto"/>
              </w:rPr>
            </w:pPr>
          </w:p>
        </w:tc>
        <w:tc>
          <w:tcPr>
            <w:tcW w:w="10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900" w:type="dxa"/>
            <w:vAlign w:val="bottom"/>
            <w:vMerge w:val="continue"/>
            <w:shd w:val="clear" w:color="auto" w:fill="F2F2F2"/>
          </w:tcPr>
          <w:p>
            <w:pPr>
              <w:spacing w:after="0"/>
              <w:rPr>
                <w:sz w:val="4"/>
                <w:szCs w:val="4"/>
                <w:color w:val="auto"/>
              </w:rPr>
            </w:pPr>
          </w:p>
        </w:tc>
        <w:tc>
          <w:tcPr>
            <w:tcW w:w="360" w:type="dxa"/>
            <w:vAlign w:val="bottom"/>
            <w:shd w:val="clear" w:color="auto" w:fill="F2F2F2"/>
          </w:tcPr>
          <w:p>
            <w:pPr>
              <w:spacing w:after="0"/>
              <w:rPr>
                <w:sz w:val="4"/>
                <w:szCs w:val="4"/>
                <w:color w:val="auto"/>
              </w:rPr>
            </w:pPr>
          </w:p>
        </w:tc>
        <w:tc>
          <w:tcPr>
            <w:tcW w:w="820" w:type="dxa"/>
            <w:vAlign w:val="bottom"/>
            <w:shd w:val="clear" w:color="auto" w:fill="F2F2F2"/>
          </w:tcPr>
          <w:p>
            <w:pPr>
              <w:spacing w:after="0"/>
              <w:rPr>
                <w:sz w:val="4"/>
                <w:szCs w:val="4"/>
                <w:color w:val="auto"/>
              </w:rPr>
            </w:pPr>
          </w:p>
        </w:tc>
        <w:tc>
          <w:tcPr>
            <w:tcW w:w="720" w:type="dxa"/>
            <w:vAlign w:val="bottom"/>
            <w:shd w:val="clear" w:color="auto" w:fill="F2F2F2"/>
          </w:tcPr>
          <w:p>
            <w:pPr>
              <w:spacing w:after="0"/>
              <w:rPr>
                <w:sz w:val="4"/>
                <w:szCs w:val="4"/>
                <w:color w:val="auto"/>
              </w:rPr>
            </w:pPr>
          </w:p>
        </w:tc>
        <w:tc>
          <w:tcPr>
            <w:tcW w:w="960" w:type="dxa"/>
            <w:vAlign w:val="bottom"/>
            <w:shd w:val="clear" w:color="auto" w:fill="F2F2F2"/>
          </w:tcPr>
          <w:p>
            <w:pPr>
              <w:spacing w:after="0"/>
              <w:rPr>
                <w:sz w:val="4"/>
                <w:szCs w:val="4"/>
                <w:color w:val="auto"/>
              </w:rPr>
            </w:pPr>
          </w:p>
        </w:tc>
        <w:tc>
          <w:tcPr>
            <w:tcW w:w="1140" w:type="dxa"/>
            <w:vAlign w:val="bottom"/>
            <w:shd w:val="clear" w:color="auto" w:fill="F2F2F2"/>
          </w:tcPr>
          <w:p>
            <w:pPr>
              <w:spacing w:after="0"/>
              <w:rPr>
                <w:sz w:val="4"/>
                <w:szCs w:val="4"/>
                <w:color w:val="auto"/>
              </w:rPr>
            </w:pPr>
          </w:p>
        </w:tc>
        <w:tc>
          <w:tcPr>
            <w:tcW w:w="820" w:type="dxa"/>
            <w:vAlign w:val="bottom"/>
            <w:shd w:val="clear" w:color="auto" w:fill="F2F2F2"/>
          </w:tcPr>
          <w:p>
            <w:pPr>
              <w:spacing w:after="0"/>
              <w:rPr>
                <w:sz w:val="4"/>
                <w:szCs w:val="4"/>
                <w:color w:val="auto"/>
              </w:rPr>
            </w:pPr>
          </w:p>
        </w:tc>
        <w:tc>
          <w:tcPr>
            <w:tcW w:w="1080" w:type="dxa"/>
            <w:vAlign w:val="bottom"/>
            <w:shd w:val="clear" w:color="auto" w:fill="F2F2F2"/>
          </w:tcPr>
          <w:p>
            <w:pPr>
              <w:spacing w:after="0"/>
              <w:rPr>
                <w:sz w:val="4"/>
                <w:szCs w:val="4"/>
                <w:color w:val="auto"/>
              </w:rPr>
            </w:pPr>
          </w:p>
        </w:tc>
        <w:tc>
          <w:tcPr>
            <w:tcW w:w="10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President, Lilly</w:t>
            </w:r>
          </w:p>
        </w:tc>
        <w:tc>
          <w:tcPr>
            <w:tcW w:w="36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960" w:type="dxa"/>
            <w:vAlign w:val="bottom"/>
            <w:shd w:val="clear" w:color="auto" w:fill="F2F2F2"/>
          </w:tcPr>
          <w:p>
            <w:pPr>
              <w:spacing w:after="0"/>
              <w:rPr>
                <w:sz w:val="13"/>
                <w:szCs w:val="13"/>
                <w:color w:val="auto"/>
              </w:rPr>
            </w:pPr>
          </w:p>
        </w:tc>
        <w:tc>
          <w:tcPr>
            <w:tcW w:w="114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1080" w:type="dxa"/>
            <w:vAlign w:val="bottom"/>
            <w:shd w:val="clear" w:color="auto" w:fill="F2F2F2"/>
          </w:tcPr>
          <w:p>
            <w:pPr>
              <w:spacing w:after="0"/>
              <w:rPr>
                <w:sz w:val="13"/>
                <w:szCs w:val="13"/>
                <w:color w:val="auto"/>
              </w:rPr>
            </w:pPr>
          </w:p>
        </w:tc>
        <w:tc>
          <w:tcPr>
            <w:tcW w:w="10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Research</w:t>
            </w:r>
          </w:p>
        </w:tc>
        <w:tc>
          <w:tcPr>
            <w:tcW w:w="36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Laboratories</w:t>
            </w:r>
          </w:p>
        </w:tc>
        <w:tc>
          <w:tcPr>
            <w:tcW w:w="360" w:type="dxa"/>
            <w:vAlign w:val="bottom"/>
            <w:shd w:val="clear" w:color="auto" w:fill="F2F2F2"/>
          </w:tcPr>
          <w:p>
            <w:pPr>
              <w:spacing w:after="0"/>
              <w:rPr>
                <w:sz w:val="15"/>
                <w:szCs w:val="15"/>
                <w:color w:val="auto"/>
              </w:rPr>
            </w:pPr>
          </w:p>
        </w:tc>
        <w:tc>
          <w:tcPr>
            <w:tcW w:w="82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140" w:type="dxa"/>
            <w:vAlign w:val="bottom"/>
            <w:shd w:val="clear" w:color="auto" w:fill="F2F2F2"/>
          </w:tcPr>
          <w:p>
            <w:pPr>
              <w:spacing w:after="0"/>
              <w:rPr>
                <w:sz w:val="15"/>
                <w:szCs w:val="15"/>
                <w:color w:val="auto"/>
              </w:rPr>
            </w:pPr>
          </w:p>
        </w:tc>
        <w:tc>
          <w:tcPr>
            <w:tcW w:w="82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20"/>
                <w:szCs w:val="20"/>
                <w:color w:val="auto"/>
              </w:rPr>
            </w:pPr>
            <w:r>
              <w:rPr>
                <w:rFonts w:ascii="Arial" w:cs="Arial" w:eastAsia="Arial" w:hAnsi="Arial"/>
                <w:sz w:val="12"/>
                <w:szCs w:val="12"/>
                <w:color w:val="auto"/>
              </w:rPr>
              <w:t>Anat Hakim</w:t>
            </w:r>
          </w:p>
        </w:tc>
        <w:tc>
          <w:tcPr>
            <w:tcW w:w="360" w:type="dxa"/>
            <w:vAlign w:val="bottom"/>
          </w:tcPr>
          <w:p>
            <w:pPr>
              <w:ind w:left="40"/>
              <w:spacing w:after="0"/>
              <w:rPr>
                <w:sz w:val="20"/>
                <w:szCs w:val="20"/>
                <w:color w:val="auto"/>
              </w:rPr>
            </w:pPr>
            <w:r>
              <w:rPr>
                <w:rFonts w:ascii="Arial" w:cs="Arial" w:eastAsia="Arial" w:hAnsi="Arial"/>
                <w:sz w:val="12"/>
                <w:szCs w:val="12"/>
                <w:color w:val="auto"/>
              </w:rPr>
              <w:t>2022</w:t>
            </w:r>
          </w:p>
        </w:tc>
        <w:tc>
          <w:tcPr>
            <w:tcW w:w="820" w:type="dxa"/>
            <w:vAlign w:val="bottom"/>
          </w:tcPr>
          <w:p>
            <w:pPr>
              <w:jc w:val="right"/>
              <w:ind w:right="139"/>
              <w:spacing w:after="0"/>
              <w:rPr>
                <w:sz w:val="20"/>
                <w:szCs w:val="20"/>
                <w:color w:val="auto"/>
              </w:rPr>
            </w:pPr>
            <w:r>
              <w:rPr>
                <w:rFonts w:ascii="Arial" w:cs="Arial" w:eastAsia="Arial" w:hAnsi="Arial"/>
                <w:sz w:val="12"/>
                <w:szCs w:val="12"/>
                <w:color w:val="auto"/>
              </w:rPr>
              <w:t>$875,962</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tcPr>
          <w:p>
            <w:pPr>
              <w:jc w:val="center"/>
              <w:spacing w:after="0"/>
              <w:rPr>
                <w:sz w:val="20"/>
                <w:szCs w:val="20"/>
                <w:color w:val="auto"/>
              </w:rPr>
            </w:pPr>
            <w:r>
              <w:rPr>
                <w:rFonts w:ascii="Arial" w:cs="Arial" w:eastAsia="Arial" w:hAnsi="Arial"/>
                <w:sz w:val="12"/>
                <w:szCs w:val="12"/>
                <w:color w:val="auto"/>
              </w:rPr>
              <w:t>$3,135,000</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$1,051,154</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$317,189</w:t>
            </w: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$52,558</w:t>
            </w:r>
          </w:p>
        </w:tc>
        <w:tc>
          <w:tcPr>
            <w:tcW w:w="1040" w:type="dxa"/>
            <w:vAlign w:val="bottom"/>
          </w:tcPr>
          <w:p>
            <w:pPr>
              <w:jc w:val="right"/>
              <w:spacing w:after="0"/>
              <w:rPr>
                <w:sz w:val="20"/>
                <w:szCs w:val="20"/>
                <w:color w:val="auto"/>
              </w:rPr>
            </w:pPr>
            <w:r>
              <w:rPr>
                <w:rFonts w:ascii="Arial" w:cs="Arial" w:eastAsia="Arial" w:hAnsi="Arial"/>
                <w:sz w:val="12"/>
                <w:szCs w:val="12"/>
                <w:color w:val="auto"/>
              </w:rPr>
              <w:t>$5,431,863</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2"/>
                <w:szCs w:val="12"/>
                <w:color w:val="auto"/>
              </w:rPr>
              <w:t>Executive Vice</w:t>
            </w:r>
          </w:p>
        </w:tc>
        <w:tc>
          <w:tcPr>
            <w:tcW w:w="360" w:type="dxa"/>
            <w:vAlign w:val="bottom"/>
          </w:tcPr>
          <w:p>
            <w:pPr>
              <w:ind w:left="40"/>
              <w:spacing w:after="0"/>
              <w:rPr>
                <w:sz w:val="20"/>
                <w:szCs w:val="20"/>
                <w:color w:val="auto"/>
              </w:rPr>
            </w:pPr>
            <w:r>
              <w:rPr>
                <w:rFonts w:ascii="Arial" w:cs="Arial" w:eastAsia="Arial" w:hAnsi="Arial"/>
                <w:sz w:val="12"/>
                <w:szCs w:val="12"/>
                <w:color w:val="auto"/>
              </w:rPr>
              <w:t>2021</w:t>
            </w:r>
          </w:p>
        </w:tc>
        <w:tc>
          <w:tcPr>
            <w:tcW w:w="820" w:type="dxa"/>
            <w:vAlign w:val="bottom"/>
          </w:tcPr>
          <w:p>
            <w:pPr>
              <w:jc w:val="right"/>
              <w:ind w:right="139"/>
              <w:spacing w:after="0"/>
              <w:rPr>
                <w:sz w:val="20"/>
                <w:szCs w:val="20"/>
                <w:color w:val="auto"/>
              </w:rPr>
            </w:pPr>
            <w:r>
              <w:rPr>
                <w:rFonts w:ascii="Arial" w:cs="Arial" w:eastAsia="Arial" w:hAnsi="Arial"/>
                <w:sz w:val="12"/>
                <w:szCs w:val="12"/>
                <w:color w:val="auto"/>
              </w:rPr>
              <w:t>$775,000</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tcPr>
          <w:p>
            <w:pPr>
              <w:jc w:val="center"/>
              <w:spacing w:after="0"/>
              <w:rPr>
                <w:sz w:val="20"/>
                <w:szCs w:val="20"/>
                <w:color w:val="auto"/>
              </w:rPr>
            </w:pPr>
            <w:r>
              <w:rPr>
                <w:rFonts w:ascii="Arial" w:cs="Arial" w:eastAsia="Arial" w:hAnsi="Arial"/>
                <w:sz w:val="12"/>
                <w:szCs w:val="12"/>
                <w:color w:val="auto"/>
              </w:rPr>
              <w:t>$2,244,900</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$852,500</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$98,953</w:t>
            </w: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$46,500</w:t>
            </w:r>
          </w:p>
        </w:tc>
        <w:tc>
          <w:tcPr>
            <w:tcW w:w="1040" w:type="dxa"/>
            <w:vAlign w:val="bottom"/>
          </w:tcPr>
          <w:p>
            <w:pPr>
              <w:jc w:val="right"/>
              <w:spacing w:after="0"/>
              <w:rPr>
                <w:sz w:val="20"/>
                <w:szCs w:val="20"/>
                <w:color w:val="auto"/>
              </w:rPr>
            </w:pPr>
            <w:r>
              <w:rPr>
                <w:rFonts w:ascii="Arial" w:cs="Arial" w:eastAsia="Arial" w:hAnsi="Arial"/>
                <w:sz w:val="12"/>
                <w:szCs w:val="12"/>
                <w:color w:val="auto"/>
              </w:rPr>
              <w:t>$4,017,853</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20"/>
                <w:szCs w:val="20"/>
                <w:color w:val="auto"/>
              </w:rPr>
            </w:pPr>
            <w:r>
              <w:rPr>
                <w:rFonts w:ascii="Arial" w:cs="Arial" w:eastAsia="Arial" w:hAnsi="Arial"/>
                <w:sz w:val="12"/>
                <w:szCs w:val="12"/>
                <w:color w:val="auto"/>
              </w:rPr>
              <w:t>President,</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20"/>
                <w:szCs w:val="20"/>
                <w:color w:val="auto"/>
              </w:rPr>
            </w:pPr>
            <w:r>
              <w:rPr>
                <w:rFonts w:ascii="Arial" w:cs="Arial" w:eastAsia="Arial" w:hAnsi="Arial"/>
                <w:sz w:val="12"/>
                <w:szCs w:val="12"/>
                <w:color w:val="auto"/>
              </w:rPr>
              <w:t>General</w:t>
            </w:r>
          </w:p>
        </w:tc>
        <w:tc>
          <w:tcPr>
            <w:tcW w:w="360" w:type="dxa"/>
            <w:vAlign w:val="bottom"/>
            <w:vMerge w:val="restart"/>
          </w:tcPr>
          <w:p>
            <w:pPr>
              <w:ind w:left="40"/>
              <w:spacing w:after="0"/>
              <w:rPr>
                <w:sz w:val="20"/>
                <w:szCs w:val="20"/>
                <w:color w:val="auto"/>
              </w:rPr>
            </w:pPr>
            <w:r>
              <w:rPr>
                <w:rFonts w:ascii="Arial" w:cs="Arial" w:eastAsia="Arial" w:hAnsi="Arial"/>
                <w:sz w:val="12"/>
                <w:szCs w:val="12"/>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2"/>
                <w:szCs w:val="12"/>
                <w:color w:val="auto"/>
              </w:rPr>
              <w:t>$710,417</w:t>
            </w:r>
          </w:p>
        </w:tc>
        <w:tc>
          <w:tcPr>
            <w:tcW w:w="720" w:type="dxa"/>
            <w:vAlign w:val="bottom"/>
            <w:vMerge w:val="restart"/>
          </w:tcPr>
          <w:p>
            <w:pPr>
              <w:jc w:val="right"/>
              <w:ind w:right="59"/>
              <w:spacing w:after="0"/>
              <w:rPr>
                <w:sz w:val="20"/>
                <w:szCs w:val="20"/>
                <w:color w:val="auto"/>
              </w:rPr>
            </w:pPr>
            <w:r>
              <w:rPr>
                <w:rFonts w:ascii="Arial" w:cs="Arial" w:eastAsia="Arial" w:hAnsi="Arial"/>
                <w:sz w:val="12"/>
                <w:szCs w:val="12"/>
                <w:color w:val="auto"/>
              </w:rPr>
              <w:t>$150,000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$4,174,043</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$670,633</w:t>
            </w:r>
          </w:p>
        </w:tc>
        <w:tc>
          <w:tcPr>
            <w:tcW w:w="820" w:type="dxa"/>
            <w:vAlign w:val="bottom"/>
            <w:vMerge w:val="restart"/>
          </w:tcPr>
          <w:p>
            <w:pPr>
              <w:jc w:val="right"/>
              <w:ind w:right="79"/>
              <w:spacing w:after="0"/>
              <w:rPr>
                <w:sz w:val="20"/>
                <w:szCs w:val="20"/>
                <w:color w:val="auto"/>
              </w:rPr>
            </w:pPr>
            <w:r>
              <w:rPr>
                <w:rFonts w:ascii="Arial" w:cs="Arial" w:eastAsia="Arial" w:hAnsi="Arial"/>
                <w:sz w:val="12"/>
                <w:szCs w:val="12"/>
                <w:color w:val="auto"/>
              </w:rPr>
              <w:t>$87,848</w:t>
            </w:r>
          </w:p>
        </w:tc>
        <w:tc>
          <w:tcPr>
            <w:tcW w:w="1080" w:type="dxa"/>
            <w:vAlign w:val="bottom"/>
            <w:vMerge w:val="restart"/>
          </w:tcPr>
          <w:p>
            <w:pPr>
              <w:jc w:val="right"/>
              <w:ind w:right="39"/>
              <w:spacing w:after="0"/>
              <w:rPr>
                <w:sz w:val="20"/>
                <w:szCs w:val="20"/>
                <w:color w:val="auto"/>
              </w:rPr>
            </w:pPr>
            <w:r>
              <w:rPr>
                <w:rFonts w:ascii="Arial" w:cs="Arial" w:eastAsia="Arial" w:hAnsi="Arial"/>
                <w:sz w:val="12"/>
                <w:szCs w:val="12"/>
                <w:color w:val="auto"/>
              </w:rPr>
              <w:t>$124,958</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$5,917,899</w:t>
            </w:r>
          </w:p>
        </w:tc>
        <w:tc>
          <w:tcPr>
            <w:tcW w:w="0" w:type="dxa"/>
            <w:vAlign w:val="bottom"/>
          </w:tcPr>
          <w:p>
            <w:pPr>
              <w:spacing w:after="0"/>
              <w:rPr>
                <w:sz w:val="1"/>
                <w:szCs w:val="1"/>
                <w:color w:val="auto"/>
              </w:rPr>
            </w:pPr>
          </w:p>
        </w:tc>
      </w:tr>
      <w:tr>
        <w:trPr>
          <w:trHeight w:val="118"/>
        </w:trPr>
        <w:tc>
          <w:tcPr>
            <w:tcW w:w="900" w:type="dxa"/>
            <w:vAlign w:val="bottom"/>
            <w:vMerge w:val="restart"/>
          </w:tcPr>
          <w:p>
            <w:pPr>
              <w:spacing w:after="0"/>
              <w:rPr>
                <w:sz w:val="20"/>
                <w:szCs w:val="20"/>
                <w:color w:val="auto"/>
              </w:rPr>
            </w:pPr>
            <w:r>
              <w:rPr>
                <w:rFonts w:ascii="Arial" w:cs="Arial" w:eastAsia="Arial" w:hAnsi="Arial"/>
                <w:sz w:val="12"/>
                <w:szCs w:val="12"/>
                <w:color w:val="auto"/>
              </w:rPr>
              <w:t>Counsel and</w:t>
            </w: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900" w:type="dxa"/>
            <w:vAlign w:val="bottom"/>
          </w:tcPr>
          <w:p>
            <w:pPr>
              <w:spacing w:after="0"/>
              <w:rPr>
                <w:sz w:val="20"/>
                <w:szCs w:val="20"/>
                <w:color w:val="auto"/>
              </w:rPr>
            </w:pPr>
            <w:r>
              <w:rPr>
                <w:rFonts w:ascii="Arial" w:cs="Arial" w:eastAsia="Arial" w:hAnsi="Arial"/>
                <w:sz w:val="12"/>
                <w:szCs w:val="12"/>
                <w:color w:val="auto"/>
              </w:rPr>
              <w:t>Secretary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Patrik Jonsson</w:t>
            </w:r>
            <w:r>
              <w:rPr>
                <w:rFonts w:ascii="Arial" w:cs="Arial" w:eastAsia="Arial" w:hAnsi="Arial"/>
                <w:sz w:val="16"/>
                <w:szCs w:val="16"/>
                <w:color w:val="auto"/>
                <w:vertAlign w:val="superscript"/>
              </w:rPr>
              <w:t>5</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2022</w:t>
            </w:r>
          </w:p>
        </w:tc>
        <w:tc>
          <w:tcPr>
            <w:tcW w:w="820" w:type="dxa"/>
            <w:vAlign w:val="bottom"/>
            <w:shd w:val="clear" w:color="auto" w:fill="F2F2F2"/>
          </w:tcPr>
          <w:p>
            <w:pPr>
              <w:jc w:val="right"/>
              <w:ind w:right="139"/>
              <w:spacing w:after="0"/>
              <w:rPr>
                <w:sz w:val="20"/>
                <w:szCs w:val="20"/>
                <w:color w:val="auto"/>
              </w:rPr>
            </w:pPr>
            <w:r>
              <w:rPr>
                <w:rFonts w:ascii="Arial" w:cs="Arial" w:eastAsia="Arial" w:hAnsi="Arial"/>
                <w:sz w:val="12"/>
                <w:szCs w:val="12"/>
                <w:color w:val="auto"/>
              </w:rPr>
              <w:t>$740,385</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$0</w:t>
            </w:r>
          </w:p>
        </w:tc>
        <w:tc>
          <w:tcPr>
            <w:tcW w:w="9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$2,194,500</w:t>
            </w:r>
          </w:p>
        </w:tc>
        <w:tc>
          <w:tcPr>
            <w:tcW w:w="1140" w:type="dxa"/>
            <w:vAlign w:val="bottom"/>
            <w:shd w:val="clear" w:color="auto" w:fill="F2F2F2"/>
          </w:tcPr>
          <w:p>
            <w:pPr>
              <w:jc w:val="right"/>
              <w:ind w:right="99"/>
              <w:spacing w:after="0"/>
              <w:rPr>
                <w:sz w:val="20"/>
                <w:szCs w:val="20"/>
                <w:color w:val="auto"/>
              </w:rPr>
            </w:pPr>
            <w:r>
              <w:rPr>
                <w:rFonts w:ascii="Arial" w:cs="Arial" w:eastAsia="Arial" w:hAnsi="Arial"/>
                <w:sz w:val="12"/>
                <w:szCs w:val="12"/>
                <w:color w:val="auto"/>
              </w:rPr>
              <w:t>$888,462</w:t>
            </w:r>
          </w:p>
        </w:tc>
        <w:tc>
          <w:tcPr>
            <w:tcW w:w="820" w:type="dxa"/>
            <w:vAlign w:val="bottom"/>
            <w:shd w:val="clear" w:color="auto" w:fill="F2F2F2"/>
          </w:tcPr>
          <w:p>
            <w:pPr>
              <w:jc w:val="right"/>
              <w:ind w:right="79"/>
              <w:spacing w:after="0"/>
              <w:rPr>
                <w:sz w:val="20"/>
                <w:szCs w:val="20"/>
                <w:color w:val="auto"/>
              </w:rPr>
            </w:pPr>
            <w:r>
              <w:rPr>
                <w:rFonts w:ascii="Arial" w:cs="Arial" w:eastAsia="Arial" w:hAnsi="Arial"/>
                <w:sz w:val="12"/>
                <w:szCs w:val="12"/>
                <w:color w:val="auto"/>
              </w:rPr>
              <w:t>$55,495</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$44,423</w:t>
            </w:r>
          </w:p>
        </w:tc>
        <w:tc>
          <w:tcPr>
            <w:tcW w:w="10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$3,923,265</w:t>
            </w:r>
          </w:p>
        </w:tc>
        <w:tc>
          <w:tcPr>
            <w:tcW w:w="0" w:type="dxa"/>
            <w:vAlign w:val="bottom"/>
          </w:tcPr>
          <w:p>
            <w:pPr>
              <w:spacing w:after="0"/>
              <w:rPr>
                <w:sz w:val="1"/>
                <w:szCs w:val="1"/>
                <w:color w:val="auto"/>
              </w:rPr>
            </w:pPr>
          </w:p>
        </w:tc>
      </w:tr>
      <w:tr>
        <w:trPr>
          <w:trHeight w:val="86"/>
        </w:trPr>
        <w:tc>
          <w:tcPr>
            <w:tcW w:w="900" w:type="dxa"/>
            <w:vAlign w:val="bottom"/>
            <w:shd w:val="clear" w:color="auto" w:fill="F2F2F2"/>
          </w:tcPr>
          <w:p>
            <w:pPr>
              <w:spacing w:after="0"/>
              <w:rPr>
                <w:sz w:val="7"/>
                <w:szCs w:val="7"/>
                <w:color w:val="auto"/>
              </w:rPr>
            </w:pPr>
          </w:p>
        </w:tc>
        <w:tc>
          <w:tcPr>
            <w:tcW w:w="36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72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14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20"/>
                <w:szCs w:val="20"/>
                <w:color w:val="auto"/>
              </w:rPr>
            </w:pPr>
            <w:r>
              <w:rPr>
                <w:rFonts w:ascii="Arial" w:cs="Arial" w:eastAsia="Arial" w:hAnsi="Arial"/>
                <w:sz w:val="12"/>
                <w:szCs w:val="12"/>
                <w:color w:val="auto"/>
              </w:rPr>
              <w:t>Executive Vice</w:t>
            </w:r>
          </w:p>
        </w:tc>
        <w:tc>
          <w:tcPr>
            <w:tcW w:w="360" w:type="dxa"/>
            <w:vAlign w:val="bottom"/>
            <w:shd w:val="clear" w:color="auto" w:fill="F2F2F2"/>
          </w:tcPr>
          <w:p>
            <w:pPr>
              <w:ind w:left="40"/>
              <w:spacing w:after="0"/>
              <w:rPr>
                <w:sz w:val="20"/>
                <w:szCs w:val="20"/>
                <w:color w:val="auto"/>
              </w:rPr>
            </w:pPr>
            <w:r>
              <w:rPr>
                <w:rFonts w:ascii="Arial" w:cs="Arial" w:eastAsia="Arial" w:hAnsi="Arial"/>
                <w:sz w:val="12"/>
                <w:szCs w:val="12"/>
                <w:color w:val="auto"/>
              </w:rPr>
              <w:t>2021</w:t>
            </w:r>
          </w:p>
        </w:tc>
        <w:tc>
          <w:tcPr>
            <w:tcW w:w="820" w:type="dxa"/>
            <w:vAlign w:val="bottom"/>
            <w:shd w:val="clear" w:color="auto" w:fill="F2F2F2"/>
          </w:tcPr>
          <w:p>
            <w:pPr>
              <w:jc w:val="right"/>
              <w:ind w:right="159"/>
              <w:spacing w:after="0"/>
              <w:rPr>
                <w:sz w:val="20"/>
                <w:szCs w:val="20"/>
                <w:color w:val="auto"/>
              </w:rPr>
            </w:pPr>
            <w:r>
              <w:rPr>
                <w:rFonts w:ascii="Arial" w:cs="Arial" w:eastAsia="Arial" w:hAnsi="Arial"/>
                <w:sz w:val="12"/>
                <w:szCs w:val="12"/>
                <w:color w:val="auto"/>
              </w:rPr>
              <w:t>N/A</w:t>
            </w:r>
          </w:p>
        </w:tc>
        <w:tc>
          <w:tcPr>
            <w:tcW w:w="720" w:type="dxa"/>
            <w:vAlign w:val="bottom"/>
            <w:shd w:val="clear" w:color="auto" w:fill="F2F2F2"/>
          </w:tcPr>
          <w:p>
            <w:pPr>
              <w:jc w:val="right"/>
              <w:ind w:right="59"/>
              <w:spacing w:after="0"/>
              <w:rPr>
                <w:sz w:val="20"/>
                <w:szCs w:val="20"/>
                <w:color w:val="auto"/>
              </w:rPr>
            </w:pPr>
            <w:r>
              <w:rPr>
                <w:rFonts w:ascii="Arial" w:cs="Arial" w:eastAsia="Arial" w:hAnsi="Arial"/>
                <w:sz w:val="12"/>
                <w:szCs w:val="12"/>
                <w:color w:val="auto"/>
              </w:rPr>
              <w:t>N/A</w:t>
            </w:r>
          </w:p>
        </w:tc>
        <w:tc>
          <w:tcPr>
            <w:tcW w:w="96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N/A</w:t>
            </w:r>
          </w:p>
        </w:tc>
        <w:tc>
          <w:tcPr>
            <w:tcW w:w="1140" w:type="dxa"/>
            <w:vAlign w:val="bottom"/>
            <w:shd w:val="clear" w:color="auto" w:fill="F2F2F2"/>
          </w:tcPr>
          <w:p>
            <w:pPr>
              <w:jc w:val="right"/>
              <w:ind w:right="119"/>
              <w:spacing w:after="0"/>
              <w:rPr>
                <w:sz w:val="20"/>
                <w:szCs w:val="20"/>
                <w:color w:val="auto"/>
              </w:rPr>
            </w:pPr>
            <w:r>
              <w:rPr>
                <w:rFonts w:ascii="Arial" w:cs="Arial" w:eastAsia="Arial" w:hAnsi="Arial"/>
                <w:sz w:val="12"/>
                <w:szCs w:val="12"/>
                <w:color w:val="auto"/>
              </w:rPr>
              <w:t>N/A</w:t>
            </w:r>
          </w:p>
        </w:tc>
        <w:tc>
          <w:tcPr>
            <w:tcW w:w="820" w:type="dxa"/>
            <w:vAlign w:val="bottom"/>
            <w:shd w:val="clear" w:color="auto" w:fill="F2F2F2"/>
          </w:tcPr>
          <w:p>
            <w:pPr>
              <w:jc w:val="right"/>
              <w:ind w:right="19"/>
              <w:spacing w:after="0"/>
              <w:rPr>
                <w:sz w:val="20"/>
                <w:szCs w:val="20"/>
                <w:color w:val="auto"/>
              </w:rPr>
            </w:pPr>
            <w:r>
              <w:rPr>
                <w:rFonts w:ascii="Arial" w:cs="Arial" w:eastAsia="Arial" w:hAnsi="Arial"/>
                <w:sz w:val="12"/>
                <w:szCs w:val="12"/>
                <w:color w:val="auto"/>
              </w:rPr>
              <w:t>N/A</w:t>
            </w:r>
          </w:p>
        </w:tc>
        <w:tc>
          <w:tcPr>
            <w:tcW w:w="108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rPr>
              <w:t>N/A</w:t>
            </w:r>
          </w:p>
        </w:tc>
        <w:tc>
          <w:tcPr>
            <w:tcW w:w="1040" w:type="dxa"/>
            <w:vAlign w:val="bottom"/>
            <w:shd w:val="clear" w:color="auto" w:fill="F2F2F2"/>
          </w:tcPr>
          <w:p>
            <w:pPr>
              <w:jc w:val="right"/>
              <w:ind w:right="19"/>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20"/>
                <w:szCs w:val="20"/>
                <w:color w:val="auto"/>
              </w:rPr>
            </w:pPr>
            <w:r>
              <w:rPr>
                <w:rFonts w:ascii="Arial" w:cs="Arial" w:eastAsia="Arial" w:hAnsi="Arial"/>
                <w:sz w:val="12"/>
                <w:szCs w:val="12"/>
                <w:color w:val="auto"/>
              </w:rPr>
              <w:t>President and</w:t>
            </w:r>
          </w:p>
        </w:tc>
        <w:tc>
          <w:tcPr>
            <w:tcW w:w="36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20"/>
                <w:szCs w:val="20"/>
                <w:color w:val="auto"/>
              </w:rPr>
            </w:pPr>
            <w:r>
              <w:rPr>
                <w:rFonts w:ascii="Arial" w:cs="Arial" w:eastAsia="Arial" w:hAnsi="Arial"/>
                <w:sz w:val="12"/>
                <w:szCs w:val="12"/>
                <w:color w:val="auto"/>
              </w:rPr>
              <w:t>President, Lilly</w:t>
            </w:r>
          </w:p>
        </w:tc>
        <w:tc>
          <w:tcPr>
            <w:tcW w:w="36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960" w:type="dxa"/>
            <w:vAlign w:val="bottom"/>
            <w:shd w:val="clear" w:color="auto" w:fill="F2F2F2"/>
          </w:tcPr>
          <w:p>
            <w:pPr>
              <w:spacing w:after="0"/>
              <w:rPr>
                <w:sz w:val="13"/>
                <w:szCs w:val="13"/>
                <w:color w:val="auto"/>
              </w:rPr>
            </w:pPr>
          </w:p>
        </w:tc>
        <w:tc>
          <w:tcPr>
            <w:tcW w:w="114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1080" w:type="dxa"/>
            <w:vAlign w:val="bottom"/>
            <w:shd w:val="clear" w:color="auto" w:fill="F2F2F2"/>
          </w:tcPr>
          <w:p>
            <w:pPr>
              <w:spacing w:after="0"/>
              <w:rPr>
                <w:sz w:val="13"/>
                <w:szCs w:val="13"/>
                <w:color w:val="auto"/>
              </w:rPr>
            </w:pPr>
          </w:p>
        </w:tc>
        <w:tc>
          <w:tcPr>
            <w:tcW w:w="10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restart"/>
          </w:tcPr>
          <w:p>
            <w:pPr>
              <w:spacing w:after="0"/>
              <w:rPr>
                <w:sz w:val="20"/>
                <w:szCs w:val="20"/>
                <w:color w:val="auto"/>
              </w:rPr>
            </w:pPr>
            <w:r>
              <w:rPr>
                <w:rFonts w:ascii="Arial" w:cs="Arial" w:eastAsia="Arial" w:hAnsi="Arial"/>
                <w:sz w:val="12"/>
                <w:szCs w:val="12"/>
                <w:color w:val="auto"/>
              </w:rPr>
              <w:t>Immunology,</w:t>
            </w:r>
          </w:p>
        </w:tc>
        <w:tc>
          <w:tcPr>
            <w:tcW w:w="36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720" w:type="dxa"/>
            <w:vAlign w:val="bottom"/>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1140" w:type="dxa"/>
            <w:vAlign w:val="bottom"/>
            <w:shd w:val="clear" w:color="auto" w:fill="F2F2F2"/>
          </w:tcPr>
          <w:p>
            <w:pPr>
              <w:spacing w:after="0"/>
              <w:rPr>
                <w:sz w:val="7"/>
                <w:szCs w:val="7"/>
                <w:color w:val="auto"/>
              </w:rPr>
            </w:pPr>
          </w:p>
        </w:tc>
        <w:tc>
          <w:tcPr>
            <w:tcW w:w="82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900" w:type="dxa"/>
            <w:vAlign w:val="bottom"/>
            <w:vMerge w:val="continue"/>
          </w:tcPr>
          <w:p>
            <w:pPr>
              <w:spacing w:after="0"/>
              <w:rPr>
                <w:sz w:val="6"/>
                <w:szCs w:val="6"/>
                <w:color w:val="auto"/>
              </w:rPr>
            </w:pPr>
          </w:p>
        </w:tc>
        <w:tc>
          <w:tcPr>
            <w:tcW w:w="360" w:type="dxa"/>
            <w:vAlign w:val="bottom"/>
          </w:tcPr>
          <w:p>
            <w:pPr>
              <w:ind w:left="40"/>
              <w:spacing w:after="0" w:line="74" w:lineRule="exact"/>
              <w:rPr>
                <w:sz w:val="20"/>
                <w:szCs w:val="20"/>
                <w:color w:val="auto"/>
              </w:rPr>
            </w:pPr>
            <w:r>
              <w:rPr>
                <w:rFonts w:ascii="Arial" w:cs="Arial" w:eastAsia="Arial" w:hAnsi="Arial"/>
                <w:sz w:val="8"/>
                <w:szCs w:val="8"/>
                <w:color w:val="auto"/>
              </w:rPr>
              <w:t>2020</w:t>
            </w:r>
          </w:p>
        </w:tc>
        <w:tc>
          <w:tcPr>
            <w:tcW w:w="820" w:type="dxa"/>
            <w:vAlign w:val="bottom"/>
          </w:tcPr>
          <w:p>
            <w:pPr>
              <w:jc w:val="right"/>
              <w:ind w:right="159"/>
              <w:spacing w:after="0" w:line="74" w:lineRule="exact"/>
              <w:rPr>
                <w:sz w:val="20"/>
                <w:szCs w:val="20"/>
                <w:color w:val="auto"/>
              </w:rPr>
            </w:pPr>
            <w:r>
              <w:rPr>
                <w:rFonts w:ascii="Arial" w:cs="Arial" w:eastAsia="Arial" w:hAnsi="Arial"/>
                <w:sz w:val="8"/>
                <w:szCs w:val="8"/>
                <w:color w:val="auto"/>
              </w:rPr>
              <w:t>N/A</w:t>
            </w:r>
          </w:p>
        </w:tc>
        <w:tc>
          <w:tcPr>
            <w:tcW w:w="720" w:type="dxa"/>
            <w:vAlign w:val="bottom"/>
          </w:tcPr>
          <w:p>
            <w:pPr>
              <w:jc w:val="right"/>
              <w:ind w:right="59"/>
              <w:spacing w:after="0" w:line="74" w:lineRule="exact"/>
              <w:rPr>
                <w:sz w:val="20"/>
                <w:szCs w:val="20"/>
                <w:color w:val="auto"/>
              </w:rPr>
            </w:pPr>
            <w:r>
              <w:rPr>
                <w:rFonts w:ascii="Arial" w:cs="Arial" w:eastAsia="Arial" w:hAnsi="Arial"/>
                <w:sz w:val="8"/>
                <w:szCs w:val="8"/>
                <w:color w:val="auto"/>
              </w:rPr>
              <w:t>N/A</w:t>
            </w:r>
          </w:p>
        </w:tc>
        <w:tc>
          <w:tcPr>
            <w:tcW w:w="960" w:type="dxa"/>
            <w:vAlign w:val="bottom"/>
          </w:tcPr>
          <w:p>
            <w:pPr>
              <w:jc w:val="right"/>
              <w:ind w:right="39"/>
              <w:spacing w:after="0" w:line="74" w:lineRule="exact"/>
              <w:rPr>
                <w:sz w:val="20"/>
                <w:szCs w:val="20"/>
                <w:color w:val="auto"/>
              </w:rPr>
            </w:pPr>
            <w:r>
              <w:rPr>
                <w:rFonts w:ascii="Arial" w:cs="Arial" w:eastAsia="Arial" w:hAnsi="Arial"/>
                <w:sz w:val="8"/>
                <w:szCs w:val="8"/>
                <w:color w:val="auto"/>
              </w:rPr>
              <w:t>N/A</w:t>
            </w:r>
          </w:p>
        </w:tc>
        <w:tc>
          <w:tcPr>
            <w:tcW w:w="1140" w:type="dxa"/>
            <w:vAlign w:val="bottom"/>
          </w:tcPr>
          <w:p>
            <w:pPr>
              <w:jc w:val="right"/>
              <w:ind w:right="119"/>
              <w:spacing w:after="0" w:line="74" w:lineRule="exact"/>
              <w:rPr>
                <w:sz w:val="20"/>
                <w:szCs w:val="20"/>
                <w:color w:val="auto"/>
              </w:rPr>
            </w:pPr>
            <w:r>
              <w:rPr>
                <w:rFonts w:ascii="Arial" w:cs="Arial" w:eastAsia="Arial" w:hAnsi="Arial"/>
                <w:sz w:val="8"/>
                <w:szCs w:val="8"/>
                <w:color w:val="auto"/>
              </w:rPr>
              <w:t>N/A</w:t>
            </w:r>
          </w:p>
        </w:tc>
        <w:tc>
          <w:tcPr>
            <w:tcW w:w="820" w:type="dxa"/>
            <w:vAlign w:val="bottom"/>
          </w:tcPr>
          <w:p>
            <w:pPr>
              <w:jc w:val="right"/>
              <w:ind w:right="19"/>
              <w:spacing w:after="0" w:line="74" w:lineRule="exact"/>
              <w:rPr>
                <w:sz w:val="20"/>
                <w:szCs w:val="20"/>
                <w:color w:val="auto"/>
              </w:rPr>
            </w:pPr>
            <w:r>
              <w:rPr>
                <w:rFonts w:ascii="Arial" w:cs="Arial" w:eastAsia="Arial" w:hAnsi="Arial"/>
                <w:sz w:val="8"/>
                <w:szCs w:val="8"/>
                <w:color w:val="auto"/>
              </w:rPr>
              <w:t>N/A</w:t>
            </w:r>
          </w:p>
        </w:tc>
        <w:tc>
          <w:tcPr>
            <w:tcW w:w="1080" w:type="dxa"/>
            <w:vAlign w:val="bottom"/>
          </w:tcPr>
          <w:p>
            <w:pPr>
              <w:jc w:val="right"/>
              <w:ind w:right="39"/>
              <w:spacing w:after="0" w:line="74" w:lineRule="exact"/>
              <w:rPr>
                <w:sz w:val="20"/>
                <w:szCs w:val="20"/>
                <w:color w:val="auto"/>
              </w:rPr>
            </w:pPr>
            <w:r>
              <w:rPr>
                <w:rFonts w:ascii="Arial" w:cs="Arial" w:eastAsia="Arial" w:hAnsi="Arial"/>
                <w:sz w:val="8"/>
                <w:szCs w:val="8"/>
                <w:color w:val="auto"/>
              </w:rPr>
              <w:t>N/A</w:t>
            </w:r>
          </w:p>
        </w:tc>
        <w:tc>
          <w:tcPr>
            <w:tcW w:w="1040" w:type="dxa"/>
            <w:vAlign w:val="bottom"/>
          </w:tcPr>
          <w:p>
            <w:pPr>
              <w:jc w:val="right"/>
              <w:ind w:right="19"/>
              <w:spacing w:after="0" w:line="74" w:lineRule="exact"/>
              <w:rPr>
                <w:sz w:val="20"/>
                <w:szCs w:val="20"/>
                <w:color w:val="auto"/>
              </w:rPr>
            </w:pPr>
            <w:r>
              <w:rPr>
                <w:rFonts w:ascii="Arial" w:cs="Arial" w:eastAsia="Arial" w:hAnsi="Arial"/>
                <w:sz w:val="8"/>
                <w:szCs w:val="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-595630</wp:posOffset>
            </wp:positionV>
            <wp:extent cx="4984750" cy="897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4984750" cy="897255"/>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Lilly USA and</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2"/>
          <w:szCs w:val="12"/>
          <w:color w:val="auto"/>
        </w:rPr>
        <w:t>Chief Customer</w:t>
      </w:r>
    </w:p>
    <w:p>
      <w:pPr>
        <w:spacing w:after="0" w:line="14" w:lineRule="exact"/>
        <w:rPr>
          <w:sz w:val="20"/>
          <w:szCs w:val="20"/>
          <w:color w:val="auto"/>
        </w:rPr>
      </w:pPr>
    </w:p>
    <w:p>
      <w:pPr>
        <w:ind w:left="7"/>
        <w:spacing w:after="0"/>
        <w:rPr>
          <w:sz w:val="20"/>
          <w:szCs w:val="20"/>
          <w:color w:val="auto"/>
        </w:rPr>
      </w:pPr>
      <w:r>
        <w:rPr>
          <w:rFonts w:ascii="Arial" w:cs="Arial" w:eastAsia="Arial" w:hAnsi="Arial"/>
          <w:sz w:val="12"/>
          <w:szCs w:val="12"/>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984750" cy="762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160" w:lineRule="exact"/>
        <w:rPr>
          <w:sz w:val="20"/>
          <w:szCs w:val="20"/>
          <w:color w:val="auto"/>
        </w:rPr>
      </w:pPr>
    </w:p>
    <w:p>
      <w:pPr>
        <w:ind w:left="87" w:hanging="87"/>
        <w:spacing w:after="0"/>
        <w:tabs>
          <w:tab w:leader="none" w:pos="87" w:val="left"/>
        </w:tabs>
        <w:numPr>
          <w:ilvl w:val="0"/>
          <w:numId w:val="146"/>
        </w:numPr>
        <w:rPr>
          <w:rFonts w:ascii="Arial" w:cs="Arial" w:eastAsia="Arial" w:hAnsi="Arial"/>
          <w:sz w:val="16"/>
          <w:szCs w:val="16"/>
          <w:color w:val="auto"/>
          <w:vertAlign w:val="superscript"/>
        </w:rPr>
      </w:pPr>
      <w:r>
        <w:rPr>
          <w:rFonts w:ascii="Arial" w:cs="Arial" w:eastAsia="Arial" w:hAnsi="Arial"/>
          <w:sz w:val="12"/>
          <w:szCs w:val="12"/>
          <w:color w:val="auto"/>
        </w:rPr>
        <w:t>This column shows the grant date fair value of performance awards, shareholder value awards and relative value awards for all named executive officers computed in accordance with FASB ASC Topic</w:t>
      </w:r>
    </w:p>
    <w:p>
      <w:pPr>
        <w:ind w:left="147" w:right="340" w:hanging="6"/>
        <w:spacing w:after="0" w:line="269" w:lineRule="auto"/>
        <w:tabs>
          <w:tab w:leader="none" w:pos="423" w:val="left"/>
        </w:tabs>
        <w:numPr>
          <w:ilvl w:val="1"/>
          <w:numId w:val="146"/>
        </w:numPr>
        <w:rPr>
          <w:rFonts w:ascii="Arial" w:cs="Arial" w:eastAsia="Arial" w:hAnsi="Arial"/>
          <w:sz w:val="12"/>
          <w:szCs w:val="12"/>
          <w:color w:val="auto"/>
        </w:rPr>
      </w:pPr>
      <w:r>
        <w:rPr>
          <w:rFonts w:ascii="Arial" w:cs="Arial" w:eastAsia="Arial" w:hAnsi="Arial"/>
          <w:sz w:val="12"/>
          <w:szCs w:val="12"/>
          <w:color w:val="auto"/>
        </w:rPr>
        <w:t>See Note 12 of the consolidated financial statements in the company’s Annual Report on Form 10-K for the fiscal year ended December 31, 2022 for additional detail regarding assumptions underlying the valuation of equity awards. All values in the “Stock Awards” column were based upon the probable outcome of performance conditions as of the grant date, which vary year to year.</w:t>
      </w:r>
    </w:p>
    <w:p>
      <w:pPr>
        <w:spacing w:after="0" w:line="52" w:lineRule="exact"/>
        <w:rPr>
          <w:sz w:val="20"/>
          <w:szCs w:val="20"/>
          <w:color w:val="auto"/>
        </w:rPr>
      </w:pPr>
    </w:p>
    <w:p>
      <w:pPr>
        <w:jc w:val="both"/>
        <w:ind w:left="147" w:right="120"/>
        <w:spacing w:after="0" w:line="287" w:lineRule="auto"/>
        <w:rPr>
          <w:sz w:val="20"/>
          <w:szCs w:val="20"/>
          <w:color w:val="auto"/>
        </w:rPr>
      </w:pPr>
      <w:r>
        <w:rPr>
          <w:rFonts w:ascii="Arial" w:cs="Arial" w:eastAsia="Arial" w:hAnsi="Arial"/>
          <w:sz w:val="12"/>
          <w:szCs w:val="12"/>
          <w:color w:val="auto"/>
        </w:rPr>
        <w:t>The table below shows the target and maximum payouts (valuing the number of shares that would vest at each payout level using the grant date fair value) for the 2022-2024 performance award, the 2022-2024 shareholder value award, and the 2022-2024 relative value award, each of which are included in the Summary Compensation Table above. All awards below pay out in February 2025 and have a minimum payout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158115</wp:posOffset>
            </wp:positionV>
            <wp:extent cx="3634740" cy="762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634740" cy="7620"/>
                    </a:xfrm>
                    <a:prstGeom prst="rect">
                      <a:avLst/>
                    </a:prstGeom>
                    <a:noFill/>
                  </pic:spPr>
                </pic:pic>
              </a:graphicData>
            </a:graphic>
          </wp:anchor>
        </w:drawing>
      </w:r>
    </w:p>
    <w:p>
      <w:pPr>
        <w:spacing w:after="0" w:line="279" w:lineRule="exact"/>
        <w:rPr>
          <w:sz w:val="20"/>
          <w:szCs w:val="20"/>
          <w:color w:val="auto"/>
        </w:rPr>
      </w:pPr>
    </w:p>
    <w:tbl>
      <w:tblPr>
        <w:tblLayout w:type="fixed"/>
        <w:tblInd w:w="567" w:type="dxa"/>
        <w:tblCellMar>
          <w:top w:w="0" w:type="dxa"/>
          <w:left w:w="0" w:type="dxa"/>
          <w:bottom w:w="0" w:type="dxa"/>
          <w:right w:w="0" w:type="dxa"/>
        </w:tblCellMar>
      </w:tblPr>
      <w:tr>
        <w:trPr>
          <w:trHeight w:val="177"/>
        </w:trPr>
        <w:tc>
          <w:tcPr>
            <w:tcW w:w="12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2"/>
                <w:szCs w:val="12"/>
                <w:b w:val="1"/>
                <w:bCs w:val="1"/>
                <w:color w:val="auto"/>
              </w:rPr>
              <w:t>2022-2024 PA</w:t>
            </w:r>
          </w:p>
        </w:tc>
        <w:tc>
          <w:tcPr>
            <w:tcW w:w="200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2"/>
                <w:szCs w:val="12"/>
                <w:b w:val="1"/>
                <w:bCs w:val="1"/>
                <w:color w:val="auto"/>
              </w:rPr>
              <w:t>2022-2024 SVA</w:t>
            </w:r>
          </w:p>
        </w:tc>
        <w:tc>
          <w:tcPr>
            <w:tcW w:w="1820" w:type="dxa"/>
            <w:vAlign w:val="bottom"/>
            <w:tcBorders>
              <w:bottom w:val="single" w:sz="8" w:color="auto"/>
            </w:tcBorders>
            <w:gridSpan w:val="2"/>
          </w:tcPr>
          <w:p>
            <w:pPr>
              <w:jc w:val="right"/>
              <w:ind w:right="378"/>
              <w:spacing w:after="0"/>
              <w:rPr>
                <w:sz w:val="20"/>
                <w:szCs w:val="20"/>
                <w:color w:val="auto"/>
              </w:rPr>
            </w:pPr>
            <w:r>
              <w:rPr>
                <w:rFonts w:ascii="Arial" w:cs="Arial" w:eastAsia="Arial" w:hAnsi="Arial"/>
                <w:sz w:val="12"/>
                <w:szCs w:val="12"/>
                <w:b w:val="1"/>
                <w:bCs w:val="1"/>
                <w:color w:val="auto"/>
              </w:rPr>
              <w:t>2022-2024 RVA</w:t>
            </w:r>
          </w:p>
        </w:tc>
      </w:tr>
      <w:tr>
        <w:trPr>
          <w:trHeight w:val="214"/>
        </w:trPr>
        <w:tc>
          <w:tcPr>
            <w:tcW w:w="1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Target</w:t>
            </w: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Maximum</w:t>
            </w: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Target</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Maximum</w:t>
            </w: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Target</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Maximum</w:t>
            </w:r>
          </w:p>
        </w:tc>
      </w:tr>
      <w:tr>
        <w:trPr>
          <w:trHeight w:val="220"/>
        </w:trPr>
        <w:tc>
          <w:tcPr>
            <w:tcW w:w="128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1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$4,875,000</w:t>
            </w:r>
          </w:p>
        </w:tc>
        <w:tc>
          <w:tcPr>
            <w:tcW w:w="10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$8,531,250</w:t>
            </w:r>
          </w:p>
        </w:tc>
        <w:tc>
          <w:tcPr>
            <w:tcW w:w="9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$5,687,500</w:t>
            </w:r>
          </w:p>
        </w:tc>
        <w:tc>
          <w:tcPr>
            <w:tcW w:w="102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$9,953,125</w:t>
            </w:r>
          </w:p>
        </w:tc>
        <w:tc>
          <w:tcPr>
            <w:tcW w:w="9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$5,687,500</w:t>
            </w:r>
          </w:p>
        </w:tc>
        <w:tc>
          <w:tcPr>
            <w:tcW w:w="8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$9,953,125</w:t>
            </w:r>
          </w:p>
        </w:tc>
      </w:tr>
      <w:tr>
        <w:trPr>
          <w:trHeight w:val="224"/>
        </w:trPr>
        <w:tc>
          <w:tcPr>
            <w:tcW w:w="1280" w:type="dxa"/>
            <w:vAlign w:val="bottom"/>
          </w:tcPr>
          <w:p>
            <w:pPr>
              <w:spacing w:after="0"/>
              <w:rPr>
                <w:sz w:val="20"/>
                <w:szCs w:val="20"/>
                <w:color w:val="auto"/>
              </w:rPr>
            </w:pPr>
            <w:r>
              <w:rPr>
                <w:rFonts w:ascii="Arial" w:cs="Arial" w:eastAsia="Arial" w:hAnsi="Arial"/>
                <w:sz w:val="12"/>
                <w:szCs w:val="12"/>
                <w:color w:val="auto"/>
              </w:rPr>
              <w:t>Ms. Ashkenazi</w:t>
            </w:r>
          </w:p>
        </w:tc>
        <w:tc>
          <w:tcPr>
            <w:tcW w:w="1180" w:type="dxa"/>
            <w:vAlign w:val="bottom"/>
          </w:tcPr>
          <w:p>
            <w:pPr>
              <w:jc w:val="right"/>
              <w:ind w:right="38"/>
              <w:spacing w:after="0"/>
              <w:rPr>
                <w:sz w:val="20"/>
                <w:szCs w:val="20"/>
                <w:color w:val="auto"/>
              </w:rPr>
            </w:pPr>
            <w:r>
              <w:rPr>
                <w:rFonts w:ascii="Arial" w:cs="Arial" w:eastAsia="Arial" w:hAnsi="Arial"/>
                <w:sz w:val="12"/>
                <w:szCs w:val="12"/>
                <w:color w:val="auto"/>
              </w:rPr>
              <w:t>$900,000</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$1,575,000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$1,050,000</w:t>
            </w:r>
          </w:p>
        </w:tc>
        <w:tc>
          <w:tcPr>
            <w:tcW w:w="1020" w:type="dxa"/>
            <w:vAlign w:val="bottom"/>
          </w:tcPr>
          <w:p>
            <w:pPr>
              <w:jc w:val="right"/>
              <w:ind w:right="198"/>
              <w:spacing w:after="0"/>
              <w:rPr>
                <w:sz w:val="20"/>
                <w:szCs w:val="20"/>
                <w:color w:val="auto"/>
              </w:rPr>
            </w:pPr>
            <w:r>
              <w:rPr>
                <w:rFonts w:ascii="Arial" w:cs="Arial" w:eastAsia="Arial" w:hAnsi="Arial"/>
                <w:sz w:val="12"/>
                <w:szCs w:val="12"/>
                <w:color w:val="auto"/>
              </w:rPr>
              <w:t>$1,837,500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$1,050,000</w:t>
            </w:r>
          </w:p>
        </w:tc>
        <w:tc>
          <w:tcPr>
            <w:tcW w:w="840" w:type="dxa"/>
            <w:vAlign w:val="bottom"/>
          </w:tcPr>
          <w:p>
            <w:pPr>
              <w:jc w:val="right"/>
              <w:spacing w:after="0"/>
              <w:rPr>
                <w:sz w:val="20"/>
                <w:szCs w:val="20"/>
                <w:color w:val="auto"/>
              </w:rPr>
            </w:pPr>
            <w:r>
              <w:rPr>
                <w:rFonts w:ascii="Arial" w:cs="Arial" w:eastAsia="Arial" w:hAnsi="Arial"/>
                <w:sz w:val="12"/>
                <w:szCs w:val="12"/>
                <w:color w:val="auto"/>
              </w:rPr>
              <w:t>$1,837,500</w:t>
            </w:r>
          </w:p>
        </w:tc>
      </w:tr>
      <w:tr>
        <w:trPr>
          <w:trHeight w:val="243"/>
        </w:trPr>
        <w:tc>
          <w:tcPr>
            <w:tcW w:w="128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1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$1,650,000</w:t>
            </w:r>
          </w:p>
        </w:tc>
        <w:tc>
          <w:tcPr>
            <w:tcW w:w="10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$2,887,500</w:t>
            </w:r>
          </w:p>
        </w:tc>
        <w:tc>
          <w:tcPr>
            <w:tcW w:w="9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$1,925,000</w:t>
            </w:r>
          </w:p>
        </w:tc>
        <w:tc>
          <w:tcPr>
            <w:tcW w:w="102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$3,368,750</w:t>
            </w:r>
          </w:p>
        </w:tc>
        <w:tc>
          <w:tcPr>
            <w:tcW w:w="9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$1,925,000</w:t>
            </w:r>
          </w:p>
        </w:tc>
        <w:tc>
          <w:tcPr>
            <w:tcW w:w="8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$3,368,750</w:t>
            </w:r>
          </w:p>
        </w:tc>
      </w:tr>
      <w:tr>
        <w:trPr>
          <w:trHeight w:val="224"/>
        </w:trPr>
        <w:tc>
          <w:tcPr>
            <w:tcW w:w="1280" w:type="dxa"/>
            <w:vAlign w:val="bottom"/>
          </w:tcPr>
          <w:p>
            <w:pPr>
              <w:spacing w:after="0"/>
              <w:rPr>
                <w:sz w:val="20"/>
                <w:szCs w:val="20"/>
                <w:color w:val="auto"/>
              </w:rPr>
            </w:pPr>
            <w:r>
              <w:rPr>
                <w:rFonts w:ascii="Arial" w:cs="Arial" w:eastAsia="Arial" w:hAnsi="Arial"/>
                <w:sz w:val="12"/>
                <w:szCs w:val="12"/>
                <w:color w:val="auto"/>
              </w:rPr>
              <w:t>Ms. Hakim</w:t>
            </w:r>
          </w:p>
        </w:tc>
        <w:tc>
          <w:tcPr>
            <w:tcW w:w="1180" w:type="dxa"/>
            <w:vAlign w:val="bottom"/>
          </w:tcPr>
          <w:p>
            <w:pPr>
              <w:jc w:val="right"/>
              <w:ind w:right="38"/>
              <w:spacing w:after="0"/>
              <w:rPr>
                <w:sz w:val="20"/>
                <w:szCs w:val="20"/>
                <w:color w:val="auto"/>
              </w:rPr>
            </w:pPr>
            <w:r>
              <w:rPr>
                <w:rFonts w:ascii="Arial" w:cs="Arial" w:eastAsia="Arial" w:hAnsi="Arial"/>
                <w:sz w:val="12"/>
                <w:szCs w:val="12"/>
                <w:color w:val="auto"/>
              </w:rPr>
              <w:t>$900,000</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$1,575,000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$1,050,000</w:t>
            </w:r>
          </w:p>
        </w:tc>
        <w:tc>
          <w:tcPr>
            <w:tcW w:w="1020" w:type="dxa"/>
            <w:vAlign w:val="bottom"/>
          </w:tcPr>
          <w:p>
            <w:pPr>
              <w:jc w:val="right"/>
              <w:ind w:right="198"/>
              <w:spacing w:after="0"/>
              <w:rPr>
                <w:sz w:val="20"/>
                <w:szCs w:val="20"/>
                <w:color w:val="auto"/>
              </w:rPr>
            </w:pPr>
            <w:r>
              <w:rPr>
                <w:rFonts w:ascii="Arial" w:cs="Arial" w:eastAsia="Arial" w:hAnsi="Arial"/>
                <w:sz w:val="12"/>
                <w:szCs w:val="12"/>
                <w:color w:val="auto"/>
              </w:rPr>
              <w:t>$1,837,500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$1,050,000</w:t>
            </w:r>
          </w:p>
        </w:tc>
        <w:tc>
          <w:tcPr>
            <w:tcW w:w="840" w:type="dxa"/>
            <w:vAlign w:val="bottom"/>
          </w:tcPr>
          <w:p>
            <w:pPr>
              <w:jc w:val="right"/>
              <w:spacing w:after="0"/>
              <w:rPr>
                <w:sz w:val="20"/>
                <w:szCs w:val="20"/>
                <w:color w:val="auto"/>
              </w:rPr>
            </w:pPr>
            <w:r>
              <w:rPr>
                <w:rFonts w:ascii="Arial" w:cs="Arial" w:eastAsia="Arial" w:hAnsi="Arial"/>
                <w:sz w:val="12"/>
                <w:szCs w:val="12"/>
                <w:color w:val="auto"/>
              </w:rPr>
              <w:t>$1,837,500</w:t>
            </w:r>
          </w:p>
        </w:tc>
      </w:tr>
      <w:tr>
        <w:trPr>
          <w:trHeight w:val="235"/>
        </w:trPr>
        <w:tc>
          <w:tcPr>
            <w:tcW w:w="12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1180" w:type="dxa"/>
            <w:vAlign w:val="bottom"/>
            <w:tcBorders>
              <w:bottom w:val="single" w:sz="8" w:color="auto"/>
            </w:tcBorders>
            <w:shd w:val="clear" w:color="auto" w:fill="F2F2F2"/>
          </w:tcPr>
          <w:p>
            <w:pPr>
              <w:jc w:val="right"/>
              <w:ind w:right="38"/>
              <w:spacing w:after="0"/>
              <w:rPr>
                <w:sz w:val="20"/>
                <w:szCs w:val="20"/>
                <w:color w:val="auto"/>
              </w:rPr>
            </w:pPr>
            <w:r>
              <w:rPr>
                <w:rFonts w:ascii="Arial" w:cs="Arial" w:eastAsia="Arial" w:hAnsi="Arial"/>
                <w:sz w:val="12"/>
                <w:szCs w:val="12"/>
                <w:color w:val="auto"/>
              </w:rPr>
              <w:t>$630,000</w:t>
            </w:r>
          </w:p>
        </w:tc>
        <w:tc>
          <w:tcPr>
            <w:tcW w:w="1000" w:type="dxa"/>
            <w:vAlign w:val="bottom"/>
            <w:tcBorders>
              <w:bottom w:val="single" w:sz="8" w:color="auto"/>
            </w:tcBorders>
            <w:shd w:val="clear" w:color="auto" w:fill="F2F2F2"/>
          </w:tcPr>
          <w:p>
            <w:pPr>
              <w:jc w:val="right"/>
              <w:ind w:right="178"/>
              <w:spacing w:after="0"/>
              <w:rPr>
                <w:sz w:val="20"/>
                <w:szCs w:val="20"/>
                <w:color w:val="auto"/>
              </w:rPr>
            </w:pPr>
            <w:r>
              <w:rPr>
                <w:rFonts w:ascii="Arial" w:cs="Arial" w:eastAsia="Arial" w:hAnsi="Arial"/>
                <w:sz w:val="12"/>
                <w:szCs w:val="12"/>
                <w:color w:val="auto"/>
              </w:rPr>
              <w:t>$1,102,500</w:t>
            </w:r>
          </w:p>
        </w:tc>
        <w:tc>
          <w:tcPr>
            <w:tcW w:w="980" w:type="dxa"/>
            <w:vAlign w:val="bottom"/>
            <w:tcBorders>
              <w:bottom w:val="single" w:sz="8" w:color="auto"/>
            </w:tcBorders>
            <w:shd w:val="clear" w:color="auto" w:fill="F2F2F2"/>
          </w:tcPr>
          <w:p>
            <w:pPr>
              <w:jc w:val="right"/>
              <w:ind w:right="38"/>
              <w:spacing w:after="0"/>
              <w:rPr>
                <w:sz w:val="20"/>
                <w:szCs w:val="20"/>
                <w:color w:val="auto"/>
              </w:rPr>
            </w:pPr>
            <w:r>
              <w:rPr>
                <w:rFonts w:ascii="Arial" w:cs="Arial" w:eastAsia="Arial" w:hAnsi="Arial"/>
                <w:sz w:val="12"/>
                <w:szCs w:val="12"/>
                <w:color w:val="auto"/>
              </w:rPr>
              <w:t>$735,000</w:t>
            </w:r>
          </w:p>
        </w:tc>
        <w:tc>
          <w:tcPr>
            <w:tcW w:w="1020" w:type="dxa"/>
            <w:vAlign w:val="bottom"/>
            <w:tcBorders>
              <w:bottom w:val="single" w:sz="8" w:color="auto"/>
            </w:tcBorders>
            <w:shd w:val="clear" w:color="auto" w:fill="F2F2F2"/>
          </w:tcPr>
          <w:p>
            <w:pPr>
              <w:jc w:val="right"/>
              <w:ind w:right="198"/>
              <w:spacing w:after="0"/>
              <w:rPr>
                <w:sz w:val="20"/>
                <w:szCs w:val="20"/>
                <w:color w:val="auto"/>
              </w:rPr>
            </w:pPr>
            <w:r>
              <w:rPr>
                <w:rFonts w:ascii="Arial" w:cs="Arial" w:eastAsia="Arial" w:hAnsi="Arial"/>
                <w:sz w:val="12"/>
                <w:szCs w:val="12"/>
                <w:color w:val="auto"/>
              </w:rPr>
              <w:t>$1,286,250</w:t>
            </w:r>
          </w:p>
        </w:tc>
        <w:tc>
          <w:tcPr>
            <w:tcW w:w="980" w:type="dxa"/>
            <w:vAlign w:val="bottom"/>
            <w:tcBorders>
              <w:bottom w:val="single" w:sz="8" w:color="auto"/>
            </w:tcBorders>
            <w:shd w:val="clear" w:color="auto" w:fill="F2F2F2"/>
          </w:tcPr>
          <w:p>
            <w:pPr>
              <w:jc w:val="right"/>
              <w:ind w:right="38"/>
              <w:spacing w:after="0"/>
              <w:rPr>
                <w:sz w:val="20"/>
                <w:szCs w:val="20"/>
                <w:color w:val="auto"/>
              </w:rPr>
            </w:pPr>
            <w:r>
              <w:rPr>
                <w:rFonts w:ascii="Arial" w:cs="Arial" w:eastAsia="Arial" w:hAnsi="Arial"/>
                <w:sz w:val="12"/>
                <w:szCs w:val="12"/>
                <w:color w:val="auto"/>
              </w:rPr>
              <w:t>$735,000</w:t>
            </w:r>
          </w:p>
        </w:tc>
        <w:tc>
          <w:tcPr>
            <w:tcW w:w="8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$1,286,250</w:t>
            </w:r>
          </w:p>
        </w:tc>
      </w:tr>
    </w:tbl>
    <w:p>
      <w:pPr>
        <w:spacing w:after="0" w:line="156" w:lineRule="exact"/>
        <w:rPr>
          <w:sz w:val="20"/>
          <w:szCs w:val="20"/>
          <w:color w:val="auto"/>
        </w:rPr>
      </w:pPr>
    </w:p>
    <w:p>
      <w:pPr>
        <w:ind w:left="87" w:hanging="87"/>
        <w:spacing w:after="0"/>
        <w:tabs>
          <w:tab w:leader="none" w:pos="87" w:val="left"/>
        </w:tabs>
        <w:numPr>
          <w:ilvl w:val="0"/>
          <w:numId w:val="147"/>
        </w:numPr>
        <w:rPr>
          <w:rFonts w:ascii="Arial" w:cs="Arial" w:eastAsia="Arial" w:hAnsi="Arial"/>
          <w:sz w:val="8"/>
          <w:szCs w:val="8"/>
          <w:color w:val="auto"/>
        </w:rPr>
      </w:pPr>
      <w:r>
        <w:rPr>
          <w:rFonts w:ascii="Arial" w:cs="Arial" w:eastAsia="Arial" w:hAnsi="Arial"/>
          <w:sz w:val="12"/>
          <w:szCs w:val="12"/>
          <w:color w:val="auto"/>
        </w:rPr>
        <w:t>Payments under the Bonus Plan for performance in the years represented.</w:t>
      </w:r>
    </w:p>
    <w:p>
      <w:pPr>
        <w:spacing w:after="0" w:line="61" w:lineRule="exact"/>
        <w:rPr>
          <w:sz w:val="20"/>
          <w:szCs w:val="20"/>
          <w:color w:val="auto"/>
        </w:rPr>
      </w:pPr>
    </w:p>
    <w:p>
      <w:pPr>
        <w:ind w:left="147" w:hanging="147"/>
        <w:spacing w:after="0" w:line="246" w:lineRule="auto"/>
        <w:tabs>
          <w:tab w:leader="none" w:pos="86" w:val="left"/>
        </w:tabs>
        <w:numPr>
          <w:ilvl w:val="0"/>
          <w:numId w:val="148"/>
        </w:numPr>
        <w:rPr>
          <w:rFonts w:ascii="Arial" w:cs="Arial" w:eastAsia="Arial" w:hAnsi="Arial"/>
          <w:sz w:val="16"/>
          <w:szCs w:val="16"/>
          <w:color w:val="auto"/>
          <w:vertAlign w:val="superscript"/>
        </w:rPr>
      </w:pPr>
      <w:r>
        <w:rPr>
          <w:rFonts w:ascii="Arial" w:cs="Arial" w:eastAsia="Arial" w:hAnsi="Arial"/>
          <w:sz w:val="12"/>
          <w:szCs w:val="12"/>
          <w:color w:val="auto"/>
        </w:rPr>
        <w:t>The amounts in this column reflect the change in pension value for each individual, calculated by an actuary. The changes in pension values in 2022 were driven by changes in actuarial assumptions offset by pay changes and an additional year of credited service. The design of the pension benefit plan did not change. See the Pension Benefits in 2022 table below for information about the standard actuarial assumptions used. No named executive officer received preferential or above-market earnings on deferred compensation.</w:t>
      </w:r>
    </w:p>
    <w:p>
      <w:pPr>
        <w:spacing w:after="0" w:line="365" w:lineRule="exact"/>
        <w:rPr>
          <w:sz w:val="20"/>
          <w:szCs w:val="20"/>
          <w:color w:val="auto"/>
        </w:rPr>
      </w:pPr>
    </w:p>
    <w:p>
      <w:pPr>
        <w:jc w:val="center"/>
        <w:ind w:right="-106"/>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7"/>
          </w:cols>
          <w:pgMar w:left="313" w:top="1003" w:right="419" w:bottom="1440" w:gutter="0" w:footer="0" w:header="0"/>
        </w:sectPr>
      </w:pPr>
    </w:p>
    <w:bookmarkStart w:id="74" w:name="page75"/>
    <w:bookmarkEnd w:id="74"/>
    <w:p>
      <w:pPr>
        <w:ind w:left="147" w:right="120" w:hanging="147"/>
        <w:spacing w:after="0" w:line="252" w:lineRule="auto"/>
        <w:tabs>
          <w:tab w:leader="none" w:pos="86" w:val="left"/>
        </w:tabs>
        <w:numPr>
          <w:ilvl w:val="0"/>
          <w:numId w:val="149"/>
        </w:numPr>
        <w:rPr>
          <w:rFonts w:ascii="Arial" w:cs="Arial" w:eastAsia="Arial" w:hAnsi="Arial"/>
          <w:sz w:val="16"/>
          <w:szCs w:val="16"/>
          <w:color w:val="auto"/>
          <w:vertAlign w:val="superscript"/>
        </w:rPr>
      </w:pPr>
      <w:r>
        <w:rPr>
          <w:rFonts w:ascii="Arial" w:cs="Arial" w:eastAsia="Arial" w:hAnsi="Arial"/>
          <w:sz w:val="12"/>
          <w:szCs w:val="12"/>
          <w:color w:val="auto"/>
        </w:rPr>
        <w:t>The amounts in this column are company matching contributions into each individual’s 401(k) and nonqualified savings plan contributions. For Mr. Ricks, the amount in this column reflects $90,000 of company matching contributions and nonqualified savings plan contributions and $126,885 of aggregate incremental cost for his personal use of the corporate aircraft.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the vast majority of the use of the corporate aircraft is for business purposes, fixed costs such as aircraft purchase costs, maintenance not related to personal trips, and flight crew salaries are not included. The company does not reimburse executives for taxes outside of the limited circumstance of taxes related to a domestic employee relocation or a prior international assignment.</w:t>
      </w:r>
    </w:p>
    <w:p>
      <w:pPr>
        <w:spacing w:after="0" w:line="9" w:lineRule="exact"/>
        <w:rPr>
          <w:sz w:val="20"/>
          <w:szCs w:val="20"/>
          <w:color w:val="auto"/>
        </w:rPr>
      </w:pPr>
    </w:p>
    <w:p>
      <w:pPr>
        <w:ind w:left="87" w:hanging="87"/>
        <w:spacing w:after="0"/>
        <w:tabs>
          <w:tab w:leader="none" w:pos="87" w:val="left"/>
        </w:tabs>
        <w:numPr>
          <w:ilvl w:val="0"/>
          <w:numId w:val="150"/>
        </w:numPr>
        <w:rPr>
          <w:rFonts w:ascii="Arial" w:cs="Arial" w:eastAsia="Arial" w:hAnsi="Arial"/>
          <w:sz w:val="16"/>
          <w:szCs w:val="16"/>
          <w:color w:val="auto"/>
          <w:vertAlign w:val="superscript"/>
        </w:rPr>
      </w:pPr>
      <w:r>
        <w:rPr>
          <w:rFonts w:ascii="Arial" w:cs="Arial" w:eastAsia="Arial" w:hAnsi="Arial"/>
          <w:sz w:val="12"/>
          <w:szCs w:val="12"/>
          <w:color w:val="auto"/>
        </w:rPr>
        <w:t>Ms. Ashkenazi was not a named executive officer in 2020. Mr. Jonsson was not a named executive officer in 2020 or 2021.</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Grants of Plan-Based Awards During 2022</w:t>
      </w:r>
    </w:p>
    <w:p>
      <w:pPr>
        <w:spacing w:after="0" w:line="57" w:lineRule="exact"/>
        <w:rPr>
          <w:sz w:val="20"/>
          <w:szCs w:val="20"/>
          <w:color w:val="auto"/>
        </w:rPr>
      </w:pPr>
    </w:p>
    <w:p>
      <w:pPr>
        <w:ind w:left="7"/>
        <w:spacing w:after="0" w:line="257" w:lineRule="auto"/>
        <w:rPr>
          <w:sz w:val="20"/>
          <w:szCs w:val="20"/>
          <w:color w:val="auto"/>
        </w:rPr>
      </w:pPr>
      <w:r>
        <w:rPr>
          <w:rFonts w:ascii="Arial" w:cs="Arial" w:eastAsia="Arial" w:hAnsi="Arial"/>
          <w:sz w:val="16"/>
          <w:szCs w:val="16"/>
          <w:color w:val="auto"/>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relative value awards, and restricted stock units, among others.</w:t>
      </w:r>
    </w:p>
    <w:p>
      <w:pPr>
        <w:spacing w:after="0" w:line="110" w:lineRule="exact"/>
        <w:rPr>
          <w:sz w:val="20"/>
          <w:szCs w:val="20"/>
          <w:color w:val="auto"/>
        </w:rPr>
      </w:pPr>
    </w:p>
    <w:p>
      <w:pPr>
        <w:ind w:left="7" w:right="40"/>
        <w:spacing w:after="0" w:line="291" w:lineRule="auto"/>
        <w:rPr>
          <w:sz w:val="20"/>
          <w:szCs w:val="20"/>
          <w:color w:val="auto"/>
        </w:rPr>
      </w:pPr>
      <w:r>
        <w:rPr>
          <w:rFonts w:ascii="Arial" w:cs="Arial" w:eastAsia="Arial" w:hAnsi="Arial"/>
          <w:sz w:val="14"/>
          <w:szCs w:val="14"/>
          <w:color w:val="auto"/>
        </w:rPr>
        <w:t>To receive a payout under a performance award, a shareholder value award and a relative value award issued annually to executive officers, the participant must remain employed with the company through the end of the relevant performance period, retire after December 31 of the year in which the award was granted or be subject to termination events outside of the control of the employee (death, plant closing or reduction in workforce). Annual awards granted to executive officers are also generally subject to a one-year non-compete post company exit. The annual awards granted to executive officers provide that if the former executive officer works for a direct competitor within the one-year restriction period, all annual cycle awards granted during the 2022 annual cycle or later would be forfeited. Awards issued to employees who were not executive officers at the time of grant generally did not include the non-compete or vesting into retirement provisions.</w:t>
      </w:r>
    </w:p>
    <w:p>
      <w:pPr>
        <w:spacing w:after="0" w:line="90" w:lineRule="exact"/>
        <w:rPr>
          <w:sz w:val="20"/>
          <w:szCs w:val="20"/>
          <w:color w:val="auto"/>
        </w:rPr>
      </w:pPr>
    </w:p>
    <w:p>
      <w:pPr>
        <w:ind w:left="7" w:right="260"/>
        <w:spacing w:after="0" w:line="271" w:lineRule="auto"/>
        <w:rPr>
          <w:sz w:val="20"/>
          <w:szCs w:val="20"/>
          <w:color w:val="auto"/>
        </w:rPr>
      </w:pPr>
      <w:r>
        <w:rPr>
          <w:rFonts w:ascii="Arial" w:cs="Arial" w:eastAsia="Arial" w:hAnsi="Arial"/>
          <w:sz w:val="16"/>
          <w:szCs w:val="16"/>
          <w:color w:val="auto"/>
        </w:rPr>
        <w:t>No dividends accrue on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spacing w:after="0" w:line="200" w:lineRule="exact"/>
        <w:rPr>
          <w:sz w:val="20"/>
          <w:szCs w:val="20"/>
          <w:color w:val="auto"/>
        </w:rPr>
      </w:pPr>
    </w:p>
    <w:p>
      <w:pPr>
        <w:spacing w:after="0" w:line="25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92" w:right="319" w:bottom="1440" w:gutter="0" w:footer="0" w:header="0"/>
        </w:sectPr>
      </w:pPr>
    </w:p>
    <w:bookmarkStart w:id="75" w:name="page76"/>
    <w:bookmarkEnd w:id="75"/>
    <w:tbl>
      <w:tblPr>
        <w:tblLayout w:type="fixed"/>
        <w:tblInd w:w="7" w:type="dxa"/>
        <w:tblCellMar>
          <w:top w:w="0" w:type="dxa"/>
          <w:left w:w="0" w:type="dxa"/>
          <w:bottom w:w="0" w:type="dxa"/>
          <w:right w:w="0" w:type="dxa"/>
        </w:tblCellMar>
      </w:tblPr>
      <w:tr>
        <w:trPr>
          <w:trHeight w:val="128"/>
        </w:trPr>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Estimated Future Payouts</w:t>
            </w:r>
          </w:p>
        </w:tc>
        <w:tc>
          <w:tcPr>
            <w:tcW w:w="19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Estimated Future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00" w:type="dxa"/>
            <w:vAlign w:val="bottom"/>
            <w:gridSpan w:val="2"/>
            <w:vMerge w:val="restart"/>
          </w:tcPr>
          <w:p>
            <w:pPr>
              <w:jc w:val="center"/>
              <w:ind w:right="506"/>
              <w:spacing w:after="0"/>
              <w:rPr>
                <w:sz w:val="20"/>
                <w:szCs w:val="20"/>
                <w:color w:val="auto"/>
              </w:rPr>
            </w:pPr>
            <w:r>
              <w:rPr>
                <w:rFonts w:ascii="Arial" w:cs="Arial" w:eastAsia="Arial" w:hAnsi="Arial"/>
                <w:sz w:val="11"/>
                <w:szCs w:val="11"/>
                <w:b w:val="1"/>
                <w:bCs w:val="1"/>
                <w:color w:val="auto"/>
              </w:rPr>
              <w:t>Under Non-Equity</w:t>
            </w:r>
          </w:p>
        </w:tc>
        <w:tc>
          <w:tcPr>
            <w:tcW w:w="198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9"/>
              </w:rPr>
              <w:t>Payouts Under Equity</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100" w:type="dxa"/>
            <w:vAlign w:val="bottom"/>
            <w:gridSpan w:val="3"/>
            <w:vMerge w:val="restart"/>
          </w:tcPr>
          <w:p>
            <w:pPr>
              <w:jc w:val="center"/>
              <w:spacing w:after="0" w:line="155" w:lineRule="exact"/>
              <w:rPr>
                <w:sz w:val="20"/>
                <w:szCs w:val="20"/>
                <w:color w:val="auto"/>
              </w:rPr>
            </w:pPr>
            <w:r>
              <w:rPr>
                <w:rFonts w:ascii="Arial" w:cs="Arial" w:eastAsia="Arial" w:hAnsi="Arial"/>
                <w:sz w:val="11"/>
                <w:szCs w:val="11"/>
                <w:b w:val="1"/>
                <w:bCs w:val="1"/>
                <w:color w:val="auto"/>
                <w:w w:val="97"/>
              </w:rPr>
              <w:t xml:space="preserve">Incentive Plan Awards </w:t>
            </w:r>
            <w:r>
              <w:rPr>
                <w:rFonts w:ascii="Arial" w:cs="Arial" w:eastAsia="Arial" w:hAnsi="Arial"/>
                <w:sz w:val="14"/>
                <w:szCs w:val="14"/>
                <w:b w:val="1"/>
                <w:bCs w:val="1"/>
                <w:color w:val="auto"/>
                <w:w w:val="97"/>
                <w:vertAlign w:val="superscript"/>
              </w:rPr>
              <w:t>1</w:t>
            </w:r>
          </w:p>
        </w:tc>
        <w:tc>
          <w:tcPr>
            <w:tcW w:w="198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980" w:type="dxa"/>
            <w:vAlign w:val="bottom"/>
            <w:gridSpan w:val="3"/>
          </w:tcPr>
          <w:p>
            <w:pPr>
              <w:jc w:val="center"/>
              <w:ind w:left="6"/>
              <w:spacing w:after="0"/>
              <w:rPr>
                <w:sz w:val="20"/>
                <w:szCs w:val="20"/>
                <w:color w:val="auto"/>
              </w:rPr>
            </w:pPr>
            <w:r>
              <w:rPr>
                <w:rFonts w:ascii="Arial" w:cs="Arial" w:eastAsia="Arial" w:hAnsi="Arial"/>
                <w:sz w:val="11"/>
                <w:szCs w:val="11"/>
                <w:b w:val="1"/>
                <w:bCs w:val="1"/>
                <w:color w:val="auto"/>
                <w:w w:val="99"/>
              </w:rPr>
              <w:t>Incentive Plan Awards</w:t>
            </w:r>
          </w:p>
        </w:tc>
        <w:tc>
          <w:tcPr>
            <w:tcW w:w="720" w:type="dxa"/>
            <w:vAlign w:val="bottom"/>
          </w:tcPr>
          <w:p>
            <w:pPr>
              <w:jc w:val="center"/>
              <w:ind w:left="26"/>
              <w:spacing w:after="0"/>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6"/>
              </w:rPr>
              <w:t>Compensation</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of Stock and</w:t>
            </w: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Grant Date</w:t>
            </w:r>
            <w:r>
              <w:rPr>
                <w:rFonts w:ascii="Arial" w:cs="Arial" w:eastAsia="Arial" w:hAnsi="Arial"/>
                <w:sz w:val="14"/>
                <w:szCs w:val="14"/>
                <w:b w:val="1"/>
                <w:bCs w:val="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Committee</w:t>
            </w:r>
          </w:p>
        </w:tc>
        <w:tc>
          <w:tcPr>
            <w:tcW w:w="600" w:type="dxa"/>
            <w:vAlign w:val="bottom"/>
          </w:tcPr>
          <w:p>
            <w:pPr>
              <w:jc w:val="center"/>
              <w:ind w:left="6"/>
              <w:spacing w:after="0"/>
              <w:rPr>
                <w:sz w:val="20"/>
                <w:szCs w:val="20"/>
                <w:color w:val="auto"/>
              </w:rPr>
            </w:pPr>
            <w:r>
              <w:rPr>
                <w:rFonts w:ascii="Arial" w:cs="Arial" w:eastAsia="Arial" w:hAnsi="Arial"/>
                <w:sz w:val="11"/>
                <w:szCs w:val="11"/>
                <w:b w:val="1"/>
                <w:bCs w:val="1"/>
                <w:color w:val="auto"/>
              </w:rPr>
              <w:t>Threshold</w:t>
            </w:r>
          </w:p>
        </w:tc>
        <w:tc>
          <w:tcPr>
            <w:tcW w:w="760" w:type="dxa"/>
            <w:vAlign w:val="bottom"/>
          </w:tcPr>
          <w:p>
            <w:pPr>
              <w:jc w:val="center"/>
              <w:ind w:left="46"/>
              <w:spacing w:after="0"/>
              <w:rPr>
                <w:sz w:val="20"/>
                <w:szCs w:val="20"/>
                <w:color w:val="auto"/>
              </w:rPr>
            </w:pPr>
            <w:r>
              <w:rPr>
                <w:rFonts w:ascii="Arial" w:cs="Arial" w:eastAsia="Arial" w:hAnsi="Arial"/>
                <w:sz w:val="11"/>
                <w:szCs w:val="11"/>
                <w:b w:val="1"/>
                <w:bCs w:val="1"/>
                <w:color w:val="auto"/>
              </w:rPr>
              <w:t>Target</w:t>
            </w:r>
          </w:p>
        </w:tc>
        <w:tc>
          <w:tcPr>
            <w:tcW w:w="74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Maximum</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Threshold</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5"/>
              </w:rPr>
              <w:t>Target</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Maximum</w:t>
            </w:r>
          </w:p>
        </w:tc>
        <w:tc>
          <w:tcPr>
            <w:tcW w:w="72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720" w:type="dxa"/>
            <w:vAlign w:val="bottom"/>
          </w:tcPr>
          <w:p>
            <w:pPr>
              <w:ind w:left="160"/>
              <w:spacing w:after="0"/>
              <w:rPr>
                <w:sz w:val="20"/>
                <w:szCs w:val="20"/>
                <w:color w:val="auto"/>
              </w:rPr>
            </w:pPr>
            <w:r>
              <w:rPr>
                <w:rFonts w:ascii="Arial" w:cs="Arial" w:eastAsia="Arial" w:hAnsi="Arial"/>
                <w:sz w:val="11"/>
                <w:szCs w:val="11"/>
                <w:b w:val="1"/>
                <w:bCs w:val="1"/>
                <w:color w:val="auto"/>
              </w:rPr>
              <w:t>Award</w:t>
            </w:r>
          </w:p>
        </w:tc>
        <w:tc>
          <w:tcPr>
            <w:tcW w:w="860" w:type="dxa"/>
            <w:vAlign w:val="bottom"/>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Action Date</w:t>
            </w:r>
          </w:p>
        </w:tc>
        <w:tc>
          <w:tcPr>
            <w:tcW w:w="600" w:type="dxa"/>
            <w:vAlign w:val="bottom"/>
          </w:tcPr>
          <w:p>
            <w:pPr>
              <w:jc w:val="right"/>
              <w:ind w:right="146"/>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 shares)</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9"/>
              </w:rPr>
              <w:t>(# shares)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 shares)</w:t>
            </w:r>
          </w:p>
        </w:tc>
        <w:tc>
          <w:tcPr>
            <w:tcW w:w="72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519430</wp:posOffset>
            </wp:positionV>
            <wp:extent cx="4940300" cy="6667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4940300" cy="6667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-292100</wp:posOffset>
            </wp:positionV>
            <wp:extent cx="7620" cy="762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-277495</wp:posOffset>
            </wp:positionV>
            <wp:extent cx="7620" cy="762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-262255</wp:posOffset>
            </wp:positionV>
            <wp:extent cx="7620" cy="762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-247650</wp:posOffset>
            </wp:positionV>
            <wp:extent cx="7620" cy="762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-232410</wp:posOffset>
            </wp:positionV>
            <wp:extent cx="7620" cy="762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-217805</wp:posOffset>
            </wp:positionV>
            <wp:extent cx="7620" cy="762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-203200</wp:posOffset>
            </wp:positionV>
            <wp:extent cx="7620" cy="762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-187960</wp:posOffset>
            </wp:positionV>
            <wp:extent cx="7620" cy="762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-173355</wp:posOffset>
            </wp:positionV>
            <wp:extent cx="7620" cy="762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-158750</wp:posOffset>
            </wp:positionV>
            <wp:extent cx="7620" cy="76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-143510</wp:posOffset>
            </wp:positionV>
            <wp:extent cx="7620" cy="76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-128905</wp:posOffset>
            </wp:positionV>
            <wp:extent cx="7620" cy="762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-114300</wp:posOffset>
            </wp:positionV>
            <wp:extent cx="7620" cy="762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-99060</wp:posOffset>
            </wp:positionV>
            <wp:extent cx="7620" cy="762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-618490</wp:posOffset>
            </wp:positionV>
            <wp:extent cx="4940300" cy="158750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4940300" cy="158750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204"/>
        </w:trPr>
        <w:tc>
          <w:tcPr>
            <w:tcW w:w="1180" w:type="dxa"/>
            <w:vAlign w:val="bottom"/>
            <w:gridSpan w:val="2"/>
          </w:tcPr>
          <w:p>
            <w:pPr>
              <w:spacing w:after="0"/>
              <w:rPr>
                <w:sz w:val="20"/>
                <w:szCs w:val="20"/>
                <w:color w:val="auto"/>
              </w:rPr>
            </w:pPr>
            <w:r>
              <w:rPr>
                <w:rFonts w:ascii="Arial" w:cs="Arial" w:eastAsia="Arial" w:hAnsi="Arial"/>
                <w:sz w:val="12"/>
                <w:szCs w:val="12"/>
                <w:color w:val="auto"/>
              </w:rPr>
              <w:t>Mr. Ricks</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3</w:t>
            </w:r>
          </w:p>
        </w:tc>
        <w:tc>
          <w:tcPr>
            <w:tcW w:w="760" w:type="dxa"/>
            <w:vAlign w:val="bottom"/>
          </w:tcPr>
          <w:p>
            <w:pPr>
              <w:jc w:val="center"/>
              <w:ind w:right="3"/>
              <w:spacing w:after="0"/>
              <w:rPr>
                <w:sz w:val="20"/>
                <w:szCs w:val="20"/>
                <w:color w:val="auto"/>
              </w:rPr>
            </w:pPr>
            <w:r>
              <w:rPr>
                <w:rFonts w:ascii="Arial" w:cs="Arial" w:eastAsia="Arial" w:hAnsi="Arial"/>
                <w:sz w:val="8"/>
                <w:szCs w:val="8"/>
                <w:color w:val="auto"/>
              </w:rPr>
              <w:t>__</w:t>
            </w:r>
          </w:p>
        </w:tc>
        <w:tc>
          <w:tcPr>
            <w:tcW w:w="880" w:type="dxa"/>
            <w:vAlign w:val="bottom"/>
          </w:tcPr>
          <w:p>
            <w:pPr>
              <w:jc w:val="right"/>
              <w:ind w:right="403"/>
              <w:spacing w:after="0"/>
              <w:rPr>
                <w:sz w:val="20"/>
                <w:szCs w:val="20"/>
                <w:color w:val="auto"/>
              </w:rPr>
            </w:pPr>
            <w:r>
              <w:rPr>
                <w:rFonts w:ascii="Arial" w:cs="Arial" w:eastAsia="Arial" w:hAnsi="Arial"/>
                <w:sz w:val="8"/>
                <w:szCs w:val="8"/>
                <w:color w:val="auto"/>
              </w:rPr>
              <w:t>__</w:t>
            </w:r>
          </w:p>
        </w:tc>
        <w:tc>
          <w:tcPr>
            <w:tcW w:w="640" w:type="dxa"/>
            <w:vAlign w:val="bottom"/>
          </w:tcPr>
          <w:p>
            <w:pPr>
              <w:jc w:val="right"/>
              <w:spacing w:after="0"/>
              <w:rPr>
                <w:sz w:val="20"/>
                <w:szCs w:val="20"/>
                <w:color w:val="auto"/>
              </w:rPr>
            </w:pPr>
            <w:r>
              <w:rPr>
                <w:rFonts w:ascii="Arial" w:cs="Arial" w:eastAsia="Arial" w:hAnsi="Arial"/>
                <w:sz w:val="12"/>
                <w:szCs w:val="12"/>
                <w:color w:val="auto"/>
              </w:rPr>
              <w:t>$562,500</w:t>
            </w:r>
          </w:p>
        </w:tc>
        <w:tc>
          <w:tcPr>
            <w:tcW w:w="740" w:type="dxa"/>
            <w:vAlign w:val="bottom"/>
          </w:tcPr>
          <w:p>
            <w:pPr>
              <w:jc w:val="right"/>
              <w:spacing w:after="0"/>
              <w:rPr>
                <w:sz w:val="20"/>
                <w:szCs w:val="20"/>
                <w:color w:val="auto"/>
              </w:rPr>
            </w:pPr>
            <w:r>
              <w:rPr>
                <w:rFonts w:ascii="Arial" w:cs="Arial" w:eastAsia="Arial" w:hAnsi="Arial"/>
                <w:sz w:val="12"/>
                <w:szCs w:val="12"/>
                <w:color w:val="auto"/>
              </w:rPr>
              <w:t>$2,250,000</w:t>
            </w:r>
          </w:p>
        </w:tc>
        <w:tc>
          <w:tcPr>
            <w:tcW w:w="1400" w:type="dxa"/>
            <w:vAlign w:val="bottom"/>
          </w:tcPr>
          <w:p>
            <w:pPr>
              <w:jc w:val="right"/>
              <w:ind w:right="658"/>
              <w:spacing w:after="0"/>
              <w:rPr>
                <w:sz w:val="20"/>
                <w:szCs w:val="20"/>
                <w:color w:val="auto"/>
              </w:rPr>
            </w:pPr>
            <w:r>
              <w:rPr>
                <w:rFonts w:ascii="Arial" w:cs="Arial" w:eastAsia="Arial" w:hAnsi="Arial"/>
                <w:sz w:val="12"/>
                <w:szCs w:val="12"/>
                <w:color w:val="auto"/>
              </w:rPr>
              <w:t>$4,500,000</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0" w:type="dxa"/>
            <w:vAlign w:val="bottom"/>
            <w:shd w:val="clear" w:color="auto" w:fill="F2F2F2"/>
          </w:tcPr>
          <w:p>
            <w:pPr>
              <w:spacing w:after="0"/>
              <w:rPr>
                <w:sz w:val="7"/>
                <w:szCs w:val="7"/>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 w:type="dxa"/>
            <w:vAlign w:val="bottom"/>
            <w:shd w:val="clear" w:color="auto" w:fill="F2F2F2"/>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PA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4</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10,376</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20,751</w:t>
            </w:r>
          </w:p>
        </w:tc>
        <w:tc>
          <w:tcPr>
            <w:tcW w:w="600" w:type="dxa"/>
            <w:vAlign w:val="bottom"/>
          </w:tcPr>
          <w:p>
            <w:pPr>
              <w:jc w:val="right"/>
              <w:spacing w:after="0"/>
              <w:rPr>
                <w:sz w:val="20"/>
                <w:szCs w:val="20"/>
                <w:color w:val="auto"/>
              </w:rPr>
            </w:pPr>
            <w:r>
              <w:rPr>
                <w:rFonts w:ascii="Arial" w:cs="Arial" w:eastAsia="Arial" w:hAnsi="Arial"/>
                <w:sz w:val="12"/>
                <w:szCs w:val="12"/>
                <w:color w:val="auto"/>
              </w:rPr>
              <w:t>36,314</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$5,606,250</w:t>
            </w:r>
          </w:p>
        </w:tc>
        <w:tc>
          <w:tcPr>
            <w:tcW w:w="0" w:type="dxa"/>
            <w:vAlign w:val="bottom"/>
          </w:tcPr>
          <w:p>
            <w:pPr>
              <w:spacing w:after="0"/>
              <w:rPr>
                <w:sz w:val="1"/>
                <w:szCs w:val="1"/>
                <w:color w:val="auto"/>
              </w:rPr>
            </w:pPr>
          </w:p>
        </w:tc>
      </w:tr>
      <w:tr>
        <w:trPr>
          <w:trHeight w:val="82"/>
        </w:trPr>
        <w:tc>
          <w:tcPr>
            <w:tcW w:w="400" w:type="dxa"/>
            <w:vAlign w:val="bottom"/>
            <w:shd w:val="clear" w:color="auto" w:fill="F2F2F2"/>
          </w:tcPr>
          <w:p>
            <w:pPr>
              <w:spacing w:after="0"/>
              <w:rPr>
                <w:sz w:val="7"/>
                <w:szCs w:val="7"/>
                <w:color w:val="auto"/>
              </w:rPr>
            </w:pPr>
          </w:p>
        </w:tc>
        <w:tc>
          <w:tcPr>
            <w:tcW w:w="780" w:type="dxa"/>
            <w:vAlign w:val="bottom"/>
            <w:vMerge w:val="restart"/>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0" w:type="dxa"/>
            <w:vAlign w:val="bottom"/>
            <w:shd w:val="clear" w:color="auto" w:fill="F2F2F2"/>
          </w:tcPr>
          <w:p>
            <w:pPr>
              <w:spacing w:after="0"/>
              <w:rPr>
                <w:sz w:val="14"/>
                <w:szCs w:val="14"/>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SVA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5</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16,186</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32,372</w:t>
            </w:r>
          </w:p>
        </w:tc>
        <w:tc>
          <w:tcPr>
            <w:tcW w:w="600" w:type="dxa"/>
            <w:vAlign w:val="bottom"/>
          </w:tcPr>
          <w:p>
            <w:pPr>
              <w:jc w:val="right"/>
              <w:spacing w:after="0"/>
              <w:rPr>
                <w:sz w:val="20"/>
                <w:szCs w:val="20"/>
                <w:color w:val="auto"/>
              </w:rPr>
            </w:pPr>
            <w:r>
              <w:rPr>
                <w:rFonts w:ascii="Arial" w:cs="Arial" w:eastAsia="Arial" w:hAnsi="Arial"/>
                <w:sz w:val="12"/>
                <w:szCs w:val="12"/>
                <w:color w:val="auto"/>
              </w:rPr>
              <w:t>56,651</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$5,687,500</w:t>
            </w:r>
          </w:p>
        </w:tc>
        <w:tc>
          <w:tcPr>
            <w:tcW w:w="0" w:type="dxa"/>
            <w:vAlign w:val="bottom"/>
          </w:tcPr>
          <w:p>
            <w:pPr>
              <w:spacing w:after="0"/>
              <w:rPr>
                <w:sz w:val="1"/>
                <w:szCs w:val="1"/>
                <w:color w:val="auto"/>
              </w:rPr>
            </w:pPr>
          </w:p>
        </w:tc>
      </w:tr>
      <w:tr>
        <w:trPr>
          <w:trHeight w:val="91"/>
        </w:trPr>
        <w:tc>
          <w:tcPr>
            <w:tcW w:w="400" w:type="dxa"/>
            <w:vAlign w:val="bottom"/>
            <w:shd w:val="clear" w:color="auto" w:fill="F2F2F2"/>
          </w:tcPr>
          <w:p>
            <w:pPr>
              <w:spacing w:after="0"/>
              <w:rPr>
                <w:sz w:val="7"/>
                <w:szCs w:val="7"/>
                <w:color w:val="auto"/>
              </w:rPr>
            </w:pPr>
          </w:p>
        </w:tc>
        <w:tc>
          <w:tcPr>
            <w:tcW w:w="780" w:type="dxa"/>
            <w:vAlign w:val="bottom"/>
            <w:vMerge w:val="restart"/>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 w:type="dxa"/>
            <w:vAlign w:val="bottom"/>
            <w:shd w:val="clear" w:color="auto" w:fill="F2F2F2"/>
          </w:tcPr>
          <w:p>
            <w:pPr>
              <w:spacing w:after="0"/>
              <w:rPr>
                <w:sz w:val="15"/>
                <w:szCs w:val="15"/>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RVA</w:t>
            </w:r>
          </w:p>
        </w:tc>
        <w:tc>
          <w:tcPr>
            <w:tcW w:w="160" w:type="dxa"/>
            <w:vAlign w:val="bottom"/>
          </w:tcPr>
          <w:p>
            <w:pPr>
              <w:spacing w:after="0"/>
              <w:rPr>
                <w:sz w:val="15"/>
                <w:szCs w:val="15"/>
                <w:color w:val="auto"/>
              </w:rPr>
            </w:pP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12,364</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24,728</w:t>
            </w:r>
          </w:p>
        </w:tc>
        <w:tc>
          <w:tcPr>
            <w:tcW w:w="600" w:type="dxa"/>
            <w:vAlign w:val="bottom"/>
          </w:tcPr>
          <w:p>
            <w:pPr>
              <w:jc w:val="right"/>
              <w:spacing w:after="0"/>
              <w:rPr>
                <w:sz w:val="20"/>
                <w:szCs w:val="20"/>
                <w:color w:val="auto"/>
              </w:rPr>
            </w:pPr>
            <w:r>
              <w:rPr>
                <w:rFonts w:ascii="Arial" w:cs="Arial" w:eastAsia="Arial" w:hAnsi="Arial"/>
                <w:sz w:val="12"/>
                <w:szCs w:val="12"/>
                <w:color w:val="auto"/>
              </w:rPr>
              <w:t>43,274</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$5,687,500</w:t>
            </w:r>
          </w:p>
        </w:tc>
        <w:tc>
          <w:tcPr>
            <w:tcW w:w="0" w:type="dxa"/>
            <w:vAlign w:val="bottom"/>
          </w:tcPr>
          <w:p>
            <w:pPr>
              <w:spacing w:after="0"/>
              <w:rPr>
                <w:sz w:val="1"/>
                <w:szCs w:val="1"/>
                <w:color w:val="auto"/>
              </w:rPr>
            </w:pPr>
          </w:p>
        </w:tc>
      </w:tr>
      <w:tr>
        <w:trPr>
          <w:trHeight w:val="231"/>
        </w:trPr>
        <w:tc>
          <w:tcPr>
            <w:tcW w:w="40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740" w:type="dxa"/>
            <w:vAlign w:val="bottom"/>
            <w:shd w:val="clear" w:color="auto" w:fill="F2F2F2"/>
          </w:tcPr>
          <w:p>
            <w:pPr>
              <w:spacing w:after="0"/>
              <w:rPr>
                <w:sz w:val="20"/>
                <w:szCs w:val="20"/>
                <w:color w:val="auto"/>
              </w:rPr>
            </w:pPr>
          </w:p>
        </w:tc>
        <w:tc>
          <w:tcPr>
            <w:tcW w:w="14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60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2"/>
                <w:szCs w:val="12"/>
                <w:color w:val="auto"/>
              </w:rPr>
              <w:t>Ms. Ashkenazi</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3</w:t>
            </w:r>
          </w:p>
        </w:tc>
        <w:tc>
          <w:tcPr>
            <w:tcW w:w="760" w:type="dxa"/>
            <w:vAlign w:val="bottom"/>
          </w:tcPr>
          <w:p>
            <w:pPr>
              <w:jc w:val="center"/>
              <w:ind w:right="3"/>
              <w:spacing w:after="0"/>
              <w:rPr>
                <w:sz w:val="20"/>
                <w:szCs w:val="20"/>
                <w:color w:val="auto"/>
              </w:rPr>
            </w:pPr>
            <w:r>
              <w:rPr>
                <w:rFonts w:ascii="Arial" w:cs="Arial" w:eastAsia="Arial" w:hAnsi="Arial"/>
                <w:sz w:val="8"/>
                <w:szCs w:val="8"/>
                <w:color w:val="auto"/>
              </w:rPr>
              <w:t>__</w:t>
            </w:r>
          </w:p>
        </w:tc>
        <w:tc>
          <w:tcPr>
            <w:tcW w:w="880" w:type="dxa"/>
            <w:vAlign w:val="bottom"/>
          </w:tcPr>
          <w:p>
            <w:pPr>
              <w:jc w:val="right"/>
              <w:ind w:right="403"/>
              <w:spacing w:after="0"/>
              <w:rPr>
                <w:sz w:val="20"/>
                <w:szCs w:val="20"/>
                <w:color w:val="auto"/>
              </w:rPr>
            </w:pPr>
            <w:r>
              <w:rPr>
                <w:rFonts w:ascii="Arial" w:cs="Arial" w:eastAsia="Arial" w:hAnsi="Arial"/>
                <w:sz w:val="8"/>
                <w:szCs w:val="8"/>
                <w:color w:val="auto"/>
              </w:rPr>
              <w:t>__</w:t>
            </w:r>
          </w:p>
        </w:tc>
        <w:tc>
          <w:tcPr>
            <w:tcW w:w="640" w:type="dxa"/>
            <w:vAlign w:val="bottom"/>
          </w:tcPr>
          <w:p>
            <w:pPr>
              <w:jc w:val="right"/>
              <w:spacing w:after="0"/>
              <w:rPr>
                <w:sz w:val="20"/>
                <w:szCs w:val="20"/>
                <w:color w:val="auto"/>
              </w:rPr>
            </w:pPr>
            <w:r>
              <w:rPr>
                <w:rFonts w:ascii="Arial" w:cs="Arial" w:eastAsia="Arial" w:hAnsi="Arial"/>
                <w:sz w:val="12"/>
                <w:szCs w:val="12"/>
                <w:color w:val="auto"/>
              </w:rPr>
              <w:t>$235,096</w:t>
            </w:r>
          </w:p>
        </w:tc>
        <w:tc>
          <w:tcPr>
            <w:tcW w:w="740" w:type="dxa"/>
            <w:vAlign w:val="bottom"/>
          </w:tcPr>
          <w:p>
            <w:pPr>
              <w:jc w:val="right"/>
              <w:spacing w:after="0"/>
              <w:rPr>
                <w:sz w:val="20"/>
                <w:szCs w:val="20"/>
                <w:color w:val="auto"/>
              </w:rPr>
            </w:pPr>
            <w:r>
              <w:rPr>
                <w:rFonts w:ascii="Arial" w:cs="Arial" w:eastAsia="Arial" w:hAnsi="Arial"/>
                <w:sz w:val="12"/>
                <w:szCs w:val="12"/>
                <w:color w:val="auto"/>
              </w:rPr>
              <w:t>$940,385</w:t>
            </w:r>
          </w:p>
        </w:tc>
        <w:tc>
          <w:tcPr>
            <w:tcW w:w="1400" w:type="dxa"/>
            <w:vAlign w:val="bottom"/>
          </w:tcPr>
          <w:p>
            <w:pPr>
              <w:jc w:val="right"/>
              <w:ind w:right="658"/>
              <w:spacing w:after="0"/>
              <w:rPr>
                <w:sz w:val="20"/>
                <w:szCs w:val="20"/>
                <w:color w:val="auto"/>
              </w:rPr>
            </w:pPr>
            <w:r>
              <w:rPr>
                <w:rFonts w:ascii="Arial" w:cs="Arial" w:eastAsia="Arial" w:hAnsi="Arial"/>
                <w:sz w:val="12"/>
                <w:szCs w:val="12"/>
                <w:color w:val="auto"/>
              </w:rPr>
              <w:t>$1,880,769</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80" w:type="dxa"/>
            <w:vAlign w:val="bottom"/>
            <w:gridSpan w:val="2"/>
            <w:vMerge w:val="restart"/>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PA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4</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1,916</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3,831</w:t>
            </w:r>
          </w:p>
        </w:tc>
        <w:tc>
          <w:tcPr>
            <w:tcW w:w="600" w:type="dxa"/>
            <w:vAlign w:val="bottom"/>
          </w:tcPr>
          <w:p>
            <w:pPr>
              <w:jc w:val="right"/>
              <w:spacing w:after="0"/>
              <w:rPr>
                <w:sz w:val="20"/>
                <w:szCs w:val="20"/>
                <w:color w:val="auto"/>
              </w:rPr>
            </w:pPr>
            <w:r>
              <w:rPr>
                <w:rFonts w:ascii="Arial" w:cs="Arial" w:eastAsia="Arial" w:hAnsi="Arial"/>
                <w:sz w:val="12"/>
                <w:szCs w:val="12"/>
                <w:color w:val="auto"/>
              </w:rPr>
              <w:t>6,704</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$1,035,000</w:t>
            </w:r>
          </w:p>
        </w:tc>
        <w:tc>
          <w:tcPr>
            <w:tcW w:w="0" w:type="dxa"/>
            <w:vAlign w:val="bottom"/>
          </w:tcPr>
          <w:p>
            <w:pPr>
              <w:spacing w:after="0"/>
              <w:rPr>
                <w:sz w:val="1"/>
                <w:szCs w:val="1"/>
                <w:color w:val="auto"/>
              </w:rPr>
            </w:pPr>
          </w:p>
        </w:tc>
      </w:tr>
      <w:tr>
        <w:trPr>
          <w:trHeight w:val="91"/>
        </w:trPr>
        <w:tc>
          <w:tcPr>
            <w:tcW w:w="1180" w:type="dxa"/>
            <w:vAlign w:val="bottom"/>
            <w:gridSpan w:val="2"/>
            <w:vMerge w:val="restart"/>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SVA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5</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2,988</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5,976</w:t>
            </w:r>
          </w:p>
        </w:tc>
        <w:tc>
          <w:tcPr>
            <w:tcW w:w="600" w:type="dxa"/>
            <w:vAlign w:val="bottom"/>
          </w:tcPr>
          <w:p>
            <w:pPr>
              <w:jc w:val="right"/>
              <w:spacing w:after="0"/>
              <w:rPr>
                <w:sz w:val="20"/>
                <w:szCs w:val="20"/>
                <w:color w:val="auto"/>
              </w:rPr>
            </w:pPr>
            <w:r>
              <w:rPr>
                <w:rFonts w:ascii="Arial" w:cs="Arial" w:eastAsia="Arial" w:hAnsi="Arial"/>
                <w:sz w:val="12"/>
                <w:szCs w:val="12"/>
                <w:color w:val="auto"/>
              </w:rPr>
              <w:t>10,458</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$1,050,000</w:t>
            </w:r>
          </w:p>
        </w:tc>
        <w:tc>
          <w:tcPr>
            <w:tcW w:w="0" w:type="dxa"/>
            <w:vAlign w:val="bottom"/>
          </w:tcPr>
          <w:p>
            <w:pPr>
              <w:spacing w:after="0"/>
              <w:rPr>
                <w:sz w:val="1"/>
                <w:szCs w:val="1"/>
                <w:color w:val="auto"/>
              </w:rPr>
            </w:pPr>
          </w:p>
        </w:tc>
      </w:tr>
      <w:tr>
        <w:trPr>
          <w:trHeight w:val="91"/>
        </w:trPr>
        <w:tc>
          <w:tcPr>
            <w:tcW w:w="1180" w:type="dxa"/>
            <w:vAlign w:val="bottom"/>
            <w:gridSpan w:val="2"/>
            <w:vMerge w:val="restart"/>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RVA</w:t>
            </w:r>
          </w:p>
        </w:tc>
        <w:tc>
          <w:tcPr>
            <w:tcW w:w="160" w:type="dxa"/>
            <w:vAlign w:val="bottom"/>
          </w:tcPr>
          <w:p>
            <w:pPr>
              <w:spacing w:after="0"/>
              <w:rPr>
                <w:sz w:val="14"/>
                <w:szCs w:val="14"/>
                <w:color w:val="auto"/>
              </w:rPr>
            </w:pP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2,283</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4,565</w:t>
            </w:r>
          </w:p>
        </w:tc>
        <w:tc>
          <w:tcPr>
            <w:tcW w:w="600" w:type="dxa"/>
            <w:vAlign w:val="bottom"/>
          </w:tcPr>
          <w:p>
            <w:pPr>
              <w:jc w:val="right"/>
              <w:spacing w:after="0"/>
              <w:rPr>
                <w:sz w:val="20"/>
                <w:szCs w:val="20"/>
                <w:color w:val="auto"/>
              </w:rPr>
            </w:pPr>
            <w:r>
              <w:rPr>
                <w:rFonts w:ascii="Arial" w:cs="Arial" w:eastAsia="Arial" w:hAnsi="Arial"/>
                <w:sz w:val="12"/>
                <w:szCs w:val="12"/>
                <w:color w:val="auto"/>
              </w:rPr>
              <w:t>7,989</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$1,050,000</w:t>
            </w:r>
          </w:p>
        </w:tc>
        <w:tc>
          <w:tcPr>
            <w:tcW w:w="0" w:type="dxa"/>
            <w:vAlign w:val="bottom"/>
          </w:tcPr>
          <w:p>
            <w:pPr>
              <w:spacing w:after="0"/>
              <w:rPr>
                <w:sz w:val="1"/>
                <w:szCs w:val="1"/>
                <w:color w:val="auto"/>
              </w:rPr>
            </w:pPr>
          </w:p>
        </w:tc>
      </w:tr>
      <w:tr>
        <w:trPr>
          <w:trHeight w:val="444"/>
        </w:trPr>
        <w:tc>
          <w:tcPr>
            <w:tcW w:w="1180" w:type="dxa"/>
            <w:vAlign w:val="bottom"/>
            <w:gridSpan w:val="2"/>
          </w:tcPr>
          <w:p>
            <w:pPr>
              <w:spacing w:after="0"/>
              <w:rPr>
                <w:sz w:val="20"/>
                <w:szCs w:val="20"/>
                <w:color w:val="auto"/>
              </w:rPr>
            </w:pPr>
            <w:r>
              <w:rPr>
                <w:rFonts w:ascii="Arial" w:cs="Arial" w:eastAsia="Arial" w:hAnsi="Arial"/>
                <w:sz w:val="12"/>
                <w:szCs w:val="12"/>
                <w:color w:val="auto"/>
              </w:rPr>
              <w:t>Dr. Skovronsky</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3</w:t>
            </w:r>
          </w:p>
        </w:tc>
        <w:tc>
          <w:tcPr>
            <w:tcW w:w="760" w:type="dxa"/>
            <w:vAlign w:val="bottom"/>
          </w:tcPr>
          <w:p>
            <w:pPr>
              <w:jc w:val="center"/>
              <w:ind w:right="3"/>
              <w:spacing w:after="0"/>
              <w:rPr>
                <w:sz w:val="20"/>
                <w:szCs w:val="20"/>
                <w:color w:val="auto"/>
              </w:rPr>
            </w:pPr>
            <w:r>
              <w:rPr>
                <w:rFonts w:ascii="Arial" w:cs="Arial" w:eastAsia="Arial" w:hAnsi="Arial"/>
                <w:sz w:val="8"/>
                <w:szCs w:val="8"/>
                <w:color w:val="auto"/>
              </w:rPr>
              <w:t>__</w:t>
            </w:r>
          </w:p>
        </w:tc>
        <w:tc>
          <w:tcPr>
            <w:tcW w:w="880" w:type="dxa"/>
            <w:vAlign w:val="bottom"/>
          </w:tcPr>
          <w:p>
            <w:pPr>
              <w:jc w:val="right"/>
              <w:ind w:right="403"/>
              <w:spacing w:after="0"/>
              <w:rPr>
                <w:sz w:val="20"/>
                <w:szCs w:val="20"/>
                <w:color w:val="auto"/>
              </w:rPr>
            </w:pPr>
            <w:r>
              <w:rPr>
                <w:rFonts w:ascii="Arial" w:cs="Arial" w:eastAsia="Arial" w:hAnsi="Arial"/>
                <w:sz w:val="8"/>
                <w:szCs w:val="8"/>
                <w:color w:val="auto"/>
              </w:rPr>
              <w:t>__</w:t>
            </w:r>
          </w:p>
        </w:tc>
        <w:tc>
          <w:tcPr>
            <w:tcW w:w="640" w:type="dxa"/>
            <w:vAlign w:val="bottom"/>
          </w:tcPr>
          <w:p>
            <w:pPr>
              <w:jc w:val="right"/>
              <w:spacing w:after="0"/>
              <w:rPr>
                <w:sz w:val="20"/>
                <w:szCs w:val="20"/>
                <w:color w:val="auto"/>
              </w:rPr>
            </w:pPr>
            <w:r>
              <w:rPr>
                <w:rFonts w:ascii="Arial" w:cs="Arial" w:eastAsia="Arial" w:hAnsi="Arial"/>
                <w:sz w:val="12"/>
                <w:szCs w:val="12"/>
                <w:color w:val="auto"/>
              </w:rPr>
              <w:t>$300,481</w:t>
            </w:r>
          </w:p>
        </w:tc>
        <w:tc>
          <w:tcPr>
            <w:tcW w:w="740" w:type="dxa"/>
            <w:vAlign w:val="bottom"/>
          </w:tcPr>
          <w:p>
            <w:pPr>
              <w:jc w:val="right"/>
              <w:spacing w:after="0"/>
              <w:rPr>
                <w:sz w:val="20"/>
                <w:szCs w:val="20"/>
                <w:color w:val="auto"/>
              </w:rPr>
            </w:pPr>
            <w:r>
              <w:rPr>
                <w:rFonts w:ascii="Arial" w:cs="Arial" w:eastAsia="Arial" w:hAnsi="Arial"/>
                <w:sz w:val="12"/>
                <w:szCs w:val="12"/>
                <w:color w:val="auto"/>
              </w:rPr>
              <w:t>$1,201,923</w:t>
            </w:r>
          </w:p>
        </w:tc>
        <w:tc>
          <w:tcPr>
            <w:tcW w:w="1400" w:type="dxa"/>
            <w:vAlign w:val="bottom"/>
          </w:tcPr>
          <w:p>
            <w:pPr>
              <w:jc w:val="right"/>
              <w:ind w:right="658"/>
              <w:spacing w:after="0"/>
              <w:rPr>
                <w:sz w:val="20"/>
                <w:szCs w:val="20"/>
                <w:color w:val="auto"/>
              </w:rPr>
            </w:pPr>
            <w:r>
              <w:rPr>
                <w:rFonts w:ascii="Arial" w:cs="Arial" w:eastAsia="Arial" w:hAnsi="Arial"/>
                <w:sz w:val="12"/>
                <w:szCs w:val="12"/>
                <w:color w:val="auto"/>
              </w:rPr>
              <w:t>$2,403,846</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0" w:type="dxa"/>
            <w:vAlign w:val="bottom"/>
            <w:shd w:val="clear" w:color="auto" w:fill="F2F2F2"/>
          </w:tcPr>
          <w:p>
            <w:pPr>
              <w:spacing w:after="0"/>
              <w:rPr>
                <w:sz w:val="7"/>
                <w:szCs w:val="7"/>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 w:type="dxa"/>
            <w:vAlign w:val="bottom"/>
            <w:shd w:val="clear" w:color="auto" w:fill="F2F2F2"/>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PA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4</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3,512</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7,023</w:t>
            </w:r>
          </w:p>
        </w:tc>
        <w:tc>
          <w:tcPr>
            <w:tcW w:w="600" w:type="dxa"/>
            <w:vAlign w:val="bottom"/>
          </w:tcPr>
          <w:p>
            <w:pPr>
              <w:jc w:val="right"/>
              <w:spacing w:after="0"/>
              <w:rPr>
                <w:sz w:val="20"/>
                <w:szCs w:val="20"/>
                <w:color w:val="auto"/>
              </w:rPr>
            </w:pPr>
            <w:r>
              <w:rPr>
                <w:rFonts w:ascii="Arial" w:cs="Arial" w:eastAsia="Arial" w:hAnsi="Arial"/>
                <w:sz w:val="12"/>
                <w:szCs w:val="12"/>
                <w:color w:val="auto"/>
              </w:rPr>
              <w:t>12,290</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$1,897,500</w:t>
            </w:r>
          </w:p>
        </w:tc>
        <w:tc>
          <w:tcPr>
            <w:tcW w:w="0" w:type="dxa"/>
            <w:vAlign w:val="bottom"/>
          </w:tcPr>
          <w:p>
            <w:pPr>
              <w:spacing w:after="0"/>
              <w:rPr>
                <w:sz w:val="1"/>
                <w:szCs w:val="1"/>
                <w:color w:val="auto"/>
              </w:rPr>
            </w:pPr>
          </w:p>
        </w:tc>
      </w:tr>
      <w:tr>
        <w:trPr>
          <w:trHeight w:val="82"/>
        </w:trPr>
        <w:tc>
          <w:tcPr>
            <w:tcW w:w="400" w:type="dxa"/>
            <w:vAlign w:val="bottom"/>
            <w:shd w:val="clear" w:color="auto" w:fill="F2F2F2"/>
          </w:tcPr>
          <w:p>
            <w:pPr>
              <w:spacing w:after="0"/>
              <w:rPr>
                <w:sz w:val="7"/>
                <w:szCs w:val="7"/>
                <w:color w:val="auto"/>
              </w:rPr>
            </w:pPr>
          </w:p>
        </w:tc>
        <w:tc>
          <w:tcPr>
            <w:tcW w:w="780" w:type="dxa"/>
            <w:vAlign w:val="bottom"/>
            <w:vMerge w:val="restart"/>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0" w:type="dxa"/>
            <w:vAlign w:val="bottom"/>
            <w:shd w:val="clear" w:color="auto" w:fill="F2F2F2"/>
          </w:tcPr>
          <w:p>
            <w:pPr>
              <w:spacing w:after="0"/>
              <w:rPr>
                <w:sz w:val="14"/>
                <w:szCs w:val="14"/>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SVA</w:t>
            </w:r>
          </w:p>
        </w:tc>
        <w:tc>
          <w:tcPr>
            <w:tcW w:w="160" w:type="dxa"/>
            <w:vAlign w:val="bottom"/>
            <w:vMerge w:val="restart"/>
          </w:tcPr>
          <w:p>
            <w:pPr>
              <w:jc w:val="right"/>
              <w:ind w:right="60"/>
              <w:spacing w:after="0"/>
              <w:rPr>
                <w:sz w:val="20"/>
                <w:szCs w:val="20"/>
                <w:color w:val="auto"/>
              </w:rPr>
            </w:pPr>
            <w:r>
              <w:rPr>
                <w:rFonts w:ascii="Arial" w:cs="Arial" w:eastAsia="Arial" w:hAnsi="Arial"/>
                <w:sz w:val="8"/>
                <w:szCs w:val="8"/>
                <w:color w:val="auto"/>
                <w:w w:val="88"/>
              </w:rPr>
              <w:t>5</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5,479</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10,957</w:t>
            </w:r>
          </w:p>
        </w:tc>
        <w:tc>
          <w:tcPr>
            <w:tcW w:w="600" w:type="dxa"/>
            <w:vAlign w:val="bottom"/>
          </w:tcPr>
          <w:p>
            <w:pPr>
              <w:jc w:val="right"/>
              <w:spacing w:after="0"/>
              <w:rPr>
                <w:sz w:val="20"/>
                <w:szCs w:val="20"/>
                <w:color w:val="auto"/>
              </w:rPr>
            </w:pPr>
            <w:r>
              <w:rPr>
                <w:rFonts w:ascii="Arial" w:cs="Arial" w:eastAsia="Arial" w:hAnsi="Arial"/>
                <w:sz w:val="12"/>
                <w:szCs w:val="12"/>
                <w:color w:val="auto"/>
              </w:rPr>
              <w:t>19,175</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$1,925,000</w:t>
            </w:r>
          </w:p>
        </w:tc>
        <w:tc>
          <w:tcPr>
            <w:tcW w:w="0" w:type="dxa"/>
            <w:vAlign w:val="bottom"/>
          </w:tcPr>
          <w:p>
            <w:pPr>
              <w:spacing w:after="0"/>
              <w:rPr>
                <w:sz w:val="1"/>
                <w:szCs w:val="1"/>
                <w:color w:val="auto"/>
              </w:rPr>
            </w:pPr>
          </w:p>
        </w:tc>
      </w:tr>
      <w:tr>
        <w:trPr>
          <w:trHeight w:val="91"/>
        </w:trPr>
        <w:tc>
          <w:tcPr>
            <w:tcW w:w="400" w:type="dxa"/>
            <w:vAlign w:val="bottom"/>
            <w:shd w:val="clear" w:color="auto" w:fill="F2F2F2"/>
          </w:tcPr>
          <w:p>
            <w:pPr>
              <w:spacing w:after="0"/>
              <w:rPr>
                <w:sz w:val="7"/>
                <w:szCs w:val="7"/>
                <w:color w:val="auto"/>
              </w:rPr>
            </w:pPr>
          </w:p>
        </w:tc>
        <w:tc>
          <w:tcPr>
            <w:tcW w:w="780" w:type="dxa"/>
            <w:vAlign w:val="bottom"/>
            <w:vMerge w:val="restart"/>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 w:type="dxa"/>
            <w:vAlign w:val="bottom"/>
            <w:shd w:val="clear" w:color="auto" w:fill="F2F2F2"/>
          </w:tcPr>
          <w:p>
            <w:pPr>
              <w:spacing w:after="0"/>
              <w:rPr>
                <w:sz w:val="15"/>
                <w:szCs w:val="15"/>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RVA</w:t>
            </w:r>
          </w:p>
        </w:tc>
        <w:tc>
          <w:tcPr>
            <w:tcW w:w="160" w:type="dxa"/>
            <w:vAlign w:val="bottom"/>
          </w:tcPr>
          <w:p>
            <w:pPr>
              <w:spacing w:after="0"/>
              <w:rPr>
                <w:sz w:val="15"/>
                <w:szCs w:val="15"/>
                <w:color w:val="auto"/>
              </w:rPr>
            </w:pP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4,185</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8,370</w:t>
            </w:r>
          </w:p>
        </w:tc>
        <w:tc>
          <w:tcPr>
            <w:tcW w:w="600" w:type="dxa"/>
            <w:vAlign w:val="bottom"/>
          </w:tcPr>
          <w:p>
            <w:pPr>
              <w:jc w:val="right"/>
              <w:spacing w:after="0"/>
              <w:rPr>
                <w:sz w:val="20"/>
                <w:szCs w:val="20"/>
                <w:color w:val="auto"/>
              </w:rPr>
            </w:pPr>
            <w:r>
              <w:rPr>
                <w:rFonts w:ascii="Arial" w:cs="Arial" w:eastAsia="Arial" w:hAnsi="Arial"/>
                <w:sz w:val="12"/>
                <w:szCs w:val="12"/>
                <w:color w:val="auto"/>
              </w:rPr>
              <w:t>14,648</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$1,925,000</w:t>
            </w:r>
          </w:p>
        </w:tc>
        <w:tc>
          <w:tcPr>
            <w:tcW w:w="0" w:type="dxa"/>
            <w:vAlign w:val="bottom"/>
          </w:tcPr>
          <w:p>
            <w:pPr>
              <w:spacing w:after="0"/>
              <w:rPr>
                <w:sz w:val="1"/>
                <w:szCs w:val="1"/>
                <w:color w:val="auto"/>
              </w:rPr>
            </w:pPr>
          </w:p>
        </w:tc>
      </w:tr>
      <w:tr>
        <w:trPr>
          <w:trHeight w:val="231"/>
        </w:trPr>
        <w:tc>
          <w:tcPr>
            <w:tcW w:w="40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740" w:type="dxa"/>
            <w:vAlign w:val="bottom"/>
            <w:shd w:val="clear" w:color="auto" w:fill="F2F2F2"/>
          </w:tcPr>
          <w:p>
            <w:pPr>
              <w:spacing w:after="0"/>
              <w:rPr>
                <w:sz w:val="20"/>
                <w:szCs w:val="20"/>
                <w:color w:val="auto"/>
              </w:rPr>
            </w:pPr>
          </w:p>
        </w:tc>
        <w:tc>
          <w:tcPr>
            <w:tcW w:w="1400" w:type="dxa"/>
            <w:vAlign w:val="bottom"/>
            <w:shd w:val="clear" w:color="auto" w:fill="F2F2F2"/>
          </w:tcPr>
          <w:p>
            <w:pPr>
              <w:spacing w:after="0"/>
              <w:rPr>
                <w:sz w:val="20"/>
                <w:szCs w:val="20"/>
                <w:color w:val="auto"/>
              </w:rPr>
            </w:pPr>
          </w:p>
        </w:tc>
        <w:tc>
          <w:tcPr>
            <w:tcW w:w="640" w:type="dxa"/>
            <w:vAlign w:val="bottom"/>
            <w:shd w:val="clear" w:color="auto" w:fill="F2F2F2"/>
          </w:tcPr>
          <w:p>
            <w:pPr>
              <w:spacing w:after="0"/>
              <w:rPr>
                <w:sz w:val="20"/>
                <w:szCs w:val="20"/>
                <w:color w:val="auto"/>
              </w:rPr>
            </w:pPr>
          </w:p>
        </w:tc>
        <w:tc>
          <w:tcPr>
            <w:tcW w:w="600" w:type="dxa"/>
            <w:vAlign w:val="bottom"/>
            <w:shd w:val="clear" w:color="auto" w:fill="F2F2F2"/>
          </w:tcPr>
          <w:p>
            <w:pPr>
              <w:spacing w:after="0"/>
              <w:rPr>
                <w:sz w:val="20"/>
                <w:szCs w:val="20"/>
                <w:color w:val="auto"/>
              </w:rPr>
            </w:pPr>
          </w:p>
        </w:tc>
        <w:tc>
          <w:tcPr>
            <w:tcW w:w="7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2"/>
                <w:szCs w:val="12"/>
                <w:color w:val="auto"/>
              </w:rPr>
              <w:t>Ms. Hakim</w:t>
            </w:r>
          </w:p>
        </w:tc>
        <w:tc>
          <w:tcPr>
            <w:tcW w:w="160" w:type="dxa"/>
            <w:vAlign w:val="bottom"/>
          </w:tcPr>
          <w:p>
            <w:pPr>
              <w:spacing w:after="0"/>
              <w:rPr>
                <w:sz w:val="17"/>
                <w:szCs w:val="17"/>
                <w:color w:val="auto"/>
              </w:rPr>
            </w:pPr>
          </w:p>
        </w:tc>
        <w:tc>
          <w:tcPr>
            <w:tcW w:w="760" w:type="dxa"/>
            <w:vAlign w:val="bottom"/>
          </w:tcPr>
          <w:p>
            <w:pPr>
              <w:jc w:val="center"/>
              <w:ind w:right="3"/>
              <w:spacing w:after="0"/>
              <w:rPr>
                <w:sz w:val="20"/>
                <w:szCs w:val="20"/>
                <w:color w:val="auto"/>
              </w:rPr>
            </w:pPr>
            <w:r>
              <w:rPr>
                <w:rFonts w:ascii="Arial" w:cs="Arial" w:eastAsia="Arial" w:hAnsi="Arial"/>
                <w:sz w:val="8"/>
                <w:szCs w:val="8"/>
                <w:color w:val="auto"/>
              </w:rPr>
              <w:t>__</w:t>
            </w:r>
          </w:p>
        </w:tc>
        <w:tc>
          <w:tcPr>
            <w:tcW w:w="880" w:type="dxa"/>
            <w:vAlign w:val="bottom"/>
          </w:tcPr>
          <w:p>
            <w:pPr>
              <w:jc w:val="right"/>
              <w:ind w:right="403"/>
              <w:spacing w:after="0"/>
              <w:rPr>
                <w:sz w:val="20"/>
                <w:szCs w:val="20"/>
                <w:color w:val="auto"/>
              </w:rPr>
            </w:pPr>
            <w:r>
              <w:rPr>
                <w:rFonts w:ascii="Arial" w:cs="Arial" w:eastAsia="Arial" w:hAnsi="Arial"/>
                <w:sz w:val="8"/>
                <w:szCs w:val="8"/>
                <w:color w:val="auto"/>
              </w:rPr>
              <w:t>__</w:t>
            </w:r>
          </w:p>
        </w:tc>
        <w:tc>
          <w:tcPr>
            <w:tcW w:w="640" w:type="dxa"/>
            <w:vAlign w:val="bottom"/>
          </w:tcPr>
          <w:p>
            <w:pPr>
              <w:jc w:val="right"/>
              <w:spacing w:after="0"/>
              <w:rPr>
                <w:sz w:val="20"/>
                <w:szCs w:val="20"/>
                <w:color w:val="auto"/>
              </w:rPr>
            </w:pPr>
            <w:r>
              <w:rPr>
                <w:rFonts w:ascii="Arial" w:cs="Arial" w:eastAsia="Arial" w:hAnsi="Arial"/>
                <w:sz w:val="12"/>
                <w:szCs w:val="12"/>
                <w:color w:val="auto"/>
              </w:rPr>
              <w:t>$218,990</w:t>
            </w:r>
          </w:p>
        </w:tc>
        <w:tc>
          <w:tcPr>
            <w:tcW w:w="740" w:type="dxa"/>
            <w:vAlign w:val="bottom"/>
          </w:tcPr>
          <w:p>
            <w:pPr>
              <w:jc w:val="right"/>
              <w:spacing w:after="0"/>
              <w:rPr>
                <w:sz w:val="20"/>
                <w:szCs w:val="20"/>
                <w:color w:val="auto"/>
              </w:rPr>
            </w:pPr>
            <w:r>
              <w:rPr>
                <w:rFonts w:ascii="Arial" w:cs="Arial" w:eastAsia="Arial" w:hAnsi="Arial"/>
                <w:sz w:val="12"/>
                <w:szCs w:val="12"/>
                <w:color w:val="auto"/>
              </w:rPr>
              <w:t>$875,962</w:t>
            </w:r>
          </w:p>
        </w:tc>
        <w:tc>
          <w:tcPr>
            <w:tcW w:w="1400" w:type="dxa"/>
            <w:vAlign w:val="bottom"/>
          </w:tcPr>
          <w:p>
            <w:pPr>
              <w:jc w:val="right"/>
              <w:ind w:right="658"/>
              <w:spacing w:after="0"/>
              <w:rPr>
                <w:sz w:val="20"/>
                <w:szCs w:val="20"/>
                <w:color w:val="auto"/>
              </w:rPr>
            </w:pPr>
            <w:r>
              <w:rPr>
                <w:rFonts w:ascii="Arial" w:cs="Arial" w:eastAsia="Arial" w:hAnsi="Arial"/>
                <w:sz w:val="12"/>
                <w:szCs w:val="12"/>
                <w:color w:val="auto"/>
              </w:rPr>
              <w:t>$1,751,923</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80" w:type="dxa"/>
            <w:vAlign w:val="bottom"/>
            <w:gridSpan w:val="2"/>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PA</w:t>
            </w: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3</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1,916</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3,831</w:t>
            </w:r>
          </w:p>
        </w:tc>
        <w:tc>
          <w:tcPr>
            <w:tcW w:w="600" w:type="dxa"/>
            <w:vAlign w:val="bottom"/>
          </w:tcPr>
          <w:p>
            <w:pPr>
              <w:jc w:val="right"/>
              <w:spacing w:after="0"/>
              <w:rPr>
                <w:sz w:val="20"/>
                <w:szCs w:val="20"/>
                <w:color w:val="auto"/>
              </w:rPr>
            </w:pPr>
            <w:r>
              <w:rPr>
                <w:rFonts w:ascii="Arial" w:cs="Arial" w:eastAsia="Arial" w:hAnsi="Arial"/>
                <w:sz w:val="12"/>
                <w:szCs w:val="12"/>
                <w:color w:val="auto"/>
              </w:rPr>
              <w:t>6,704</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$1,035,000</w:t>
            </w:r>
          </w:p>
        </w:tc>
        <w:tc>
          <w:tcPr>
            <w:tcW w:w="0" w:type="dxa"/>
            <w:vAlign w:val="bottom"/>
          </w:tcPr>
          <w:p>
            <w:pPr>
              <w:spacing w:after="0"/>
              <w:rPr>
                <w:sz w:val="1"/>
                <w:szCs w:val="1"/>
                <w:color w:val="auto"/>
              </w:rPr>
            </w:pPr>
          </w:p>
        </w:tc>
      </w:tr>
      <w:tr>
        <w:trPr>
          <w:trHeight w:val="186"/>
        </w:trPr>
        <w:tc>
          <w:tcPr>
            <w:tcW w:w="1180" w:type="dxa"/>
            <w:vAlign w:val="bottom"/>
            <w:gridSpan w:val="2"/>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SVA</w:t>
            </w: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4</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2,988</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5,976</w:t>
            </w:r>
          </w:p>
        </w:tc>
        <w:tc>
          <w:tcPr>
            <w:tcW w:w="600" w:type="dxa"/>
            <w:vAlign w:val="bottom"/>
          </w:tcPr>
          <w:p>
            <w:pPr>
              <w:jc w:val="right"/>
              <w:spacing w:after="0"/>
              <w:rPr>
                <w:sz w:val="20"/>
                <w:szCs w:val="20"/>
                <w:color w:val="auto"/>
              </w:rPr>
            </w:pPr>
            <w:r>
              <w:rPr>
                <w:rFonts w:ascii="Arial" w:cs="Arial" w:eastAsia="Arial" w:hAnsi="Arial"/>
                <w:sz w:val="12"/>
                <w:szCs w:val="12"/>
                <w:color w:val="auto"/>
              </w:rPr>
              <w:t>10,458</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$1,050,000</w:t>
            </w:r>
          </w:p>
        </w:tc>
        <w:tc>
          <w:tcPr>
            <w:tcW w:w="0" w:type="dxa"/>
            <w:vAlign w:val="bottom"/>
          </w:tcPr>
          <w:p>
            <w:pPr>
              <w:spacing w:after="0"/>
              <w:rPr>
                <w:sz w:val="1"/>
                <w:szCs w:val="1"/>
                <w:color w:val="auto"/>
              </w:rPr>
            </w:pPr>
          </w:p>
        </w:tc>
      </w:tr>
      <w:tr>
        <w:trPr>
          <w:trHeight w:val="186"/>
        </w:trPr>
        <w:tc>
          <w:tcPr>
            <w:tcW w:w="1180" w:type="dxa"/>
            <w:vAlign w:val="bottom"/>
            <w:gridSpan w:val="2"/>
          </w:tcPr>
          <w:p>
            <w:pPr>
              <w:ind w:left="420"/>
              <w:spacing w:after="0"/>
              <w:rPr>
                <w:sz w:val="20"/>
                <w:szCs w:val="20"/>
                <w:color w:val="auto"/>
              </w:rPr>
            </w:pPr>
            <w:r>
              <w:rPr>
                <w:rFonts w:ascii="Arial" w:cs="Arial" w:eastAsia="Arial" w:hAnsi="Arial"/>
                <w:sz w:val="12"/>
                <w:szCs w:val="12"/>
                <w:color w:val="auto"/>
              </w:rPr>
              <w:t>2022-2024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RVA</w:t>
            </w: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5</w:t>
            </w:r>
          </w:p>
        </w:tc>
        <w:tc>
          <w:tcPr>
            <w:tcW w:w="760" w:type="dxa"/>
            <w:vAlign w:val="bottom"/>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58"/>
              <w:spacing w:after="0"/>
              <w:rPr>
                <w:sz w:val="20"/>
                <w:szCs w:val="20"/>
                <w:color w:val="auto"/>
              </w:rPr>
            </w:pPr>
            <w:r>
              <w:rPr>
                <w:rFonts w:ascii="Arial" w:cs="Arial" w:eastAsia="Arial" w:hAnsi="Arial"/>
                <w:sz w:val="12"/>
                <w:szCs w:val="12"/>
                <w:color w:val="auto"/>
              </w:rPr>
              <w:t>2,283</w:t>
            </w:r>
          </w:p>
        </w:tc>
        <w:tc>
          <w:tcPr>
            <w:tcW w:w="640" w:type="dxa"/>
            <w:vAlign w:val="bottom"/>
          </w:tcPr>
          <w:p>
            <w:pPr>
              <w:jc w:val="right"/>
              <w:ind w:right="78"/>
              <w:spacing w:after="0"/>
              <w:rPr>
                <w:sz w:val="20"/>
                <w:szCs w:val="20"/>
                <w:color w:val="auto"/>
              </w:rPr>
            </w:pPr>
            <w:r>
              <w:rPr>
                <w:rFonts w:ascii="Arial" w:cs="Arial" w:eastAsia="Arial" w:hAnsi="Arial"/>
                <w:sz w:val="12"/>
                <w:szCs w:val="12"/>
                <w:color w:val="auto"/>
              </w:rPr>
              <w:t>4,565</w:t>
            </w:r>
          </w:p>
        </w:tc>
        <w:tc>
          <w:tcPr>
            <w:tcW w:w="600" w:type="dxa"/>
            <w:vAlign w:val="bottom"/>
          </w:tcPr>
          <w:p>
            <w:pPr>
              <w:jc w:val="right"/>
              <w:spacing w:after="0"/>
              <w:rPr>
                <w:sz w:val="20"/>
                <w:szCs w:val="20"/>
                <w:color w:val="auto"/>
              </w:rPr>
            </w:pPr>
            <w:r>
              <w:rPr>
                <w:rFonts w:ascii="Arial" w:cs="Arial" w:eastAsia="Arial" w:hAnsi="Arial"/>
                <w:sz w:val="12"/>
                <w:szCs w:val="12"/>
                <w:color w:val="auto"/>
              </w:rPr>
              <w:t>7,989</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$1,050,000</w:t>
            </w:r>
          </w:p>
        </w:tc>
        <w:tc>
          <w:tcPr>
            <w:tcW w:w="0" w:type="dxa"/>
            <w:vAlign w:val="bottom"/>
          </w:tcPr>
          <w:p>
            <w:pPr>
              <w:spacing w:after="0"/>
              <w:rPr>
                <w:sz w:val="1"/>
                <w:szCs w:val="1"/>
                <w:color w:val="auto"/>
              </w:rPr>
            </w:pPr>
          </w:p>
        </w:tc>
      </w:tr>
      <w:tr>
        <w:trPr>
          <w:trHeight w:val="240"/>
        </w:trPr>
        <w:tc>
          <w:tcPr>
            <w:tcW w:w="11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F2F2F2"/>
          </w:tcPr>
          <w:p>
            <w:pPr>
              <w:spacing w:after="0"/>
              <w:rPr>
                <w:sz w:val="20"/>
                <w:szCs w:val="20"/>
                <w:color w:val="auto"/>
              </w:rPr>
            </w:pPr>
            <w:r>
              <w:rPr>
                <w:rFonts w:ascii="Arial" w:cs="Arial" w:eastAsia="Arial" w:hAnsi="Arial"/>
                <w:sz w:val="12"/>
                <w:szCs w:val="12"/>
                <w:color w:val="auto"/>
              </w:rPr>
              <w:t>Mr. Jonsson</w:t>
            </w:r>
          </w:p>
        </w:tc>
        <w:tc>
          <w:tcPr>
            <w:tcW w:w="160" w:type="dxa"/>
            <w:vAlign w:val="bottom"/>
            <w:shd w:val="clear" w:color="auto" w:fill="F2F2F2"/>
          </w:tcPr>
          <w:p>
            <w:pPr>
              <w:spacing w:after="0"/>
              <w:rPr>
                <w:sz w:val="17"/>
                <w:szCs w:val="17"/>
                <w:color w:val="auto"/>
              </w:rPr>
            </w:pPr>
          </w:p>
        </w:tc>
        <w:tc>
          <w:tcPr>
            <w:tcW w:w="760" w:type="dxa"/>
            <w:vAlign w:val="bottom"/>
            <w:shd w:val="clear" w:color="auto" w:fill="F2F2F2"/>
          </w:tcPr>
          <w:p>
            <w:pPr>
              <w:jc w:val="center"/>
              <w:ind w:right="3"/>
              <w:spacing w:after="0"/>
              <w:rPr>
                <w:sz w:val="20"/>
                <w:szCs w:val="20"/>
                <w:color w:val="auto"/>
              </w:rPr>
            </w:pPr>
            <w:r>
              <w:rPr>
                <w:rFonts w:ascii="Arial" w:cs="Arial" w:eastAsia="Arial" w:hAnsi="Arial"/>
                <w:sz w:val="8"/>
                <w:szCs w:val="8"/>
                <w:color w:val="auto"/>
              </w:rPr>
              <w:t>__</w:t>
            </w:r>
          </w:p>
        </w:tc>
        <w:tc>
          <w:tcPr>
            <w:tcW w:w="880" w:type="dxa"/>
            <w:vAlign w:val="bottom"/>
            <w:shd w:val="clear" w:color="auto" w:fill="F2F2F2"/>
          </w:tcPr>
          <w:p>
            <w:pPr>
              <w:jc w:val="right"/>
              <w:ind w:right="403"/>
              <w:spacing w:after="0"/>
              <w:rPr>
                <w:sz w:val="20"/>
                <w:szCs w:val="20"/>
                <w:color w:val="auto"/>
              </w:rPr>
            </w:pPr>
            <w:r>
              <w:rPr>
                <w:rFonts w:ascii="Arial" w:cs="Arial" w:eastAsia="Arial" w:hAnsi="Arial"/>
                <w:sz w:val="8"/>
                <w:szCs w:val="8"/>
                <w:color w:val="auto"/>
              </w:rPr>
              <w:t>__</w:t>
            </w:r>
          </w:p>
        </w:tc>
        <w:tc>
          <w:tcPr>
            <w:tcW w:w="6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$185,096</w:t>
            </w:r>
          </w:p>
        </w:tc>
        <w:tc>
          <w:tcPr>
            <w:tcW w:w="7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$740,385</w:t>
            </w:r>
          </w:p>
        </w:tc>
        <w:tc>
          <w:tcPr>
            <w:tcW w:w="1400" w:type="dxa"/>
            <w:vAlign w:val="bottom"/>
            <w:shd w:val="clear" w:color="auto" w:fill="F2F2F2"/>
          </w:tcPr>
          <w:p>
            <w:pPr>
              <w:jc w:val="right"/>
              <w:ind w:right="658"/>
              <w:spacing w:after="0"/>
              <w:rPr>
                <w:sz w:val="20"/>
                <w:szCs w:val="20"/>
                <w:color w:val="auto"/>
              </w:rPr>
            </w:pPr>
            <w:r>
              <w:rPr>
                <w:rFonts w:ascii="Arial" w:cs="Arial" w:eastAsia="Arial" w:hAnsi="Arial"/>
                <w:sz w:val="12"/>
                <w:szCs w:val="12"/>
                <w:color w:val="auto"/>
              </w:rPr>
              <w:t>$1,480,769</w:t>
            </w:r>
          </w:p>
        </w:tc>
        <w:tc>
          <w:tcPr>
            <w:tcW w:w="640" w:type="dxa"/>
            <w:vAlign w:val="bottom"/>
            <w:shd w:val="clear" w:color="auto" w:fill="F2F2F2"/>
          </w:tcPr>
          <w:p>
            <w:pPr>
              <w:spacing w:after="0"/>
              <w:rPr>
                <w:sz w:val="17"/>
                <w:szCs w:val="17"/>
                <w:color w:val="auto"/>
              </w:rPr>
            </w:pPr>
          </w:p>
        </w:tc>
        <w:tc>
          <w:tcPr>
            <w:tcW w:w="60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0" w:type="dxa"/>
            <w:vAlign w:val="bottom"/>
            <w:shd w:val="clear" w:color="auto" w:fill="F2F2F2"/>
          </w:tcPr>
          <w:p>
            <w:pPr>
              <w:spacing w:after="0"/>
              <w:rPr>
                <w:sz w:val="16"/>
                <w:szCs w:val="16"/>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140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shd w:val="clear" w:color="auto" w:fill="F2F2F2"/>
          </w:tcPr>
          <w:p>
            <w:pPr>
              <w:spacing w:after="0"/>
              <w:rPr>
                <w:sz w:val="14"/>
                <w:szCs w:val="14"/>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PA</w:t>
            </w:r>
          </w:p>
        </w:tc>
        <w:tc>
          <w:tcPr>
            <w:tcW w:w="160" w:type="dxa"/>
            <w:vAlign w:val="bottom"/>
            <w:shd w:val="clear" w:color="auto" w:fill="F2F2F2"/>
          </w:tcPr>
          <w:p>
            <w:pPr>
              <w:jc w:val="right"/>
              <w:ind w:right="60"/>
              <w:spacing w:after="0"/>
              <w:rPr>
                <w:sz w:val="20"/>
                <w:szCs w:val="20"/>
                <w:color w:val="auto"/>
              </w:rPr>
            </w:pPr>
            <w:r>
              <w:rPr>
                <w:rFonts w:ascii="Arial" w:cs="Arial" w:eastAsia="Arial" w:hAnsi="Arial"/>
                <w:sz w:val="8"/>
                <w:szCs w:val="8"/>
                <w:color w:val="auto"/>
                <w:w w:val="88"/>
              </w:rPr>
              <w:t>3</w:t>
            </w:r>
          </w:p>
        </w:tc>
        <w:tc>
          <w:tcPr>
            <w:tcW w:w="760" w:type="dxa"/>
            <w:vAlign w:val="bottom"/>
            <w:shd w:val="clear" w:color="auto" w:fill="F2F2F2"/>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shd w:val="clear" w:color="auto" w:fill="F2F2F2"/>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40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1,341</w:t>
            </w:r>
          </w:p>
        </w:tc>
        <w:tc>
          <w:tcPr>
            <w:tcW w:w="640" w:type="dxa"/>
            <w:vAlign w:val="bottom"/>
            <w:shd w:val="clear" w:color="auto" w:fill="F2F2F2"/>
          </w:tcPr>
          <w:p>
            <w:pPr>
              <w:jc w:val="right"/>
              <w:ind w:right="78"/>
              <w:spacing w:after="0"/>
              <w:rPr>
                <w:sz w:val="20"/>
                <w:szCs w:val="20"/>
                <w:color w:val="auto"/>
              </w:rPr>
            </w:pPr>
            <w:r>
              <w:rPr>
                <w:rFonts w:ascii="Arial" w:cs="Arial" w:eastAsia="Arial" w:hAnsi="Arial"/>
                <w:sz w:val="12"/>
                <w:szCs w:val="12"/>
                <w:color w:val="auto"/>
              </w:rPr>
              <w:t>1,277</w:t>
            </w:r>
          </w:p>
        </w:tc>
        <w:tc>
          <w:tcPr>
            <w:tcW w:w="6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1,277</w:t>
            </w:r>
          </w:p>
        </w:tc>
        <w:tc>
          <w:tcPr>
            <w:tcW w:w="7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$724,500</w:t>
            </w:r>
          </w:p>
        </w:tc>
        <w:tc>
          <w:tcPr>
            <w:tcW w:w="0" w:type="dxa"/>
            <w:vAlign w:val="bottom"/>
          </w:tcPr>
          <w:p>
            <w:pPr>
              <w:spacing w:after="0"/>
              <w:rPr>
                <w:sz w:val="1"/>
                <w:szCs w:val="1"/>
                <w:color w:val="auto"/>
              </w:rPr>
            </w:pPr>
          </w:p>
        </w:tc>
      </w:tr>
      <w:tr>
        <w:trPr>
          <w:trHeight w:val="186"/>
        </w:trPr>
        <w:tc>
          <w:tcPr>
            <w:tcW w:w="400" w:type="dxa"/>
            <w:vAlign w:val="bottom"/>
            <w:shd w:val="clear" w:color="auto" w:fill="F2F2F2"/>
          </w:tcPr>
          <w:p>
            <w:pPr>
              <w:spacing w:after="0"/>
              <w:rPr>
                <w:sz w:val="16"/>
                <w:szCs w:val="16"/>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140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shd w:val="clear" w:color="auto" w:fill="F2F2F2"/>
          </w:tcPr>
          <w:p>
            <w:pPr>
              <w:spacing w:after="0"/>
              <w:rPr>
                <w:sz w:val="14"/>
                <w:szCs w:val="14"/>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SVA</w:t>
            </w:r>
          </w:p>
        </w:tc>
        <w:tc>
          <w:tcPr>
            <w:tcW w:w="160" w:type="dxa"/>
            <w:vAlign w:val="bottom"/>
            <w:shd w:val="clear" w:color="auto" w:fill="F2F2F2"/>
          </w:tcPr>
          <w:p>
            <w:pPr>
              <w:jc w:val="right"/>
              <w:ind w:right="60"/>
              <w:spacing w:after="0"/>
              <w:rPr>
                <w:sz w:val="20"/>
                <w:szCs w:val="20"/>
                <w:color w:val="auto"/>
              </w:rPr>
            </w:pPr>
            <w:r>
              <w:rPr>
                <w:rFonts w:ascii="Arial" w:cs="Arial" w:eastAsia="Arial" w:hAnsi="Arial"/>
                <w:sz w:val="8"/>
                <w:szCs w:val="8"/>
                <w:color w:val="auto"/>
                <w:w w:val="88"/>
              </w:rPr>
              <w:t>4</w:t>
            </w:r>
          </w:p>
        </w:tc>
        <w:tc>
          <w:tcPr>
            <w:tcW w:w="760" w:type="dxa"/>
            <w:vAlign w:val="bottom"/>
            <w:shd w:val="clear" w:color="auto" w:fill="F2F2F2"/>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shd w:val="clear" w:color="auto" w:fill="F2F2F2"/>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40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2,092</w:t>
            </w:r>
          </w:p>
        </w:tc>
        <w:tc>
          <w:tcPr>
            <w:tcW w:w="640" w:type="dxa"/>
            <w:vAlign w:val="bottom"/>
            <w:shd w:val="clear" w:color="auto" w:fill="F2F2F2"/>
          </w:tcPr>
          <w:p>
            <w:pPr>
              <w:jc w:val="right"/>
              <w:ind w:right="78"/>
              <w:spacing w:after="0"/>
              <w:rPr>
                <w:sz w:val="20"/>
                <w:szCs w:val="20"/>
                <w:color w:val="auto"/>
              </w:rPr>
            </w:pPr>
            <w:r>
              <w:rPr>
                <w:rFonts w:ascii="Arial" w:cs="Arial" w:eastAsia="Arial" w:hAnsi="Arial"/>
                <w:sz w:val="12"/>
                <w:szCs w:val="12"/>
                <w:color w:val="auto"/>
              </w:rPr>
              <w:t>1,992</w:t>
            </w:r>
          </w:p>
        </w:tc>
        <w:tc>
          <w:tcPr>
            <w:tcW w:w="6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1,992</w:t>
            </w:r>
          </w:p>
        </w:tc>
        <w:tc>
          <w:tcPr>
            <w:tcW w:w="7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$735,000</w:t>
            </w:r>
          </w:p>
        </w:tc>
        <w:tc>
          <w:tcPr>
            <w:tcW w:w="0" w:type="dxa"/>
            <w:vAlign w:val="bottom"/>
          </w:tcPr>
          <w:p>
            <w:pPr>
              <w:spacing w:after="0"/>
              <w:rPr>
                <w:sz w:val="1"/>
                <w:szCs w:val="1"/>
                <w:color w:val="auto"/>
              </w:rPr>
            </w:pPr>
          </w:p>
        </w:tc>
      </w:tr>
      <w:tr>
        <w:trPr>
          <w:trHeight w:val="186"/>
        </w:trPr>
        <w:tc>
          <w:tcPr>
            <w:tcW w:w="400" w:type="dxa"/>
            <w:vAlign w:val="bottom"/>
            <w:shd w:val="clear" w:color="auto" w:fill="F2F2F2"/>
          </w:tcPr>
          <w:p>
            <w:pPr>
              <w:spacing w:after="0"/>
              <w:rPr>
                <w:sz w:val="16"/>
                <w:szCs w:val="16"/>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2022-2024</w:t>
            </w:r>
          </w:p>
        </w:tc>
        <w:tc>
          <w:tcPr>
            <w:tcW w:w="16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140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 w:type="dxa"/>
            <w:vAlign w:val="bottom"/>
            <w:shd w:val="clear" w:color="auto" w:fill="F2F2F2"/>
          </w:tcPr>
          <w:p>
            <w:pPr>
              <w:spacing w:after="0"/>
              <w:rPr>
                <w:sz w:val="14"/>
                <w:szCs w:val="14"/>
                <w:color w:val="auto"/>
              </w:rPr>
            </w:pPr>
          </w:p>
        </w:tc>
        <w:tc>
          <w:tcPr>
            <w:tcW w:w="780" w:type="dxa"/>
            <w:vAlign w:val="bottom"/>
            <w:shd w:val="clear" w:color="auto" w:fill="F2F2F2"/>
          </w:tcPr>
          <w:p>
            <w:pPr>
              <w:ind w:left="20"/>
              <w:spacing w:after="0"/>
              <w:rPr>
                <w:sz w:val="20"/>
                <w:szCs w:val="20"/>
                <w:color w:val="auto"/>
              </w:rPr>
            </w:pPr>
            <w:r>
              <w:rPr>
                <w:rFonts w:ascii="Arial" w:cs="Arial" w:eastAsia="Arial" w:hAnsi="Arial"/>
                <w:sz w:val="12"/>
                <w:szCs w:val="12"/>
                <w:color w:val="auto"/>
              </w:rPr>
              <w:t>RVA</w:t>
            </w:r>
          </w:p>
        </w:tc>
        <w:tc>
          <w:tcPr>
            <w:tcW w:w="160" w:type="dxa"/>
            <w:vAlign w:val="bottom"/>
            <w:shd w:val="clear" w:color="auto" w:fill="F2F2F2"/>
          </w:tcPr>
          <w:p>
            <w:pPr>
              <w:jc w:val="right"/>
              <w:ind w:right="60"/>
              <w:spacing w:after="0"/>
              <w:rPr>
                <w:sz w:val="20"/>
                <w:szCs w:val="20"/>
                <w:color w:val="auto"/>
              </w:rPr>
            </w:pPr>
            <w:r>
              <w:rPr>
                <w:rFonts w:ascii="Arial" w:cs="Arial" w:eastAsia="Arial" w:hAnsi="Arial"/>
                <w:sz w:val="8"/>
                <w:szCs w:val="8"/>
                <w:color w:val="auto"/>
                <w:w w:val="88"/>
              </w:rPr>
              <w:t>5</w:t>
            </w:r>
          </w:p>
        </w:tc>
        <w:tc>
          <w:tcPr>
            <w:tcW w:w="760" w:type="dxa"/>
            <w:vAlign w:val="bottom"/>
            <w:shd w:val="clear" w:color="auto" w:fill="F2F2F2"/>
          </w:tcPr>
          <w:p>
            <w:pPr>
              <w:jc w:val="center"/>
              <w:ind w:right="23"/>
              <w:spacing w:after="0"/>
              <w:rPr>
                <w:sz w:val="20"/>
                <w:szCs w:val="20"/>
                <w:color w:val="auto"/>
              </w:rPr>
            </w:pPr>
            <w:r>
              <w:rPr>
                <w:rFonts w:ascii="Arial" w:cs="Arial" w:eastAsia="Arial" w:hAnsi="Arial"/>
                <w:sz w:val="12"/>
                <w:szCs w:val="12"/>
                <w:color w:val="auto"/>
              </w:rPr>
              <w:t>2/9/2022</w:t>
            </w:r>
          </w:p>
        </w:tc>
        <w:tc>
          <w:tcPr>
            <w:tcW w:w="880" w:type="dxa"/>
            <w:vAlign w:val="bottom"/>
            <w:shd w:val="clear" w:color="auto" w:fill="F2F2F2"/>
          </w:tcPr>
          <w:p>
            <w:pPr>
              <w:jc w:val="right"/>
              <w:ind w:right="23"/>
              <w:spacing w:after="0"/>
              <w:rPr>
                <w:sz w:val="20"/>
                <w:szCs w:val="20"/>
                <w:color w:val="auto"/>
              </w:rPr>
            </w:pPr>
            <w:r>
              <w:rPr>
                <w:rFonts w:ascii="Arial" w:cs="Arial" w:eastAsia="Arial" w:hAnsi="Arial"/>
                <w:sz w:val="12"/>
                <w:szCs w:val="12"/>
                <w:color w:val="auto"/>
              </w:rPr>
              <w:t>12/13/2021</w:t>
            </w:r>
          </w:p>
        </w:tc>
        <w:tc>
          <w:tcPr>
            <w:tcW w:w="64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140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1,598</w:t>
            </w:r>
          </w:p>
        </w:tc>
        <w:tc>
          <w:tcPr>
            <w:tcW w:w="640" w:type="dxa"/>
            <w:vAlign w:val="bottom"/>
            <w:shd w:val="clear" w:color="auto" w:fill="F2F2F2"/>
          </w:tcPr>
          <w:p>
            <w:pPr>
              <w:jc w:val="right"/>
              <w:ind w:right="78"/>
              <w:spacing w:after="0"/>
              <w:rPr>
                <w:sz w:val="20"/>
                <w:szCs w:val="20"/>
                <w:color w:val="auto"/>
              </w:rPr>
            </w:pPr>
            <w:r>
              <w:rPr>
                <w:rFonts w:ascii="Arial" w:cs="Arial" w:eastAsia="Arial" w:hAnsi="Arial"/>
                <w:sz w:val="12"/>
                <w:szCs w:val="12"/>
                <w:color w:val="auto"/>
              </w:rPr>
              <w:t>1,522</w:t>
            </w:r>
          </w:p>
        </w:tc>
        <w:tc>
          <w:tcPr>
            <w:tcW w:w="6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1,522</w:t>
            </w:r>
          </w:p>
        </w:tc>
        <w:tc>
          <w:tcPr>
            <w:tcW w:w="7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$735,000</w:t>
            </w:r>
          </w:p>
        </w:tc>
        <w:tc>
          <w:tcPr>
            <w:tcW w:w="0" w:type="dxa"/>
            <w:vAlign w:val="bottom"/>
          </w:tcPr>
          <w:p>
            <w:pPr>
              <w:spacing w:after="0"/>
              <w:rPr>
                <w:sz w:val="1"/>
                <w:szCs w:val="1"/>
                <w:color w:val="auto"/>
              </w:rPr>
            </w:pPr>
          </w:p>
        </w:tc>
      </w:tr>
      <w:tr>
        <w:trPr>
          <w:trHeight w:val="240"/>
        </w:trPr>
        <w:tc>
          <w:tcPr>
            <w:tcW w:w="400" w:type="dxa"/>
            <w:vAlign w:val="bottom"/>
            <w:tcBorders>
              <w:bottom w:val="single" w:sz="8" w:color="auto"/>
            </w:tcBorders>
            <w:shd w:val="clear" w:color="auto" w:fill="F2F2F2"/>
          </w:tcPr>
          <w:p>
            <w:pPr>
              <w:spacing w:after="0"/>
              <w:rPr>
                <w:sz w:val="20"/>
                <w:szCs w:val="20"/>
                <w:color w:val="auto"/>
              </w:rPr>
            </w:pPr>
          </w:p>
        </w:tc>
        <w:tc>
          <w:tcPr>
            <w:tcW w:w="780" w:type="dxa"/>
            <w:vAlign w:val="bottom"/>
            <w:tcBorders>
              <w:bottom w:val="single" w:sz="8" w:color="auto"/>
            </w:tcBorders>
            <w:shd w:val="clear" w:color="auto" w:fill="F2F2F2"/>
          </w:tcPr>
          <w:p>
            <w:pPr>
              <w:spacing w:after="0"/>
              <w:rPr>
                <w:sz w:val="20"/>
                <w:szCs w:val="20"/>
                <w:color w:val="auto"/>
              </w:rPr>
            </w:pPr>
          </w:p>
        </w:tc>
        <w:tc>
          <w:tcPr>
            <w:tcW w:w="160" w:type="dxa"/>
            <w:vAlign w:val="bottom"/>
            <w:tcBorders>
              <w:bottom w:val="single" w:sz="8" w:color="auto"/>
            </w:tcBorders>
            <w:shd w:val="clear" w:color="auto" w:fill="F2F2F2"/>
          </w:tcPr>
          <w:p>
            <w:pPr>
              <w:spacing w:after="0"/>
              <w:rPr>
                <w:sz w:val="20"/>
                <w:szCs w:val="20"/>
                <w:color w:val="auto"/>
              </w:rPr>
            </w:pPr>
          </w:p>
        </w:tc>
        <w:tc>
          <w:tcPr>
            <w:tcW w:w="760" w:type="dxa"/>
            <w:vAlign w:val="bottom"/>
            <w:tcBorders>
              <w:bottom w:val="single" w:sz="8" w:color="auto"/>
            </w:tcBorders>
            <w:shd w:val="clear" w:color="auto" w:fill="F2F2F2"/>
          </w:tcPr>
          <w:p>
            <w:pPr>
              <w:spacing w:after="0"/>
              <w:rPr>
                <w:sz w:val="20"/>
                <w:szCs w:val="20"/>
                <w:color w:val="auto"/>
              </w:rPr>
            </w:pPr>
          </w:p>
        </w:tc>
        <w:tc>
          <w:tcPr>
            <w:tcW w:w="880" w:type="dxa"/>
            <w:vAlign w:val="bottom"/>
            <w:tcBorders>
              <w:bottom w:val="single" w:sz="8" w:color="auto"/>
            </w:tcBorders>
            <w:shd w:val="clear" w:color="auto" w:fill="F2F2F2"/>
          </w:tcPr>
          <w:p>
            <w:pPr>
              <w:spacing w:after="0"/>
              <w:rPr>
                <w:sz w:val="20"/>
                <w:szCs w:val="20"/>
                <w:color w:val="auto"/>
              </w:rPr>
            </w:pPr>
          </w:p>
        </w:tc>
        <w:tc>
          <w:tcPr>
            <w:tcW w:w="640" w:type="dxa"/>
            <w:vAlign w:val="bottom"/>
            <w:tcBorders>
              <w:bottom w:val="single" w:sz="8" w:color="auto"/>
            </w:tcBorders>
            <w:shd w:val="clear" w:color="auto" w:fill="F2F2F2"/>
          </w:tcPr>
          <w:p>
            <w:pPr>
              <w:spacing w:after="0"/>
              <w:rPr>
                <w:sz w:val="20"/>
                <w:szCs w:val="20"/>
                <w:color w:val="auto"/>
              </w:rPr>
            </w:pPr>
          </w:p>
        </w:tc>
        <w:tc>
          <w:tcPr>
            <w:tcW w:w="740" w:type="dxa"/>
            <w:vAlign w:val="bottom"/>
            <w:tcBorders>
              <w:bottom w:val="single" w:sz="8" w:color="auto"/>
            </w:tcBorders>
            <w:shd w:val="clear" w:color="auto" w:fill="F2F2F2"/>
          </w:tcPr>
          <w:p>
            <w:pPr>
              <w:spacing w:after="0"/>
              <w:rPr>
                <w:sz w:val="20"/>
                <w:szCs w:val="20"/>
                <w:color w:val="auto"/>
              </w:rPr>
            </w:pPr>
          </w:p>
        </w:tc>
        <w:tc>
          <w:tcPr>
            <w:tcW w:w="1400" w:type="dxa"/>
            <w:vAlign w:val="bottom"/>
            <w:tcBorders>
              <w:bottom w:val="single" w:sz="8" w:color="auto"/>
            </w:tcBorders>
            <w:shd w:val="clear" w:color="auto" w:fill="F2F2F2"/>
          </w:tcPr>
          <w:p>
            <w:pPr>
              <w:spacing w:after="0"/>
              <w:rPr>
                <w:sz w:val="20"/>
                <w:szCs w:val="20"/>
                <w:color w:val="auto"/>
              </w:rPr>
            </w:pPr>
          </w:p>
        </w:tc>
        <w:tc>
          <w:tcPr>
            <w:tcW w:w="640" w:type="dxa"/>
            <w:vAlign w:val="bottom"/>
            <w:tcBorders>
              <w:bottom w:val="single" w:sz="8" w:color="auto"/>
            </w:tcBorders>
            <w:shd w:val="clear" w:color="auto" w:fill="F2F2F2"/>
          </w:tcPr>
          <w:p>
            <w:pPr>
              <w:spacing w:after="0"/>
              <w:rPr>
                <w:sz w:val="20"/>
                <w:szCs w:val="20"/>
                <w:color w:val="auto"/>
              </w:rPr>
            </w:pPr>
          </w:p>
        </w:tc>
        <w:tc>
          <w:tcPr>
            <w:tcW w:w="600" w:type="dxa"/>
            <w:vAlign w:val="bottom"/>
            <w:tcBorders>
              <w:bottom w:val="single" w:sz="8" w:color="auto"/>
            </w:tcBorders>
            <w:shd w:val="clear" w:color="auto" w:fill="F2F2F2"/>
          </w:tcPr>
          <w:p>
            <w:pPr>
              <w:spacing w:after="0"/>
              <w:rPr>
                <w:sz w:val="20"/>
                <w:szCs w:val="20"/>
                <w:color w:val="auto"/>
              </w:rPr>
            </w:pPr>
          </w:p>
        </w:tc>
        <w:tc>
          <w:tcPr>
            <w:tcW w:w="780" w:type="dxa"/>
            <w:vAlign w:val="bottom"/>
            <w:tcBorders>
              <w:bottom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-132715</wp:posOffset>
            </wp:positionV>
            <wp:extent cx="7620" cy="76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-118110</wp:posOffset>
            </wp:positionV>
            <wp:extent cx="7620" cy="76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-103505</wp:posOffset>
            </wp:positionV>
            <wp:extent cx="7620" cy="76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-88265</wp:posOffset>
            </wp:positionV>
            <wp:extent cx="7620" cy="76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-73660</wp:posOffset>
            </wp:positionV>
            <wp:extent cx="7620" cy="76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-58420</wp:posOffset>
            </wp:positionV>
            <wp:extent cx="7620" cy="76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-43815</wp:posOffset>
            </wp:positionV>
            <wp:extent cx="7620" cy="76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-29210</wp:posOffset>
            </wp:positionV>
            <wp:extent cx="7620" cy="762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-13970</wp:posOffset>
            </wp:positionV>
            <wp:extent cx="7620" cy="762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-132715</wp:posOffset>
            </wp:positionV>
            <wp:extent cx="7620" cy="762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-118110</wp:posOffset>
            </wp:positionV>
            <wp:extent cx="7620" cy="76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-103505</wp:posOffset>
            </wp:positionV>
            <wp:extent cx="7620" cy="762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-88265</wp:posOffset>
            </wp:positionV>
            <wp:extent cx="7620" cy="762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-73660</wp:posOffset>
            </wp:positionV>
            <wp:extent cx="7620" cy="762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-58420</wp:posOffset>
            </wp:positionV>
            <wp:extent cx="7620" cy="762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-43815</wp:posOffset>
            </wp:positionV>
            <wp:extent cx="7620" cy="762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-29210</wp:posOffset>
            </wp:positionV>
            <wp:extent cx="7620" cy="762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-13970</wp:posOffset>
            </wp:positionV>
            <wp:extent cx="7620" cy="762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-132715</wp:posOffset>
            </wp:positionV>
            <wp:extent cx="7620" cy="762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-118110</wp:posOffset>
            </wp:positionV>
            <wp:extent cx="7620" cy="762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-103505</wp:posOffset>
            </wp:positionV>
            <wp:extent cx="7620" cy="762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-88265</wp:posOffset>
            </wp:positionV>
            <wp:extent cx="7620" cy="762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-73660</wp:posOffset>
            </wp:positionV>
            <wp:extent cx="7620" cy="762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-58420</wp:posOffset>
            </wp:positionV>
            <wp:extent cx="7620" cy="762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-43815</wp:posOffset>
            </wp:positionV>
            <wp:extent cx="7620" cy="762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-29210</wp:posOffset>
            </wp:positionV>
            <wp:extent cx="7620" cy="76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-13970</wp:posOffset>
            </wp:positionV>
            <wp:extent cx="762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-347980</wp:posOffset>
            </wp:positionV>
            <wp:extent cx="7620" cy="762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-333375</wp:posOffset>
            </wp:positionV>
            <wp:extent cx="7620" cy="762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-318135</wp:posOffset>
            </wp:positionV>
            <wp:extent cx="7620" cy="762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-303530</wp:posOffset>
            </wp:positionV>
            <wp:extent cx="7620" cy="762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-288925</wp:posOffset>
            </wp:positionV>
            <wp:extent cx="7620"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-273685</wp:posOffset>
            </wp:positionV>
            <wp:extent cx="7620" cy="76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-259080</wp:posOffset>
            </wp:positionV>
            <wp:extent cx="7620" cy="762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-243840</wp:posOffset>
            </wp:positionV>
            <wp:extent cx="7620" cy="762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-229235</wp:posOffset>
            </wp:positionV>
            <wp:extent cx="7620" cy="762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-214630</wp:posOffset>
            </wp:positionV>
            <wp:extent cx="7620" cy="762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-199390</wp:posOffset>
            </wp:positionV>
            <wp:extent cx="7620" cy="762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-184785</wp:posOffset>
            </wp:positionV>
            <wp:extent cx="7620" cy="762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-170180</wp:posOffset>
            </wp:positionV>
            <wp:extent cx="7620" cy="762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-154940</wp:posOffset>
            </wp:positionV>
            <wp:extent cx="7620" cy="1460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-347980</wp:posOffset>
            </wp:positionV>
            <wp:extent cx="7620" cy="762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-333375</wp:posOffset>
            </wp:positionV>
            <wp:extent cx="7620" cy="762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-318135</wp:posOffset>
            </wp:positionV>
            <wp:extent cx="7620" cy="762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-303530</wp:posOffset>
            </wp:positionV>
            <wp:extent cx="7620" cy="762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-288925</wp:posOffset>
            </wp:positionV>
            <wp:extent cx="7620" cy="762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-273685</wp:posOffset>
            </wp:positionV>
            <wp:extent cx="7620" cy="762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-259080</wp:posOffset>
            </wp:positionV>
            <wp:extent cx="7620" cy="762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-243840</wp:posOffset>
            </wp:positionV>
            <wp:extent cx="7620" cy="762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-229235</wp:posOffset>
            </wp:positionV>
            <wp:extent cx="7620" cy="762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-214630</wp:posOffset>
            </wp:positionV>
            <wp:extent cx="7620" cy="762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-199390</wp:posOffset>
            </wp:positionV>
            <wp:extent cx="7620" cy="762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-184785</wp:posOffset>
            </wp:positionV>
            <wp:extent cx="7620" cy="762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-170180</wp:posOffset>
            </wp:positionV>
            <wp:extent cx="7620" cy="762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-154940</wp:posOffset>
            </wp:positionV>
            <wp:extent cx="7620" cy="1460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-347980</wp:posOffset>
            </wp:positionV>
            <wp:extent cx="7620" cy="762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-333375</wp:posOffset>
            </wp:positionV>
            <wp:extent cx="7620" cy="762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-318135</wp:posOffset>
            </wp:positionV>
            <wp:extent cx="7620" cy="762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-303530</wp:posOffset>
            </wp:positionV>
            <wp:extent cx="7620" cy="762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-288925</wp:posOffset>
            </wp:positionV>
            <wp:extent cx="7620" cy="762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-273685</wp:posOffset>
            </wp:positionV>
            <wp:extent cx="7620" cy="762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-259080</wp:posOffset>
            </wp:positionV>
            <wp:extent cx="7620" cy="762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-243840</wp:posOffset>
            </wp:positionV>
            <wp:extent cx="7620" cy="762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-229235</wp:posOffset>
            </wp:positionV>
            <wp:extent cx="7620" cy="762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-214630</wp:posOffset>
            </wp:positionV>
            <wp:extent cx="7620" cy="762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-199390</wp:posOffset>
            </wp:positionV>
            <wp:extent cx="7620" cy="762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-184785</wp:posOffset>
            </wp:positionV>
            <wp:extent cx="7620" cy="762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-170180</wp:posOffset>
            </wp:positionV>
            <wp:extent cx="7620" cy="762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-154940</wp:posOffset>
            </wp:positionV>
            <wp:extent cx="7620" cy="1460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-570230</wp:posOffset>
            </wp:positionV>
            <wp:extent cx="7620" cy="762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-555625</wp:posOffset>
            </wp:positionV>
            <wp:extent cx="7620" cy="762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-541020</wp:posOffset>
            </wp:positionV>
            <wp:extent cx="7620" cy="762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-525780</wp:posOffset>
            </wp:positionV>
            <wp:extent cx="7620" cy="762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-511175</wp:posOffset>
            </wp:positionV>
            <wp:extent cx="7620" cy="762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-496570</wp:posOffset>
            </wp:positionV>
            <wp:extent cx="7620" cy="762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-481330</wp:posOffset>
            </wp:positionV>
            <wp:extent cx="7620" cy="762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-466725</wp:posOffset>
            </wp:positionV>
            <wp:extent cx="7620" cy="762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-452120</wp:posOffset>
            </wp:positionV>
            <wp:extent cx="7620" cy="762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-436880</wp:posOffset>
            </wp:positionV>
            <wp:extent cx="7620" cy="762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-422275</wp:posOffset>
            </wp:positionV>
            <wp:extent cx="7620" cy="762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-407035</wp:posOffset>
            </wp:positionV>
            <wp:extent cx="7620" cy="762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-392430</wp:posOffset>
            </wp:positionV>
            <wp:extent cx="7620" cy="762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-377825</wp:posOffset>
            </wp:positionV>
            <wp:extent cx="7620" cy="2222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-570230</wp:posOffset>
            </wp:positionV>
            <wp:extent cx="7620" cy="762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-555625</wp:posOffset>
            </wp:positionV>
            <wp:extent cx="7620" cy="762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-541020</wp:posOffset>
            </wp:positionV>
            <wp:extent cx="7620" cy="762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-525780</wp:posOffset>
            </wp:positionV>
            <wp:extent cx="7620" cy="762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-511175</wp:posOffset>
            </wp:positionV>
            <wp:extent cx="7620" cy="762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-496570</wp:posOffset>
            </wp:positionV>
            <wp:extent cx="7620" cy="762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-481330</wp:posOffset>
            </wp:positionV>
            <wp:extent cx="7620" cy="762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-466725</wp:posOffset>
            </wp:positionV>
            <wp:extent cx="7620" cy="762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-452120</wp:posOffset>
            </wp:positionV>
            <wp:extent cx="7620" cy="762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-436880</wp:posOffset>
            </wp:positionV>
            <wp:extent cx="7620" cy="762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-422275</wp:posOffset>
            </wp:positionV>
            <wp:extent cx="7620" cy="762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-407035</wp:posOffset>
            </wp:positionV>
            <wp:extent cx="7620" cy="762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-392430</wp:posOffset>
            </wp:positionV>
            <wp:extent cx="7620" cy="762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-377825</wp:posOffset>
            </wp:positionV>
            <wp:extent cx="7620" cy="2222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-570230</wp:posOffset>
            </wp:positionV>
            <wp:extent cx="7620" cy="762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-555625</wp:posOffset>
            </wp:positionV>
            <wp:extent cx="7620" cy="762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-541020</wp:posOffset>
            </wp:positionV>
            <wp:extent cx="7620" cy="762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-525780</wp:posOffset>
            </wp:positionV>
            <wp:extent cx="7620" cy="762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-511175</wp:posOffset>
            </wp:positionV>
            <wp:extent cx="7620" cy="762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-496570</wp:posOffset>
            </wp:positionV>
            <wp:extent cx="7620" cy="762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-481330</wp:posOffset>
            </wp:positionV>
            <wp:extent cx="7620" cy="762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-466725</wp:posOffset>
            </wp:positionV>
            <wp:extent cx="7620" cy="762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-452120</wp:posOffset>
            </wp:positionV>
            <wp:extent cx="7620" cy="762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-436880</wp:posOffset>
            </wp:positionV>
            <wp:extent cx="7620" cy="762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-422275</wp:posOffset>
            </wp:positionV>
            <wp:extent cx="7620" cy="762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-407035</wp:posOffset>
            </wp:positionV>
            <wp:extent cx="7620" cy="762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-392430</wp:posOffset>
            </wp:positionV>
            <wp:extent cx="7620" cy="762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-377825</wp:posOffset>
            </wp:positionV>
            <wp:extent cx="7620" cy="2222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-793115</wp:posOffset>
            </wp:positionV>
            <wp:extent cx="7620" cy="762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-778510</wp:posOffset>
            </wp:positionV>
            <wp:extent cx="7620" cy="762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-763270</wp:posOffset>
            </wp:positionV>
            <wp:extent cx="7620" cy="762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-748665</wp:posOffset>
            </wp:positionV>
            <wp:extent cx="7620" cy="762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-733425</wp:posOffset>
            </wp:positionV>
            <wp:extent cx="7620" cy="762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-718820</wp:posOffset>
            </wp:positionV>
            <wp:extent cx="7620" cy="762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-704215</wp:posOffset>
            </wp:positionV>
            <wp:extent cx="7620" cy="762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-688975</wp:posOffset>
            </wp:positionV>
            <wp:extent cx="7620" cy="762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-674370</wp:posOffset>
            </wp:positionV>
            <wp:extent cx="7620" cy="76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-659765</wp:posOffset>
            </wp:positionV>
            <wp:extent cx="7620" cy="762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-644525</wp:posOffset>
            </wp:positionV>
            <wp:extent cx="7620" cy="762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-629920</wp:posOffset>
            </wp:positionV>
            <wp:extent cx="7620" cy="762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-615315</wp:posOffset>
            </wp:positionV>
            <wp:extent cx="7620" cy="762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-600075</wp:posOffset>
            </wp:positionV>
            <wp:extent cx="7620" cy="2222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-793115</wp:posOffset>
            </wp:positionV>
            <wp:extent cx="7620" cy="762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-778510</wp:posOffset>
            </wp:positionV>
            <wp:extent cx="7620" cy="762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-763270</wp:posOffset>
            </wp:positionV>
            <wp:extent cx="7620" cy="762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-748665</wp:posOffset>
            </wp:positionV>
            <wp:extent cx="7620" cy="762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-733425</wp:posOffset>
            </wp:positionV>
            <wp:extent cx="7620" cy="762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-718820</wp:posOffset>
            </wp:positionV>
            <wp:extent cx="7620" cy="762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-704215</wp:posOffset>
            </wp:positionV>
            <wp:extent cx="7620" cy="762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-688975</wp:posOffset>
            </wp:positionV>
            <wp:extent cx="7620" cy="762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-674370</wp:posOffset>
            </wp:positionV>
            <wp:extent cx="7620" cy="762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-659765</wp:posOffset>
            </wp:positionV>
            <wp:extent cx="7620" cy="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-644525</wp:posOffset>
            </wp:positionV>
            <wp:extent cx="7620" cy="762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-629920</wp:posOffset>
            </wp:positionV>
            <wp:extent cx="7620" cy="762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-615315</wp:posOffset>
            </wp:positionV>
            <wp:extent cx="7620" cy="762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-600075</wp:posOffset>
            </wp:positionV>
            <wp:extent cx="7620" cy="2222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-793115</wp:posOffset>
            </wp:positionV>
            <wp:extent cx="7620" cy="762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-778510</wp:posOffset>
            </wp:positionV>
            <wp:extent cx="7620" cy="762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-763270</wp:posOffset>
            </wp:positionV>
            <wp:extent cx="7620" cy="762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-748665</wp:posOffset>
            </wp:positionV>
            <wp:extent cx="7620" cy="762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-733425</wp:posOffset>
            </wp:positionV>
            <wp:extent cx="7620" cy="762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-718820</wp:posOffset>
            </wp:positionV>
            <wp:extent cx="7620" cy="762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-704215</wp:posOffset>
            </wp:positionV>
            <wp:extent cx="7620" cy="762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-688975</wp:posOffset>
            </wp:positionV>
            <wp:extent cx="7620" cy="762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-674370</wp:posOffset>
            </wp:positionV>
            <wp:extent cx="7620" cy="762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-659765</wp:posOffset>
            </wp:positionV>
            <wp:extent cx="7620" cy="762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-644525</wp:posOffset>
            </wp:positionV>
            <wp:extent cx="7620" cy="762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-629920</wp:posOffset>
            </wp:positionV>
            <wp:extent cx="7620" cy="762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-615315</wp:posOffset>
            </wp:positionV>
            <wp:extent cx="7620" cy="762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-600075</wp:posOffset>
            </wp:positionV>
            <wp:extent cx="7620" cy="2222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-941705</wp:posOffset>
            </wp:positionV>
            <wp:extent cx="7620" cy="762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-926465</wp:posOffset>
            </wp:positionV>
            <wp:extent cx="7620" cy="762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-911860</wp:posOffset>
            </wp:positionV>
            <wp:extent cx="7620" cy="762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-896620</wp:posOffset>
            </wp:positionV>
            <wp:extent cx="7620" cy="762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-882015</wp:posOffset>
            </wp:positionV>
            <wp:extent cx="7620" cy="762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-867410</wp:posOffset>
            </wp:positionV>
            <wp:extent cx="7620" cy="762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-852170</wp:posOffset>
            </wp:positionV>
            <wp:extent cx="7620" cy="762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-837565</wp:posOffset>
            </wp:positionV>
            <wp:extent cx="7620" cy="762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-822960</wp:posOffset>
            </wp:positionV>
            <wp:extent cx="7620" cy="2222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-941705</wp:posOffset>
            </wp:positionV>
            <wp:extent cx="7620" cy="762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-926465</wp:posOffset>
            </wp:positionV>
            <wp:extent cx="7620" cy="762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-911860</wp:posOffset>
            </wp:positionV>
            <wp:extent cx="7620" cy="762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-896620</wp:posOffset>
            </wp:positionV>
            <wp:extent cx="7620" cy="762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-882015</wp:posOffset>
            </wp:positionV>
            <wp:extent cx="7620" cy="762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-867410</wp:posOffset>
            </wp:positionV>
            <wp:extent cx="7620" cy="762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-852170</wp:posOffset>
            </wp:positionV>
            <wp:extent cx="7620" cy="762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-837565</wp:posOffset>
            </wp:positionV>
            <wp:extent cx="7620" cy="762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-822960</wp:posOffset>
            </wp:positionV>
            <wp:extent cx="7620" cy="2222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-941705</wp:posOffset>
            </wp:positionV>
            <wp:extent cx="7620" cy="762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-926465</wp:posOffset>
            </wp:positionV>
            <wp:extent cx="7620" cy="762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-911860</wp:posOffset>
            </wp:positionV>
            <wp:extent cx="7620" cy="762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-896620</wp:posOffset>
            </wp:positionV>
            <wp:extent cx="7620" cy="762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-882015</wp:posOffset>
            </wp:positionV>
            <wp:extent cx="7620" cy="762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-867410</wp:posOffset>
            </wp:positionV>
            <wp:extent cx="7620" cy="762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-852170</wp:posOffset>
            </wp:positionV>
            <wp:extent cx="7620" cy="762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-837565</wp:posOffset>
            </wp:positionV>
            <wp:extent cx="7620" cy="762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-822960</wp:posOffset>
            </wp:positionV>
            <wp:extent cx="7620" cy="2222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-1082675</wp:posOffset>
            </wp:positionV>
            <wp:extent cx="7620" cy="762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-1067435</wp:posOffset>
            </wp:positionV>
            <wp:extent cx="7620" cy="762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-1052830</wp:posOffset>
            </wp:positionV>
            <wp:extent cx="7620" cy="762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-1037590</wp:posOffset>
            </wp:positionV>
            <wp:extent cx="7620" cy="762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-1022985</wp:posOffset>
            </wp:positionV>
            <wp:extent cx="7620" cy="762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-1008380</wp:posOffset>
            </wp:positionV>
            <wp:extent cx="7620" cy="762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-993140</wp:posOffset>
            </wp:positionV>
            <wp:extent cx="7620" cy="762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-978535</wp:posOffset>
            </wp:positionV>
            <wp:extent cx="7620" cy="762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-963930</wp:posOffset>
            </wp:positionV>
            <wp:extent cx="7620" cy="1460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-1082675</wp:posOffset>
            </wp:positionV>
            <wp:extent cx="7620" cy="762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-1067435</wp:posOffset>
            </wp:positionV>
            <wp:extent cx="7620" cy="762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-1052830</wp:posOffset>
            </wp:positionV>
            <wp:extent cx="7620" cy="762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-1037590</wp:posOffset>
            </wp:positionV>
            <wp:extent cx="7620" cy="762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-1022985</wp:posOffset>
            </wp:positionV>
            <wp:extent cx="7620" cy="762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-1008380</wp:posOffset>
            </wp:positionV>
            <wp:extent cx="7620" cy="762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-993140</wp:posOffset>
            </wp:positionV>
            <wp:extent cx="7620" cy="762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-978535</wp:posOffset>
            </wp:positionV>
            <wp:extent cx="7620" cy="762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-963930</wp:posOffset>
            </wp:positionV>
            <wp:extent cx="7620" cy="1460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-1082675</wp:posOffset>
            </wp:positionV>
            <wp:extent cx="7620" cy="762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-1067435</wp:posOffset>
            </wp:positionV>
            <wp:extent cx="7620" cy="762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-1052830</wp:posOffset>
            </wp:positionV>
            <wp:extent cx="7620" cy="762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-1037590</wp:posOffset>
            </wp:positionV>
            <wp:extent cx="7620" cy="762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-1022985</wp:posOffset>
            </wp:positionV>
            <wp:extent cx="7620" cy="762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-1008380</wp:posOffset>
            </wp:positionV>
            <wp:extent cx="7620" cy="762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-993140</wp:posOffset>
            </wp:positionV>
            <wp:extent cx="7620" cy="762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-978535</wp:posOffset>
            </wp:positionV>
            <wp:extent cx="7620" cy="762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-963930</wp:posOffset>
            </wp:positionV>
            <wp:extent cx="7620" cy="1460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-1297305</wp:posOffset>
            </wp:positionV>
            <wp:extent cx="7620" cy="762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-1282700</wp:posOffset>
            </wp:positionV>
            <wp:extent cx="7620" cy="762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-1268095</wp:posOffset>
            </wp:positionV>
            <wp:extent cx="7620" cy="762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-1252855</wp:posOffset>
            </wp:positionV>
            <wp:extent cx="7620" cy="762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-1238250</wp:posOffset>
            </wp:positionV>
            <wp:extent cx="7620" cy="762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-1223010</wp:posOffset>
            </wp:positionV>
            <wp:extent cx="7620" cy="762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-1208405</wp:posOffset>
            </wp:positionV>
            <wp:extent cx="7620" cy="762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-1193800</wp:posOffset>
            </wp:positionV>
            <wp:extent cx="7620" cy="762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-1178560</wp:posOffset>
            </wp:positionV>
            <wp:extent cx="7620" cy="762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-1163955</wp:posOffset>
            </wp:positionV>
            <wp:extent cx="7620" cy="762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-1149350</wp:posOffset>
            </wp:positionV>
            <wp:extent cx="7620" cy="762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-1134110</wp:posOffset>
            </wp:positionV>
            <wp:extent cx="7620" cy="762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-1119505</wp:posOffset>
            </wp:positionV>
            <wp:extent cx="7620" cy="762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-1104900</wp:posOffset>
            </wp:positionV>
            <wp:extent cx="7620" cy="1460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-1297305</wp:posOffset>
            </wp:positionV>
            <wp:extent cx="7620" cy="762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-1282700</wp:posOffset>
            </wp:positionV>
            <wp:extent cx="7620" cy="762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-1268095</wp:posOffset>
            </wp:positionV>
            <wp:extent cx="7620" cy="76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-1252855</wp:posOffset>
            </wp:positionV>
            <wp:extent cx="7620" cy="762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-1238250</wp:posOffset>
            </wp:positionV>
            <wp:extent cx="7620" cy="762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-1223010</wp:posOffset>
            </wp:positionV>
            <wp:extent cx="7620" cy="762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-1208405</wp:posOffset>
            </wp:positionV>
            <wp:extent cx="7620" cy="762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-1193800</wp:posOffset>
            </wp:positionV>
            <wp:extent cx="7620" cy="762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-1178560</wp:posOffset>
            </wp:positionV>
            <wp:extent cx="7620" cy="762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-1163955</wp:posOffset>
            </wp:positionV>
            <wp:extent cx="7620" cy="762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-1149350</wp:posOffset>
            </wp:positionV>
            <wp:extent cx="7620" cy="762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-1134110</wp:posOffset>
            </wp:positionV>
            <wp:extent cx="7620" cy="762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-1119505</wp:posOffset>
            </wp:positionV>
            <wp:extent cx="7620" cy="762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-1104900</wp:posOffset>
            </wp:positionV>
            <wp:extent cx="7620" cy="1460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-1297305</wp:posOffset>
            </wp:positionV>
            <wp:extent cx="7620" cy="762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-1282700</wp:posOffset>
            </wp:positionV>
            <wp:extent cx="7620" cy="762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-1268095</wp:posOffset>
            </wp:positionV>
            <wp:extent cx="7620" cy="762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-1252855</wp:posOffset>
            </wp:positionV>
            <wp:extent cx="7620" cy="762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-1238250</wp:posOffset>
            </wp:positionV>
            <wp:extent cx="7620" cy="762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-1223010</wp:posOffset>
            </wp:positionV>
            <wp:extent cx="7620" cy="762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-1208405</wp:posOffset>
            </wp:positionV>
            <wp:extent cx="7620" cy="762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-1193800</wp:posOffset>
            </wp:positionV>
            <wp:extent cx="7620" cy="762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-1178560</wp:posOffset>
            </wp:positionV>
            <wp:extent cx="7620" cy="762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-1163955</wp:posOffset>
            </wp:positionV>
            <wp:extent cx="7620" cy="762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-1149350</wp:posOffset>
            </wp:positionV>
            <wp:extent cx="7620" cy="762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-1134110</wp:posOffset>
            </wp:positionV>
            <wp:extent cx="7620" cy="762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-1119505</wp:posOffset>
            </wp:positionV>
            <wp:extent cx="7620" cy="762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-1104900</wp:posOffset>
            </wp:positionV>
            <wp:extent cx="7620" cy="1460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-1520190</wp:posOffset>
            </wp:positionV>
            <wp:extent cx="7620" cy="762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-1504950</wp:posOffset>
            </wp:positionV>
            <wp:extent cx="7620" cy="762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-1490345</wp:posOffset>
            </wp:positionV>
            <wp:extent cx="7620" cy="762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-1475740</wp:posOffset>
            </wp:positionV>
            <wp:extent cx="7620" cy="762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-1460500</wp:posOffset>
            </wp:positionV>
            <wp:extent cx="7620" cy="762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-1445895</wp:posOffset>
            </wp:positionV>
            <wp:extent cx="7620" cy="762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-1431290</wp:posOffset>
            </wp:positionV>
            <wp:extent cx="7620" cy="762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-1416050</wp:posOffset>
            </wp:positionV>
            <wp:extent cx="7620" cy="762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-1401445</wp:posOffset>
            </wp:positionV>
            <wp:extent cx="7620" cy="762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-1386205</wp:posOffset>
            </wp:positionV>
            <wp:extent cx="7620" cy="762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-1371600</wp:posOffset>
            </wp:positionV>
            <wp:extent cx="7620" cy="762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-1356995</wp:posOffset>
            </wp:positionV>
            <wp:extent cx="7620" cy="762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-1341755</wp:posOffset>
            </wp:positionV>
            <wp:extent cx="7620" cy="762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-1327150</wp:posOffset>
            </wp:positionV>
            <wp:extent cx="7620" cy="2222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-1520190</wp:posOffset>
            </wp:positionV>
            <wp:extent cx="7620" cy="762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-1504950</wp:posOffset>
            </wp:positionV>
            <wp:extent cx="7620" cy="762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-1490345</wp:posOffset>
            </wp:positionV>
            <wp:extent cx="7620" cy="762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-1475740</wp:posOffset>
            </wp:positionV>
            <wp:extent cx="7620" cy="762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-1460500</wp:posOffset>
            </wp:positionV>
            <wp:extent cx="7620" cy="762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-1445895</wp:posOffset>
            </wp:positionV>
            <wp:extent cx="7620" cy="762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-1431290</wp:posOffset>
            </wp:positionV>
            <wp:extent cx="7620" cy="762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-1416050</wp:posOffset>
            </wp:positionV>
            <wp:extent cx="7620" cy="762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-1401445</wp:posOffset>
            </wp:positionV>
            <wp:extent cx="7620" cy="762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-1386205</wp:posOffset>
            </wp:positionV>
            <wp:extent cx="7620" cy="762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-1371600</wp:posOffset>
            </wp:positionV>
            <wp:extent cx="7620" cy="762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-1356995</wp:posOffset>
            </wp:positionV>
            <wp:extent cx="7620" cy="762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-1341755</wp:posOffset>
            </wp:positionV>
            <wp:extent cx="7620" cy="762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-1327150</wp:posOffset>
            </wp:positionV>
            <wp:extent cx="7620" cy="2222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-1520190</wp:posOffset>
            </wp:positionV>
            <wp:extent cx="7620" cy="762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-1504950</wp:posOffset>
            </wp:positionV>
            <wp:extent cx="7620" cy="762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-1490345</wp:posOffset>
            </wp:positionV>
            <wp:extent cx="7620" cy="762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-1475740</wp:posOffset>
            </wp:positionV>
            <wp:extent cx="7620" cy="762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-1460500</wp:posOffset>
            </wp:positionV>
            <wp:extent cx="7620" cy="762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-1445895</wp:posOffset>
            </wp:positionV>
            <wp:extent cx="7620" cy="762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-1431290</wp:posOffset>
            </wp:positionV>
            <wp:extent cx="7620" cy="762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-1416050</wp:posOffset>
            </wp:positionV>
            <wp:extent cx="7620" cy="762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-1401445</wp:posOffset>
            </wp:positionV>
            <wp:extent cx="7620" cy="762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-1386205</wp:posOffset>
            </wp:positionV>
            <wp:extent cx="7620" cy="762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-1371600</wp:posOffset>
            </wp:positionV>
            <wp:extent cx="7620" cy="762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-1356995</wp:posOffset>
            </wp:positionV>
            <wp:extent cx="7620" cy="762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-1341755</wp:posOffset>
            </wp:positionV>
            <wp:extent cx="7620" cy="762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-1327150</wp:posOffset>
            </wp:positionV>
            <wp:extent cx="7620" cy="2222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-1742440</wp:posOffset>
            </wp:positionV>
            <wp:extent cx="7620" cy="762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-1727835</wp:posOffset>
            </wp:positionV>
            <wp:extent cx="7620" cy="762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-1712595</wp:posOffset>
            </wp:positionV>
            <wp:extent cx="7620" cy="762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-1697990</wp:posOffset>
            </wp:positionV>
            <wp:extent cx="7620" cy="762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-1683385</wp:posOffset>
            </wp:positionV>
            <wp:extent cx="7620" cy="762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-1668145</wp:posOffset>
            </wp:positionV>
            <wp:extent cx="7620" cy="762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-1653540</wp:posOffset>
            </wp:positionV>
            <wp:extent cx="7620" cy="762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-1638935</wp:posOffset>
            </wp:positionV>
            <wp:extent cx="7620" cy="762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-1623695</wp:posOffset>
            </wp:positionV>
            <wp:extent cx="7620" cy="762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-1609090</wp:posOffset>
            </wp:positionV>
            <wp:extent cx="7620" cy="762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-1594485</wp:posOffset>
            </wp:positionV>
            <wp:extent cx="7620" cy="762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-1579245</wp:posOffset>
            </wp:positionV>
            <wp:extent cx="7620" cy="762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-1564640</wp:posOffset>
            </wp:positionV>
            <wp:extent cx="7620" cy="762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-1549400</wp:posOffset>
            </wp:positionV>
            <wp:extent cx="7620" cy="2222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-1742440</wp:posOffset>
            </wp:positionV>
            <wp:extent cx="7620" cy="762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-1727835</wp:posOffset>
            </wp:positionV>
            <wp:extent cx="7620" cy="762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-1712595</wp:posOffset>
            </wp:positionV>
            <wp:extent cx="7620" cy="762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-1697990</wp:posOffset>
            </wp:positionV>
            <wp:extent cx="7620" cy="762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-1683385</wp:posOffset>
            </wp:positionV>
            <wp:extent cx="7620" cy="762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-1668145</wp:posOffset>
            </wp:positionV>
            <wp:extent cx="7620" cy="762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-1653540</wp:posOffset>
            </wp:positionV>
            <wp:extent cx="7620" cy="762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-1638935</wp:posOffset>
            </wp:positionV>
            <wp:extent cx="7620" cy="762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-1623695</wp:posOffset>
            </wp:positionV>
            <wp:extent cx="7620" cy="762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-1609090</wp:posOffset>
            </wp:positionV>
            <wp:extent cx="7620" cy="762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-1594485</wp:posOffset>
            </wp:positionV>
            <wp:extent cx="7620" cy="762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-1579245</wp:posOffset>
            </wp:positionV>
            <wp:extent cx="7620" cy="762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-1564640</wp:posOffset>
            </wp:positionV>
            <wp:extent cx="7620" cy="762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-1549400</wp:posOffset>
            </wp:positionV>
            <wp:extent cx="7620" cy="2222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-1742440</wp:posOffset>
            </wp:positionV>
            <wp:extent cx="7620" cy="762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-1727835</wp:posOffset>
            </wp:positionV>
            <wp:extent cx="7620" cy="762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-1712595</wp:posOffset>
            </wp:positionV>
            <wp:extent cx="7620" cy="762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-1697990</wp:posOffset>
            </wp:positionV>
            <wp:extent cx="7620" cy="762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-1683385</wp:posOffset>
            </wp:positionV>
            <wp:extent cx="7620" cy="762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-1668145</wp:posOffset>
            </wp:positionV>
            <wp:extent cx="7620" cy="762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-1653540</wp:posOffset>
            </wp:positionV>
            <wp:extent cx="7620" cy="762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-1638935</wp:posOffset>
            </wp:positionV>
            <wp:extent cx="7620" cy="762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-1623695</wp:posOffset>
            </wp:positionV>
            <wp:extent cx="7620" cy="762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-1609090</wp:posOffset>
            </wp:positionV>
            <wp:extent cx="7620" cy="762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-1594485</wp:posOffset>
            </wp:positionV>
            <wp:extent cx="7620" cy="762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-1579245</wp:posOffset>
            </wp:positionV>
            <wp:extent cx="7620" cy="762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-1564640</wp:posOffset>
            </wp:positionV>
            <wp:extent cx="7620" cy="762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-1549400</wp:posOffset>
            </wp:positionV>
            <wp:extent cx="7620" cy="2222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-3789680</wp:posOffset>
            </wp:positionV>
            <wp:extent cx="4940300" cy="203962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4940300" cy="2039620"/>
                    </a:xfrm>
                    <a:prstGeom prst="rect">
                      <a:avLst/>
                    </a:prstGeom>
                    <a:noFill/>
                  </pic:spPr>
                </pic:pic>
              </a:graphicData>
            </a:graphic>
          </wp:anchor>
        </w:drawing>
      </w:r>
    </w:p>
    <w:p>
      <w:pPr>
        <w:spacing w:after="0" w:line="147" w:lineRule="exact"/>
        <w:rPr>
          <w:sz w:val="20"/>
          <w:szCs w:val="20"/>
          <w:color w:val="auto"/>
        </w:rPr>
      </w:pPr>
    </w:p>
    <w:p>
      <w:pPr>
        <w:ind w:left="147" w:hanging="147"/>
        <w:spacing w:after="0" w:line="227" w:lineRule="auto"/>
        <w:tabs>
          <w:tab w:leader="none" w:pos="86" w:val="left"/>
        </w:tabs>
        <w:numPr>
          <w:ilvl w:val="0"/>
          <w:numId w:val="151"/>
        </w:numPr>
        <w:rPr>
          <w:rFonts w:ascii="Arial" w:cs="Arial" w:eastAsia="Arial" w:hAnsi="Arial"/>
          <w:sz w:val="16"/>
          <w:szCs w:val="16"/>
          <w:color w:val="auto"/>
          <w:vertAlign w:val="superscript"/>
        </w:rPr>
      </w:pPr>
      <w:r>
        <w:rPr>
          <w:rFonts w:ascii="Arial" w:cs="Arial" w:eastAsia="Arial" w:hAnsi="Arial"/>
          <w:sz w:val="12"/>
          <w:szCs w:val="12"/>
          <w:color w:val="auto"/>
        </w:rPr>
        <w:t>These columns show the threshold, target and maximum payouts for performance under the Bonus Plan. The Bonus Plan payouts range from 0 to 200 percent of target. The Bonus Plan payout for 2022 performance was 120 percent of target. Actual payouts are shown in the Summary Compensation Table in the column titled “Non-Equity Incentive Plan Compensation.”</w:t>
      </w:r>
    </w:p>
    <w:p>
      <w:pPr>
        <w:spacing w:after="0" w:line="34" w:lineRule="exact"/>
        <w:rPr>
          <w:sz w:val="20"/>
          <w:szCs w:val="20"/>
          <w:color w:val="auto"/>
        </w:rPr>
      </w:pPr>
    </w:p>
    <w:p>
      <w:pPr>
        <w:ind w:left="87" w:hanging="87"/>
        <w:spacing w:after="0"/>
        <w:tabs>
          <w:tab w:leader="none" w:pos="87" w:val="left"/>
        </w:tabs>
        <w:numPr>
          <w:ilvl w:val="0"/>
          <w:numId w:val="152"/>
        </w:numPr>
        <w:rPr>
          <w:rFonts w:ascii="Arial" w:cs="Arial" w:eastAsia="Arial" w:hAnsi="Arial"/>
          <w:sz w:val="8"/>
          <w:szCs w:val="8"/>
          <w:color w:val="auto"/>
        </w:rPr>
      </w:pPr>
      <w:r>
        <w:rPr>
          <w:rFonts w:ascii="Arial" w:cs="Arial" w:eastAsia="Arial" w:hAnsi="Arial"/>
          <w:sz w:val="12"/>
          <w:szCs w:val="12"/>
          <w:color w:val="auto"/>
        </w:rPr>
        <w:t>To assure grant timing is not manipulated for employee gain, the annual grant date is established in advance by the Talent and Compensation Committee.</w:t>
      </w:r>
    </w:p>
    <w:p>
      <w:pPr>
        <w:spacing w:after="0" w:line="41" w:lineRule="exact"/>
        <w:rPr>
          <w:sz w:val="20"/>
          <w:szCs w:val="20"/>
          <w:color w:val="auto"/>
        </w:rPr>
      </w:pPr>
    </w:p>
    <w:p>
      <w:pPr>
        <w:ind w:left="87" w:hanging="87"/>
        <w:spacing w:after="0"/>
        <w:tabs>
          <w:tab w:leader="none" w:pos="87" w:val="left"/>
        </w:tabs>
        <w:numPr>
          <w:ilvl w:val="0"/>
          <w:numId w:val="153"/>
        </w:numPr>
        <w:rPr>
          <w:rFonts w:ascii="Arial" w:cs="Arial" w:eastAsia="Arial" w:hAnsi="Arial"/>
          <w:sz w:val="16"/>
          <w:szCs w:val="16"/>
          <w:color w:val="auto"/>
          <w:vertAlign w:val="superscript"/>
        </w:rPr>
      </w:pPr>
      <w:r>
        <w:rPr>
          <w:rFonts w:ascii="Arial" w:cs="Arial" w:eastAsia="Arial" w:hAnsi="Arial"/>
          <w:sz w:val="12"/>
          <w:szCs w:val="12"/>
          <w:color w:val="auto"/>
        </w:rPr>
        <w:t>This row shows the possible payouts for the 2022-2024 performance awards ranging from 0 to 175 percent of target. This performance award will pay out in February 2025.</w:t>
      </w:r>
    </w:p>
    <w:p>
      <w:pPr>
        <w:spacing w:after="0" w:line="39" w:lineRule="exact"/>
        <w:rPr>
          <w:sz w:val="20"/>
          <w:szCs w:val="20"/>
          <w:color w:val="auto"/>
        </w:rPr>
      </w:pPr>
    </w:p>
    <w:p>
      <w:pPr>
        <w:ind w:left="147" w:right="80" w:hanging="147"/>
        <w:spacing w:after="0" w:line="232" w:lineRule="auto"/>
        <w:tabs>
          <w:tab w:leader="none" w:pos="86" w:val="left"/>
        </w:tabs>
        <w:numPr>
          <w:ilvl w:val="0"/>
          <w:numId w:val="154"/>
        </w:numPr>
        <w:rPr>
          <w:rFonts w:ascii="Arial" w:cs="Arial" w:eastAsia="Arial" w:hAnsi="Arial"/>
          <w:sz w:val="16"/>
          <w:szCs w:val="16"/>
          <w:color w:val="auto"/>
          <w:vertAlign w:val="superscript"/>
        </w:rPr>
      </w:pPr>
      <w:r>
        <w:rPr>
          <w:rFonts w:ascii="Arial" w:cs="Arial" w:eastAsia="Arial" w:hAnsi="Arial"/>
          <w:sz w:val="12"/>
          <w:szCs w:val="12"/>
          <w:color w:val="auto"/>
        </w:rPr>
        <w:t>This row shows the range of payouts for the 2022-2024 shareholder value awards. This shareholder value award will pay out in February 2025, with payouts ranging from 0 to 175 percent of target. We measure the fair value of the shareholder value award on the grant date using a Monte Carlo simulation model.</w:t>
      </w:r>
    </w:p>
    <w:p>
      <w:pPr>
        <w:spacing w:after="0" w:line="23" w:lineRule="exact"/>
        <w:rPr>
          <w:sz w:val="20"/>
          <w:szCs w:val="20"/>
          <w:color w:val="auto"/>
        </w:rPr>
      </w:pPr>
    </w:p>
    <w:p>
      <w:pPr>
        <w:ind w:left="147" w:right="80" w:hanging="147"/>
        <w:spacing w:after="0" w:line="310" w:lineRule="auto"/>
        <w:tabs>
          <w:tab w:leader="none" w:pos="86" w:val="left"/>
        </w:tabs>
        <w:numPr>
          <w:ilvl w:val="0"/>
          <w:numId w:val="155"/>
        </w:numPr>
        <w:rPr>
          <w:rFonts w:ascii="Arial" w:cs="Arial" w:eastAsia="Arial" w:hAnsi="Arial"/>
          <w:sz w:val="8"/>
          <w:szCs w:val="8"/>
          <w:color w:val="auto"/>
        </w:rPr>
      </w:pPr>
      <w:r>
        <w:rPr>
          <w:rFonts w:ascii="Arial" w:cs="Arial" w:eastAsia="Arial" w:hAnsi="Arial"/>
          <w:sz w:val="12"/>
          <w:szCs w:val="12"/>
          <w:color w:val="auto"/>
        </w:rPr>
        <w:t>This row shows the range of payouts for the 2022-2024 relative value awards. This relative value award will pay out in February 2025, with payouts ranging from 0 to 175 percent of target. We measure the fair value of the relative value award on the grant date using a Monte Carlo simulation model.</w:t>
      </w:r>
    </w:p>
    <w:p>
      <w:pPr>
        <w:spacing w:after="0" w:line="340" w:lineRule="exact"/>
        <w:rPr>
          <w:sz w:val="20"/>
          <w:szCs w:val="20"/>
          <w:color w:val="auto"/>
        </w:rPr>
      </w:pPr>
    </w:p>
    <w:p>
      <w:pPr>
        <w:jc w:val="center"/>
        <w:ind w:right="-106"/>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7"/>
          </w:cols>
          <w:pgMar w:left="313" w:top="930" w:right="419" w:bottom="1440" w:gutter="0" w:footer="0" w:header="0"/>
        </w:sectPr>
      </w:pPr>
    </w:p>
    <w:bookmarkStart w:id="76" w:name="page77"/>
    <w:bookmarkEnd w:id="76"/>
    <w:p>
      <w:pPr>
        <w:ind w:left="7"/>
        <w:spacing w:after="0"/>
        <w:rPr>
          <w:sz w:val="20"/>
          <w:szCs w:val="20"/>
          <w:color w:val="auto"/>
        </w:rPr>
      </w:pPr>
      <w:r>
        <w:rPr>
          <w:rFonts w:ascii="Arial" w:cs="Arial" w:eastAsia="Arial" w:hAnsi="Arial"/>
          <w:sz w:val="22"/>
          <w:szCs w:val="22"/>
          <w:b w:val="1"/>
          <w:bCs w:val="1"/>
          <w:color w:val="00A1DE"/>
        </w:rPr>
        <w:t>Outstanding Equity Awards on December 31, 2022</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2022 closing stock price used to calculate the values in the table below was $365.84.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114935</wp:posOffset>
            </wp:positionV>
            <wp:extent cx="3181985" cy="762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3181985" cy="7620"/>
                    </a:xfrm>
                    <a:prstGeom prst="rect">
                      <a:avLst/>
                    </a:prstGeom>
                    <a:noFill/>
                  </pic:spPr>
                </pic:pic>
              </a:graphicData>
            </a:graphic>
          </wp:anchor>
        </w:drawing>
      </w:r>
    </w:p>
    <w:p>
      <w:pPr>
        <w:spacing w:after="0" w:line="228"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1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color w:val="auto"/>
              </w:rPr>
              <w:t>Stock Awards</w:t>
            </w: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9"/>
              </w:rPr>
              <w:t>Number of Shares</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Market Value of</w:t>
            </w:r>
          </w:p>
        </w:tc>
        <w:tc>
          <w:tcPr>
            <w:tcW w:w="14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7"/>
              </w:rPr>
              <w:t>Equity Incentive Plan</w:t>
            </w: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97"/>
              </w:rPr>
              <w:t>Equity Incentive Plan</w:t>
            </w: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Awards: Market or Payout</w:t>
            </w:r>
          </w:p>
        </w:tc>
        <w:tc>
          <w:tcPr>
            <w:tcW w:w="0" w:type="dxa"/>
            <w:vAlign w:val="bottom"/>
          </w:tcPr>
          <w:p>
            <w:pPr>
              <w:spacing w:after="0"/>
              <w:rPr>
                <w:sz w:val="1"/>
                <w:szCs w:val="1"/>
                <w:color w:val="auto"/>
              </w:rPr>
            </w:pPr>
          </w:p>
        </w:tc>
      </w:tr>
      <w:tr>
        <w:trPr>
          <w:trHeight w:val="70"/>
        </w:trPr>
        <w:tc>
          <w:tcPr>
            <w:tcW w:w="1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9"/>
              </w:rPr>
              <w:t>or Units of Stock</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Shares or Units of</w:t>
            </w:r>
          </w:p>
        </w:tc>
        <w:tc>
          <w:tcPr>
            <w:tcW w:w="1480" w:type="dxa"/>
            <w:vAlign w:val="bottom"/>
            <w:gridSpan w:val="2"/>
          </w:tcPr>
          <w:p>
            <w:pPr>
              <w:jc w:val="center"/>
              <w:spacing w:after="0" w:line="70" w:lineRule="exact"/>
              <w:rPr>
                <w:sz w:val="20"/>
                <w:szCs w:val="20"/>
                <w:color w:val="auto"/>
              </w:rPr>
            </w:pPr>
            <w:r>
              <w:rPr>
                <w:rFonts w:ascii="Arial" w:cs="Arial" w:eastAsia="Arial" w:hAnsi="Arial"/>
                <w:sz w:val="8"/>
                <w:szCs w:val="8"/>
                <w:b w:val="1"/>
                <w:bCs w:val="1"/>
                <w:color w:val="auto"/>
              </w:rPr>
              <w:t>Awards: Number of</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Value of Unearned Shares,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9"/>
              </w:rPr>
              <w:t>Unearned Shares, Units, or</w:t>
            </w: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vMerge w:val="restart"/>
          </w:tcPr>
          <w:p>
            <w:pPr>
              <w:ind w:left="40"/>
              <w:spacing w:after="0"/>
              <w:rPr>
                <w:sz w:val="20"/>
                <w:szCs w:val="20"/>
                <w:color w:val="auto"/>
              </w:rPr>
            </w:pPr>
            <w:r>
              <w:rPr>
                <w:rFonts w:ascii="Arial" w:cs="Arial" w:eastAsia="Arial" w:hAnsi="Arial"/>
                <w:sz w:val="11"/>
                <w:szCs w:val="11"/>
                <w:color w:val="auto"/>
              </w:rPr>
              <w:t>Name</w:t>
            </w:r>
          </w:p>
        </w:tc>
        <w:tc>
          <w:tcPr>
            <w:tcW w:w="120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Award</w:t>
            </w:r>
          </w:p>
        </w:tc>
        <w:tc>
          <w:tcPr>
            <w:tcW w:w="200" w:type="dxa"/>
            <w:vAlign w:val="bottom"/>
          </w:tcPr>
          <w:p>
            <w:pPr>
              <w:spacing w:after="0"/>
              <w:rPr>
                <w:sz w:val="9"/>
                <w:szCs w:val="9"/>
                <w:color w:val="auto"/>
              </w:rPr>
            </w:pPr>
          </w:p>
        </w:tc>
        <w:tc>
          <w:tcPr>
            <w:tcW w:w="10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9"/>
              </w:rPr>
              <w:t>That Have Not</w:t>
            </w:r>
          </w:p>
        </w:tc>
        <w:tc>
          <w:tcPr>
            <w:tcW w:w="100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8"/>
              </w:rPr>
              <w:t>Stock That Have</w:t>
            </w:r>
          </w:p>
        </w:tc>
        <w:tc>
          <w:tcPr>
            <w:tcW w:w="14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rPr>
              <w:t>Other Rights That Have Not</w:t>
            </w:r>
          </w:p>
        </w:tc>
        <w:tc>
          <w:tcPr>
            <w:tcW w:w="14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9"/>
              </w:rPr>
              <w:t>Units, or Other Rights That</w:t>
            </w:r>
          </w:p>
        </w:tc>
        <w:tc>
          <w:tcPr>
            <w:tcW w:w="0" w:type="dxa"/>
            <w:vAlign w:val="bottom"/>
          </w:tcPr>
          <w:p>
            <w:pPr>
              <w:spacing w:after="0"/>
              <w:rPr>
                <w:sz w:val="1"/>
                <w:szCs w:val="1"/>
                <w:color w:val="auto"/>
              </w:rPr>
            </w:pPr>
          </w:p>
        </w:tc>
      </w:tr>
      <w:tr>
        <w:trPr>
          <w:trHeight w:val="160"/>
        </w:trPr>
        <w:tc>
          <w:tcPr>
            <w:tcW w:w="144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left="221"/>
              <w:spacing w:after="0"/>
              <w:rPr>
                <w:sz w:val="20"/>
                <w:szCs w:val="20"/>
                <w:color w:val="auto"/>
              </w:rPr>
            </w:pPr>
            <w:r>
              <w:rPr>
                <w:rFonts w:ascii="Arial" w:cs="Arial" w:eastAsia="Arial" w:hAnsi="Arial"/>
                <w:sz w:val="11"/>
                <w:szCs w:val="11"/>
                <w:b w:val="1"/>
                <w:bCs w:val="1"/>
                <w:color w:val="auto"/>
                <w:w w:val="98"/>
              </w:rPr>
              <w:t>Vested (#)</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Not Vested ($)</w:t>
            </w:r>
          </w:p>
        </w:tc>
        <w:tc>
          <w:tcPr>
            <w:tcW w:w="1200" w:type="dxa"/>
            <w:vAlign w:val="bottom"/>
            <w:tcBorders>
              <w:bottom w:val="single" w:sz="8" w:color="auto"/>
            </w:tcBorders>
          </w:tcPr>
          <w:p>
            <w:pPr>
              <w:jc w:val="center"/>
              <w:ind w:left="220"/>
              <w:spacing w:after="0"/>
              <w:rPr>
                <w:sz w:val="20"/>
                <w:szCs w:val="20"/>
                <w:color w:val="auto"/>
              </w:rPr>
            </w:pPr>
            <w:r>
              <w:rPr>
                <w:rFonts w:ascii="Arial" w:cs="Arial" w:eastAsia="Arial" w:hAnsi="Arial"/>
                <w:sz w:val="11"/>
                <w:szCs w:val="11"/>
                <w:b w:val="1"/>
                <w:bCs w:val="1"/>
                <w:color w:val="auto"/>
                <w:w w:val="98"/>
              </w:rPr>
              <w:t>Vested (#)</w:t>
            </w: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Have Not Vested ($)</w:t>
            </w:r>
          </w:p>
        </w:tc>
        <w:tc>
          <w:tcPr>
            <w:tcW w:w="0" w:type="dxa"/>
            <w:vAlign w:val="bottom"/>
          </w:tcPr>
          <w:p>
            <w:pPr>
              <w:spacing w:after="0"/>
              <w:rPr>
                <w:sz w:val="1"/>
                <w:szCs w:val="1"/>
                <w:color w:val="auto"/>
              </w:rPr>
            </w:pPr>
          </w:p>
        </w:tc>
      </w:tr>
      <w:tr>
        <w:trPr>
          <w:trHeight w:val="182"/>
        </w:trPr>
        <w:tc>
          <w:tcPr>
            <w:tcW w:w="144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SVA</w:t>
            </w:r>
          </w:p>
        </w:tc>
        <w:tc>
          <w:tcPr>
            <w:tcW w:w="20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56,651</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1</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$20,725,202</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SVA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39,447</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2</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$14,431,290</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43,274</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3</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$15,831,360</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29,908</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4</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$10,941,543</w:t>
            </w:r>
          </w:p>
        </w:tc>
        <w:tc>
          <w:tcPr>
            <w:tcW w:w="0" w:type="dxa"/>
            <w:vAlign w:val="bottom"/>
          </w:tcPr>
          <w:p>
            <w:pPr>
              <w:spacing w:after="0"/>
              <w:rPr>
                <w:sz w:val="1"/>
                <w:szCs w:val="1"/>
                <w:color w:val="auto"/>
              </w:rPr>
            </w:pPr>
          </w:p>
        </w:tc>
      </w:tr>
      <w:tr>
        <w:trPr>
          <w:trHeight w:val="226"/>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PA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vMerge w:val="restart"/>
            <w:shd w:val="clear" w:color="auto" w:fill="F2F2F2"/>
          </w:tcPr>
          <w:p>
            <w:pPr>
              <w:jc w:val="right"/>
              <w:ind w:right="215"/>
              <w:spacing w:after="0"/>
              <w:rPr>
                <w:sz w:val="20"/>
                <w:szCs w:val="20"/>
                <w:color w:val="auto"/>
              </w:rPr>
            </w:pPr>
            <w:r>
              <w:rPr>
                <w:rFonts w:ascii="Arial" w:cs="Arial" w:eastAsia="Arial" w:hAnsi="Arial"/>
                <w:sz w:val="5"/>
                <w:szCs w:val="5"/>
                <w:color w:val="auto"/>
                <w:w w:val="70"/>
              </w:rPr>
              <w:t>6</w:t>
            </w: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36,314</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5</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$13,285,114</w:t>
            </w:r>
          </w:p>
        </w:tc>
        <w:tc>
          <w:tcPr>
            <w:tcW w:w="0" w:type="dxa"/>
            <w:vAlign w:val="bottom"/>
          </w:tcPr>
          <w:p>
            <w:pPr>
              <w:spacing w:after="0"/>
              <w:rPr>
                <w:sz w:val="1"/>
                <w:szCs w:val="1"/>
                <w:color w:val="auto"/>
              </w:rPr>
            </w:pPr>
          </w:p>
        </w:tc>
      </w:tr>
      <w:tr>
        <w:trPr>
          <w:trHeight w:val="218"/>
        </w:trPr>
        <w:tc>
          <w:tcPr>
            <w:tcW w:w="1440" w:type="dxa"/>
            <w:vAlign w:val="bottom"/>
            <w:shd w:val="clear" w:color="auto" w:fill="F2F2F2"/>
          </w:tcPr>
          <w:p>
            <w:pPr>
              <w:spacing w:after="0"/>
              <w:rPr>
                <w:sz w:val="18"/>
                <w:szCs w:val="18"/>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PA</w:t>
            </w:r>
          </w:p>
        </w:tc>
        <w:tc>
          <w:tcPr>
            <w:tcW w:w="200" w:type="dxa"/>
            <w:vAlign w:val="bottom"/>
            <w:shd w:val="clear" w:color="auto" w:fill="F2F2F2"/>
          </w:tcPr>
          <w:p>
            <w:pPr>
              <w:spacing w:after="0"/>
              <w:rPr>
                <w:sz w:val="18"/>
                <w:szCs w:val="18"/>
                <w:color w:val="auto"/>
              </w:rPr>
            </w:pPr>
          </w:p>
        </w:tc>
        <w:tc>
          <w:tcPr>
            <w:tcW w:w="8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29,611</w:t>
            </w:r>
          </w:p>
        </w:tc>
        <w:tc>
          <w:tcPr>
            <w:tcW w:w="280" w:type="dxa"/>
            <w:vAlign w:val="bottom"/>
            <w:vMerge w:val="continue"/>
            <w:shd w:val="clear" w:color="auto" w:fill="F2F2F2"/>
          </w:tcPr>
          <w:p>
            <w:pPr>
              <w:spacing w:after="0"/>
              <w:rPr>
                <w:sz w:val="18"/>
                <w:szCs w:val="18"/>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$10,832,888</w:t>
            </w:r>
          </w:p>
        </w:tc>
        <w:tc>
          <w:tcPr>
            <w:tcW w:w="120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4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40" w:type="dxa"/>
            <w:vAlign w:val="bottom"/>
            <w:tcBorders>
              <w:bottom w:val="single" w:sz="8" w:color="F2F2F2"/>
            </w:tcBorders>
            <w:shd w:val="clear" w:color="auto" w:fill="F2F2F2"/>
          </w:tcPr>
          <w:p>
            <w:pPr>
              <w:spacing w:after="0"/>
              <w:rPr>
                <w:sz w:val="19"/>
                <w:szCs w:val="19"/>
                <w:color w:val="auto"/>
              </w:rPr>
            </w:pPr>
          </w:p>
        </w:tc>
        <w:tc>
          <w:tcPr>
            <w:tcW w:w="12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2"/>
                <w:szCs w:val="12"/>
                <w:color w:val="auto"/>
              </w:rPr>
              <w:t>2020-2022 PA</w:t>
            </w:r>
          </w:p>
        </w:tc>
        <w:tc>
          <w:tcPr>
            <w:tcW w:w="200" w:type="dxa"/>
            <w:vAlign w:val="bottom"/>
            <w:tcBorders>
              <w:bottom w:val="single" w:sz="8" w:color="F2F2F2"/>
            </w:tcBorders>
            <w:shd w:val="clear" w:color="auto" w:fill="F2F2F2"/>
          </w:tcPr>
          <w:p>
            <w:pPr>
              <w:spacing w:after="0"/>
              <w:rPr>
                <w:sz w:val="19"/>
                <w:szCs w:val="19"/>
                <w:color w:val="auto"/>
              </w:rPr>
            </w:pPr>
          </w:p>
        </w:tc>
        <w:tc>
          <w:tcPr>
            <w:tcW w:w="8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47,786</w:t>
            </w:r>
          </w:p>
        </w:tc>
        <w:tc>
          <w:tcPr>
            <w:tcW w:w="280" w:type="dxa"/>
            <w:vAlign w:val="bottom"/>
            <w:tcBorders>
              <w:bottom w:val="single" w:sz="8" w:color="F2F2F2"/>
            </w:tcBorders>
            <w:shd w:val="clear" w:color="auto" w:fill="F2F2F2"/>
          </w:tcPr>
          <w:p>
            <w:pPr>
              <w:jc w:val="right"/>
              <w:ind w:right="215"/>
              <w:spacing w:after="0"/>
              <w:rPr>
                <w:sz w:val="20"/>
                <w:szCs w:val="20"/>
                <w:color w:val="auto"/>
              </w:rPr>
            </w:pPr>
            <w:r>
              <w:rPr>
                <w:rFonts w:ascii="Arial" w:cs="Arial" w:eastAsia="Arial" w:hAnsi="Arial"/>
                <w:sz w:val="5"/>
                <w:szCs w:val="5"/>
                <w:color w:val="auto"/>
                <w:w w:val="70"/>
              </w:rPr>
              <w:t>7</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$17,482,030</w:t>
            </w:r>
          </w:p>
        </w:tc>
        <w:tc>
          <w:tcPr>
            <w:tcW w:w="1200" w:type="dxa"/>
            <w:vAlign w:val="bottom"/>
            <w:tcBorders>
              <w:bottom w:val="single" w:sz="8" w:color="F2F2F2"/>
            </w:tcBorders>
            <w:shd w:val="clear" w:color="auto" w:fill="F2F2F2"/>
          </w:tcPr>
          <w:p>
            <w:pPr>
              <w:spacing w:after="0"/>
              <w:rPr>
                <w:sz w:val="19"/>
                <w:szCs w:val="19"/>
                <w:color w:val="auto"/>
              </w:rPr>
            </w:pPr>
          </w:p>
        </w:tc>
        <w:tc>
          <w:tcPr>
            <w:tcW w:w="280" w:type="dxa"/>
            <w:vAlign w:val="bottom"/>
            <w:tcBorders>
              <w:bottom w:val="single" w:sz="8" w:color="F2F2F2"/>
            </w:tcBorders>
            <w:shd w:val="clear" w:color="auto" w:fill="F2F2F2"/>
          </w:tcPr>
          <w:p>
            <w:pPr>
              <w:spacing w:after="0"/>
              <w:rPr>
                <w:sz w:val="19"/>
                <w:szCs w:val="19"/>
                <w:color w:val="auto"/>
              </w:rPr>
            </w:pPr>
          </w:p>
        </w:tc>
        <w:tc>
          <w:tcPr>
            <w:tcW w:w="144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20"/>
                <w:szCs w:val="20"/>
                <w:color w:val="auto"/>
              </w:rPr>
            </w:pPr>
            <w:r>
              <w:rPr>
                <w:rFonts w:ascii="Arial" w:cs="Arial" w:eastAsia="Arial" w:hAnsi="Arial"/>
                <w:sz w:val="12"/>
                <w:szCs w:val="12"/>
                <w:color w:val="auto"/>
              </w:rPr>
              <w:t>Ms. Ashkenazi</w:t>
            </w:r>
          </w:p>
        </w:tc>
        <w:tc>
          <w:tcPr>
            <w:tcW w:w="1200" w:type="dxa"/>
            <w:vAlign w:val="bottom"/>
          </w:tcPr>
          <w:p>
            <w:pPr>
              <w:ind w:left="80"/>
              <w:spacing w:after="0"/>
              <w:rPr>
                <w:sz w:val="20"/>
                <w:szCs w:val="20"/>
                <w:color w:val="auto"/>
              </w:rPr>
            </w:pPr>
            <w:r>
              <w:rPr>
                <w:rFonts w:ascii="Arial" w:cs="Arial" w:eastAsia="Arial" w:hAnsi="Arial"/>
                <w:sz w:val="12"/>
                <w:szCs w:val="12"/>
                <w:color w:val="auto"/>
              </w:rPr>
              <w:t>2022-2024 SVA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10,458</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1</w:t>
            </w:r>
          </w:p>
        </w:tc>
        <w:tc>
          <w:tcPr>
            <w:tcW w:w="1440" w:type="dxa"/>
            <w:vAlign w:val="bottom"/>
          </w:tcPr>
          <w:p>
            <w:pPr>
              <w:jc w:val="right"/>
              <w:spacing w:after="0"/>
              <w:rPr>
                <w:sz w:val="20"/>
                <w:szCs w:val="20"/>
                <w:color w:val="auto"/>
              </w:rPr>
            </w:pPr>
            <w:r>
              <w:rPr>
                <w:rFonts w:ascii="Arial" w:cs="Arial" w:eastAsia="Arial" w:hAnsi="Arial"/>
                <w:sz w:val="12"/>
                <w:szCs w:val="12"/>
                <w:color w:val="auto"/>
              </w:rPr>
              <w:t>$3,825,955</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2021-2023 SVA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4,114</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2</w:t>
            </w:r>
          </w:p>
        </w:tc>
        <w:tc>
          <w:tcPr>
            <w:tcW w:w="1440" w:type="dxa"/>
            <w:vAlign w:val="bottom"/>
          </w:tcPr>
          <w:p>
            <w:pPr>
              <w:jc w:val="right"/>
              <w:spacing w:after="0"/>
              <w:rPr>
                <w:sz w:val="20"/>
                <w:szCs w:val="20"/>
                <w:color w:val="auto"/>
              </w:rPr>
            </w:pPr>
            <w:r>
              <w:rPr>
                <w:rFonts w:ascii="Arial" w:cs="Arial" w:eastAsia="Arial" w:hAnsi="Arial"/>
                <w:sz w:val="12"/>
                <w:szCs w:val="12"/>
                <w:color w:val="auto"/>
              </w:rPr>
              <w:t>$1,505,066</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2022-2024 RVA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7,989</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3</w:t>
            </w:r>
          </w:p>
        </w:tc>
        <w:tc>
          <w:tcPr>
            <w:tcW w:w="1440" w:type="dxa"/>
            <w:vAlign w:val="bottom"/>
          </w:tcPr>
          <w:p>
            <w:pPr>
              <w:jc w:val="right"/>
              <w:spacing w:after="0"/>
              <w:rPr>
                <w:sz w:val="20"/>
                <w:szCs w:val="20"/>
                <w:color w:val="auto"/>
              </w:rPr>
            </w:pPr>
            <w:r>
              <w:rPr>
                <w:rFonts w:ascii="Arial" w:cs="Arial" w:eastAsia="Arial" w:hAnsi="Arial"/>
                <w:sz w:val="12"/>
                <w:szCs w:val="12"/>
                <w:color w:val="auto"/>
              </w:rPr>
              <w:t>$2,922,696</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2021-2023 RVA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3,357</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4</w:t>
            </w:r>
          </w:p>
        </w:tc>
        <w:tc>
          <w:tcPr>
            <w:tcW w:w="1440" w:type="dxa"/>
            <w:vAlign w:val="bottom"/>
          </w:tcPr>
          <w:p>
            <w:pPr>
              <w:jc w:val="right"/>
              <w:spacing w:after="0"/>
              <w:rPr>
                <w:sz w:val="20"/>
                <w:szCs w:val="20"/>
                <w:color w:val="auto"/>
              </w:rPr>
            </w:pPr>
            <w:r>
              <w:rPr>
                <w:rFonts w:ascii="Arial" w:cs="Arial" w:eastAsia="Arial" w:hAnsi="Arial"/>
                <w:sz w:val="12"/>
                <w:szCs w:val="12"/>
                <w:color w:val="auto"/>
              </w:rPr>
              <w:t>$1,228,125</w:t>
            </w: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2022-2024 PA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vMerge w:val="restart"/>
          </w:tcPr>
          <w:p>
            <w:pPr>
              <w:jc w:val="right"/>
              <w:ind w:right="215"/>
              <w:spacing w:after="0"/>
              <w:rPr>
                <w:sz w:val="20"/>
                <w:szCs w:val="20"/>
                <w:color w:val="auto"/>
              </w:rPr>
            </w:pPr>
            <w:r>
              <w:rPr>
                <w:rFonts w:ascii="Arial" w:cs="Arial" w:eastAsia="Arial" w:hAnsi="Arial"/>
                <w:sz w:val="5"/>
                <w:szCs w:val="5"/>
                <w:color w:val="auto"/>
                <w:w w:val="70"/>
              </w:rPr>
              <w:t>8</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6,704</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5</w:t>
            </w:r>
          </w:p>
        </w:tc>
        <w:tc>
          <w:tcPr>
            <w:tcW w:w="1440" w:type="dxa"/>
            <w:vAlign w:val="bottom"/>
          </w:tcPr>
          <w:p>
            <w:pPr>
              <w:jc w:val="right"/>
              <w:spacing w:after="0"/>
              <w:rPr>
                <w:sz w:val="20"/>
                <w:szCs w:val="20"/>
                <w:color w:val="auto"/>
              </w:rPr>
            </w:pPr>
            <w:r>
              <w:rPr>
                <w:rFonts w:ascii="Arial" w:cs="Arial" w:eastAsia="Arial" w:hAnsi="Arial"/>
                <w:sz w:val="12"/>
                <w:szCs w:val="12"/>
                <w:color w:val="auto"/>
              </w:rPr>
              <w:t>$2,452,591</w:t>
            </w: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RSU</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11,499</w:t>
            </w:r>
          </w:p>
        </w:tc>
        <w:tc>
          <w:tcPr>
            <w:tcW w:w="28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$4,206,794</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44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SVA</w:t>
            </w:r>
          </w:p>
        </w:tc>
        <w:tc>
          <w:tcPr>
            <w:tcW w:w="200" w:type="dxa"/>
            <w:vAlign w:val="bottom"/>
            <w:shd w:val="clear" w:color="auto" w:fill="F2F2F2"/>
          </w:tcPr>
          <w:p>
            <w:pPr>
              <w:spacing w:after="0"/>
              <w:rPr>
                <w:sz w:val="18"/>
                <w:szCs w:val="18"/>
                <w:color w:val="auto"/>
              </w:rPr>
            </w:pPr>
          </w:p>
        </w:tc>
        <w:tc>
          <w:tcPr>
            <w:tcW w:w="80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000" w:type="dxa"/>
            <w:vAlign w:val="bottom"/>
            <w:shd w:val="clear" w:color="auto" w:fill="F2F2F2"/>
          </w:tcPr>
          <w:p>
            <w:pPr>
              <w:spacing w:after="0"/>
              <w:rPr>
                <w:sz w:val="18"/>
                <w:szCs w:val="18"/>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19,175</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1</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$7,014,982</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SVA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13,242</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2</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$4,844,453</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14,648</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3</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$7,014,982</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10,042</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4</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$3,673,765</w:t>
            </w:r>
          </w:p>
        </w:tc>
        <w:tc>
          <w:tcPr>
            <w:tcW w:w="0" w:type="dxa"/>
            <w:vAlign w:val="bottom"/>
          </w:tcPr>
          <w:p>
            <w:pPr>
              <w:spacing w:after="0"/>
              <w:rPr>
                <w:sz w:val="1"/>
                <w:szCs w:val="1"/>
                <w:color w:val="auto"/>
              </w:rPr>
            </w:pPr>
          </w:p>
        </w:tc>
      </w:tr>
      <w:tr>
        <w:trPr>
          <w:trHeight w:val="226"/>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PA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vMerge w:val="restart"/>
            <w:shd w:val="clear" w:color="auto" w:fill="F2F2F2"/>
          </w:tcPr>
          <w:p>
            <w:pPr>
              <w:jc w:val="right"/>
              <w:ind w:right="215"/>
              <w:spacing w:after="0"/>
              <w:rPr>
                <w:sz w:val="20"/>
                <w:szCs w:val="20"/>
                <w:color w:val="auto"/>
              </w:rPr>
            </w:pPr>
            <w:r>
              <w:rPr>
                <w:rFonts w:ascii="Arial" w:cs="Arial" w:eastAsia="Arial" w:hAnsi="Arial"/>
                <w:sz w:val="5"/>
                <w:szCs w:val="5"/>
                <w:color w:val="auto"/>
                <w:w w:val="70"/>
              </w:rPr>
              <w:t>6</w:t>
            </w: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12,290</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5</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$4,496,174</w:t>
            </w:r>
          </w:p>
        </w:tc>
        <w:tc>
          <w:tcPr>
            <w:tcW w:w="0" w:type="dxa"/>
            <w:vAlign w:val="bottom"/>
          </w:tcPr>
          <w:p>
            <w:pPr>
              <w:spacing w:after="0"/>
              <w:rPr>
                <w:sz w:val="1"/>
                <w:szCs w:val="1"/>
                <w:color w:val="auto"/>
              </w:rPr>
            </w:pPr>
          </w:p>
        </w:tc>
      </w:tr>
      <w:tr>
        <w:trPr>
          <w:trHeight w:val="218"/>
        </w:trPr>
        <w:tc>
          <w:tcPr>
            <w:tcW w:w="1440" w:type="dxa"/>
            <w:vAlign w:val="bottom"/>
            <w:shd w:val="clear" w:color="auto" w:fill="F2F2F2"/>
          </w:tcPr>
          <w:p>
            <w:pPr>
              <w:spacing w:after="0"/>
              <w:rPr>
                <w:sz w:val="18"/>
                <w:szCs w:val="18"/>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PA</w:t>
            </w:r>
          </w:p>
        </w:tc>
        <w:tc>
          <w:tcPr>
            <w:tcW w:w="200" w:type="dxa"/>
            <w:vAlign w:val="bottom"/>
            <w:shd w:val="clear" w:color="auto" w:fill="F2F2F2"/>
          </w:tcPr>
          <w:p>
            <w:pPr>
              <w:spacing w:after="0"/>
              <w:rPr>
                <w:sz w:val="18"/>
                <w:szCs w:val="18"/>
                <w:color w:val="auto"/>
              </w:rPr>
            </w:pPr>
          </w:p>
        </w:tc>
        <w:tc>
          <w:tcPr>
            <w:tcW w:w="8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9,941</w:t>
            </w:r>
          </w:p>
        </w:tc>
        <w:tc>
          <w:tcPr>
            <w:tcW w:w="280" w:type="dxa"/>
            <w:vAlign w:val="bottom"/>
            <w:vMerge w:val="continue"/>
            <w:shd w:val="clear" w:color="auto" w:fill="F2F2F2"/>
          </w:tcPr>
          <w:p>
            <w:pPr>
              <w:spacing w:after="0"/>
              <w:rPr>
                <w:sz w:val="18"/>
                <w:szCs w:val="18"/>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$3,636,815</w:t>
            </w:r>
          </w:p>
        </w:tc>
        <w:tc>
          <w:tcPr>
            <w:tcW w:w="120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4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40" w:type="dxa"/>
            <w:vAlign w:val="bottom"/>
            <w:shd w:val="clear" w:color="auto" w:fill="F2F2F2"/>
          </w:tcPr>
          <w:p>
            <w:pPr>
              <w:spacing w:after="0"/>
              <w:rPr>
                <w:sz w:val="21"/>
                <w:szCs w:val="21"/>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2020-2022 PA</w:t>
            </w:r>
          </w:p>
        </w:tc>
        <w:tc>
          <w:tcPr>
            <w:tcW w:w="200" w:type="dxa"/>
            <w:vAlign w:val="bottom"/>
            <w:shd w:val="clear" w:color="auto" w:fill="F2F2F2"/>
          </w:tcPr>
          <w:p>
            <w:pPr>
              <w:spacing w:after="0"/>
              <w:rPr>
                <w:sz w:val="21"/>
                <w:szCs w:val="21"/>
                <w:color w:val="auto"/>
              </w:rPr>
            </w:pPr>
          </w:p>
        </w:tc>
        <w:tc>
          <w:tcPr>
            <w:tcW w:w="8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15,675</w:t>
            </w:r>
          </w:p>
        </w:tc>
        <w:tc>
          <w:tcPr>
            <w:tcW w:w="280" w:type="dxa"/>
            <w:vAlign w:val="bottom"/>
            <w:shd w:val="clear" w:color="auto" w:fill="F2F2F2"/>
          </w:tcPr>
          <w:p>
            <w:pPr>
              <w:jc w:val="right"/>
              <w:ind w:right="215"/>
              <w:spacing w:after="0"/>
              <w:rPr>
                <w:sz w:val="20"/>
                <w:szCs w:val="20"/>
                <w:color w:val="auto"/>
              </w:rPr>
            </w:pPr>
            <w:r>
              <w:rPr>
                <w:rFonts w:ascii="Arial" w:cs="Arial" w:eastAsia="Arial" w:hAnsi="Arial"/>
                <w:sz w:val="5"/>
                <w:szCs w:val="5"/>
                <w:color w:val="auto"/>
                <w:w w:val="70"/>
              </w:rPr>
              <w:t>7</w:t>
            </w:r>
          </w:p>
        </w:tc>
        <w:tc>
          <w:tcPr>
            <w:tcW w:w="10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$5,734,542</w:t>
            </w:r>
          </w:p>
        </w:tc>
        <w:tc>
          <w:tcPr>
            <w:tcW w:w="1200" w:type="dxa"/>
            <w:vAlign w:val="bottom"/>
            <w:shd w:val="clear" w:color="auto" w:fill="F2F2F2"/>
          </w:tcPr>
          <w:p>
            <w:pPr>
              <w:spacing w:after="0"/>
              <w:rPr>
                <w:sz w:val="21"/>
                <w:szCs w:val="21"/>
                <w:color w:val="auto"/>
              </w:rPr>
            </w:pPr>
          </w:p>
        </w:tc>
        <w:tc>
          <w:tcPr>
            <w:tcW w:w="280" w:type="dxa"/>
            <w:vAlign w:val="bottom"/>
            <w:shd w:val="clear" w:color="auto" w:fill="F2F2F2"/>
          </w:tcPr>
          <w:p>
            <w:pPr>
              <w:spacing w:after="0"/>
              <w:rPr>
                <w:sz w:val="21"/>
                <w:szCs w:val="21"/>
                <w:color w:val="auto"/>
              </w:rPr>
            </w:pPr>
          </w:p>
        </w:tc>
        <w:tc>
          <w:tcPr>
            <w:tcW w:w="144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20"/>
                <w:szCs w:val="20"/>
                <w:color w:val="auto"/>
              </w:rPr>
            </w:pPr>
            <w:r>
              <w:rPr>
                <w:rFonts w:ascii="Arial" w:cs="Arial" w:eastAsia="Arial" w:hAnsi="Arial"/>
                <w:sz w:val="12"/>
                <w:szCs w:val="12"/>
                <w:color w:val="auto"/>
              </w:rPr>
              <w:t>Ms. Hakim</w:t>
            </w:r>
          </w:p>
        </w:tc>
        <w:tc>
          <w:tcPr>
            <w:tcW w:w="1200" w:type="dxa"/>
            <w:vAlign w:val="bottom"/>
          </w:tcPr>
          <w:p>
            <w:pPr>
              <w:ind w:left="80"/>
              <w:spacing w:after="0"/>
              <w:rPr>
                <w:sz w:val="20"/>
                <w:szCs w:val="20"/>
                <w:color w:val="auto"/>
              </w:rPr>
            </w:pPr>
            <w:r>
              <w:rPr>
                <w:rFonts w:ascii="Arial" w:cs="Arial" w:eastAsia="Arial" w:hAnsi="Arial"/>
                <w:sz w:val="12"/>
                <w:szCs w:val="12"/>
                <w:color w:val="auto"/>
              </w:rPr>
              <w:t>2022-2024 SVA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10,458</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1</w:t>
            </w:r>
          </w:p>
        </w:tc>
        <w:tc>
          <w:tcPr>
            <w:tcW w:w="1440" w:type="dxa"/>
            <w:vAlign w:val="bottom"/>
          </w:tcPr>
          <w:p>
            <w:pPr>
              <w:jc w:val="right"/>
              <w:spacing w:after="0"/>
              <w:rPr>
                <w:sz w:val="20"/>
                <w:szCs w:val="20"/>
                <w:color w:val="auto"/>
              </w:rPr>
            </w:pPr>
            <w:r>
              <w:rPr>
                <w:rFonts w:ascii="Arial" w:cs="Arial" w:eastAsia="Arial" w:hAnsi="Arial"/>
                <w:sz w:val="12"/>
                <w:szCs w:val="12"/>
                <w:color w:val="auto"/>
              </w:rPr>
              <w:t>$3,825,955</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2021-2023 SVA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5,917</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2</w:t>
            </w:r>
          </w:p>
        </w:tc>
        <w:tc>
          <w:tcPr>
            <w:tcW w:w="1440" w:type="dxa"/>
            <w:vAlign w:val="bottom"/>
          </w:tcPr>
          <w:p>
            <w:pPr>
              <w:jc w:val="right"/>
              <w:spacing w:after="0"/>
              <w:rPr>
                <w:sz w:val="20"/>
                <w:szCs w:val="20"/>
                <w:color w:val="auto"/>
              </w:rPr>
            </w:pPr>
            <w:r>
              <w:rPr>
                <w:rFonts w:ascii="Arial" w:cs="Arial" w:eastAsia="Arial" w:hAnsi="Arial"/>
                <w:sz w:val="12"/>
                <w:szCs w:val="12"/>
                <w:color w:val="auto"/>
              </w:rPr>
              <w:t>$2,164,675</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2022-2024 RVA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7,989</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3</w:t>
            </w:r>
          </w:p>
        </w:tc>
        <w:tc>
          <w:tcPr>
            <w:tcW w:w="1440" w:type="dxa"/>
            <w:vAlign w:val="bottom"/>
          </w:tcPr>
          <w:p>
            <w:pPr>
              <w:jc w:val="right"/>
              <w:spacing w:after="0"/>
              <w:rPr>
                <w:sz w:val="20"/>
                <w:szCs w:val="20"/>
                <w:color w:val="auto"/>
              </w:rPr>
            </w:pPr>
            <w:r>
              <w:rPr>
                <w:rFonts w:ascii="Arial" w:cs="Arial" w:eastAsia="Arial" w:hAnsi="Arial"/>
                <w:sz w:val="12"/>
                <w:szCs w:val="12"/>
                <w:color w:val="auto"/>
              </w:rPr>
              <w:t>$3,825,955</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2021-2023 RVA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4,487</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4</w:t>
            </w:r>
          </w:p>
        </w:tc>
        <w:tc>
          <w:tcPr>
            <w:tcW w:w="1440" w:type="dxa"/>
            <w:vAlign w:val="bottom"/>
          </w:tcPr>
          <w:p>
            <w:pPr>
              <w:jc w:val="right"/>
              <w:spacing w:after="0"/>
              <w:rPr>
                <w:sz w:val="20"/>
                <w:szCs w:val="20"/>
                <w:color w:val="auto"/>
              </w:rPr>
            </w:pPr>
            <w:r>
              <w:rPr>
                <w:rFonts w:ascii="Arial" w:cs="Arial" w:eastAsia="Arial" w:hAnsi="Arial"/>
                <w:sz w:val="12"/>
                <w:szCs w:val="12"/>
                <w:color w:val="auto"/>
              </w:rPr>
              <w:t>$1,641,524</w:t>
            </w: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2022-2024 PA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vMerge w:val="restart"/>
          </w:tcPr>
          <w:p>
            <w:pPr>
              <w:jc w:val="right"/>
              <w:ind w:right="215"/>
              <w:spacing w:after="0"/>
              <w:rPr>
                <w:sz w:val="20"/>
                <w:szCs w:val="20"/>
                <w:color w:val="auto"/>
              </w:rPr>
            </w:pPr>
            <w:r>
              <w:rPr>
                <w:rFonts w:ascii="Arial" w:cs="Arial" w:eastAsia="Arial" w:hAnsi="Arial"/>
                <w:sz w:val="5"/>
                <w:szCs w:val="5"/>
                <w:color w:val="auto"/>
                <w:w w:val="70"/>
              </w:rPr>
              <w:t>6</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6,704</w:t>
            </w:r>
          </w:p>
        </w:tc>
        <w:tc>
          <w:tcPr>
            <w:tcW w:w="280" w:type="dxa"/>
            <w:vAlign w:val="bottom"/>
          </w:tcPr>
          <w:p>
            <w:pPr>
              <w:jc w:val="right"/>
              <w:ind w:right="180"/>
              <w:spacing w:after="0"/>
              <w:rPr>
                <w:sz w:val="20"/>
                <w:szCs w:val="20"/>
                <w:color w:val="auto"/>
              </w:rPr>
            </w:pPr>
            <w:r>
              <w:rPr>
                <w:rFonts w:ascii="Arial" w:cs="Arial" w:eastAsia="Arial" w:hAnsi="Arial"/>
                <w:sz w:val="8"/>
                <w:szCs w:val="8"/>
                <w:color w:val="auto"/>
                <w:w w:val="88"/>
              </w:rPr>
              <w:t>5</w:t>
            </w:r>
          </w:p>
        </w:tc>
        <w:tc>
          <w:tcPr>
            <w:tcW w:w="1440" w:type="dxa"/>
            <w:vAlign w:val="bottom"/>
          </w:tcPr>
          <w:p>
            <w:pPr>
              <w:jc w:val="right"/>
              <w:spacing w:after="0"/>
              <w:rPr>
                <w:sz w:val="20"/>
                <w:szCs w:val="20"/>
                <w:color w:val="auto"/>
              </w:rPr>
            </w:pPr>
            <w:r>
              <w:rPr>
                <w:rFonts w:ascii="Arial" w:cs="Arial" w:eastAsia="Arial" w:hAnsi="Arial"/>
                <w:sz w:val="12"/>
                <w:szCs w:val="12"/>
                <w:color w:val="auto"/>
              </w:rPr>
              <w:t>$2,452,591</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2021-2023 PA</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4,442</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$1,625,061</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2020-2022 PA</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7,646</w:t>
            </w:r>
          </w:p>
        </w:tc>
        <w:tc>
          <w:tcPr>
            <w:tcW w:w="280" w:type="dxa"/>
            <w:vAlign w:val="bottom"/>
          </w:tcPr>
          <w:p>
            <w:pPr>
              <w:jc w:val="right"/>
              <w:ind w:right="215"/>
              <w:spacing w:after="0"/>
              <w:rPr>
                <w:sz w:val="20"/>
                <w:szCs w:val="20"/>
                <w:color w:val="auto"/>
              </w:rPr>
            </w:pPr>
            <w:r>
              <w:rPr>
                <w:rFonts w:ascii="Arial" w:cs="Arial" w:eastAsia="Arial" w:hAnsi="Arial"/>
                <w:sz w:val="5"/>
                <w:szCs w:val="5"/>
                <w:color w:val="auto"/>
                <w:w w:val="70"/>
              </w:rPr>
              <w:t>7</w:t>
            </w:r>
          </w:p>
        </w:tc>
        <w:tc>
          <w:tcPr>
            <w:tcW w:w="1000" w:type="dxa"/>
            <w:vAlign w:val="bottom"/>
          </w:tcPr>
          <w:p>
            <w:pPr>
              <w:jc w:val="right"/>
              <w:spacing w:after="0"/>
              <w:rPr>
                <w:sz w:val="20"/>
                <w:szCs w:val="20"/>
                <w:color w:val="auto"/>
              </w:rPr>
            </w:pPr>
            <w:r>
              <w:rPr>
                <w:rFonts w:ascii="Arial" w:cs="Arial" w:eastAsia="Arial" w:hAnsi="Arial"/>
                <w:sz w:val="12"/>
                <w:szCs w:val="12"/>
                <w:color w:val="auto"/>
              </w:rPr>
              <w:t>$2,797,213</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440" w:type="dxa"/>
            <w:vAlign w:val="bottom"/>
            <w:shd w:val="clear" w:color="auto" w:fill="F2F2F2"/>
          </w:tcPr>
          <w:p>
            <w:pPr>
              <w:spacing w:after="0"/>
              <w:rPr>
                <w:sz w:val="20"/>
                <w:szCs w:val="20"/>
                <w:color w:val="auto"/>
              </w:rPr>
            </w:pPr>
            <w:r>
              <w:rPr>
                <w:rFonts w:ascii="Arial" w:cs="Arial" w:eastAsia="Arial" w:hAnsi="Arial"/>
                <w:sz w:val="12"/>
                <w:szCs w:val="12"/>
                <w:color w:val="auto"/>
              </w:rPr>
              <w:t>Mr. Jonsson</w:t>
            </w: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SVA</w:t>
            </w:r>
          </w:p>
        </w:tc>
        <w:tc>
          <w:tcPr>
            <w:tcW w:w="200" w:type="dxa"/>
            <w:vAlign w:val="bottom"/>
            <w:shd w:val="clear" w:color="auto" w:fill="F2F2F2"/>
          </w:tcPr>
          <w:p>
            <w:pPr>
              <w:spacing w:after="0"/>
              <w:rPr>
                <w:sz w:val="18"/>
                <w:szCs w:val="18"/>
                <w:color w:val="auto"/>
              </w:rPr>
            </w:pPr>
          </w:p>
        </w:tc>
        <w:tc>
          <w:tcPr>
            <w:tcW w:w="80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000" w:type="dxa"/>
            <w:vAlign w:val="bottom"/>
            <w:shd w:val="clear" w:color="auto" w:fill="F2F2F2"/>
          </w:tcPr>
          <w:p>
            <w:pPr>
              <w:spacing w:after="0"/>
              <w:rPr>
                <w:sz w:val="18"/>
                <w:szCs w:val="18"/>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7,322</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1</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$2,678,680</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SVA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5,495</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2</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$2,010,291</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5,593</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3</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$2,678,680</w:t>
            </w:r>
          </w:p>
        </w:tc>
        <w:tc>
          <w:tcPr>
            <w:tcW w:w="0" w:type="dxa"/>
            <w:vAlign w:val="bottom"/>
          </w:tcPr>
          <w:p>
            <w:pPr>
              <w:spacing w:after="0"/>
              <w:rPr>
                <w:sz w:val="1"/>
                <w:szCs w:val="1"/>
                <w:color w:val="auto"/>
              </w:rPr>
            </w:pPr>
          </w:p>
        </w:tc>
      </w:tr>
      <w:tr>
        <w:trPr>
          <w:trHeight w:val="222"/>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RVA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4,165</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4</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$1,523,724</w:t>
            </w:r>
          </w:p>
        </w:tc>
        <w:tc>
          <w:tcPr>
            <w:tcW w:w="0" w:type="dxa"/>
            <w:vAlign w:val="bottom"/>
          </w:tcPr>
          <w:p>
            <w:pPr>
              <w:spacing w:after="0"/>
              <w:rPr>
                <w:sz w:val="1"/>
                <w:szCs w:val="1"/>
                <w:color w:val="auto"/>
              </w:rPr>
            </w:pPr>
          </w:p>
        </w:tc>
      </w:tr>
      <w:tr>
        <w:trPr>
          <w:trHeight w:val="226"/>
        </w:trPr>
        <w:tc>
          <w:tcPr>
            <w:tcW w:w="1440" w:type="dxa"/>
            <w:vAlign w:val="bottom"/>
            <w:shd w:val="clear" w:color="auto" w:fill="F2F2F2"/>
          </w:tcPr>
          <w:p>
            <w:pPr>
              <w:spacing w:after="0"/>
              <w:rPr>
                <w:sz w:val="19"/>
                <w:szCs w:val="19"/>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2022-2024 PA</w:t>
            </w:r>
          </w:p>
        </w:tc>
        <w:tc>
          <w:tcPr>
            <w:tcW w:w="200" w:type="dxa"/>
            <w:vAlign w:val="bottom"/>
            <w:shd w:val="clear" w:color="auto" w:fill="F2F2F2"/>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280" w:type="dxa"/>
            <w:vAlign w:val="bottom"/>
            <w:vMerge w:val="restart"/>
            <w:shd w:val="clear" w:color="auto" w:fill="F2F2F2"/>
          </w:tcPr>
          <w:p>
            <w:pPr>
              <w:jc w:val="right"/>
              <w:ind w:right="215"/>
              <w:spacing w:after="0"/>
              <w:rPr>
                <w:sz w:val="20"/>
                <w:szCs w:val="20"/>
                <w:color w:val="auto"/>
              </w:rPr>
            </w:pPr>
            <w:r>
              <w:rPr>
                <w:rFonts w:ascii="Arial" w:cs="Arial" w:eastAsia="Arial" w:hAnsi="Arial"/>
                <w:sz w:val="5"/>
                <w:szCs w:val="5"/>
                <w:color w:val="auto"/>
                <w:w w:val="70"/>
              </w:rPr>
              <w:t>6</w:t>
            </w:r>
          </w:p>
        </w:tc>
        <w:tc>
          <w:tcPr>
            <w:tcW w:w="100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4,694</w:t>
            </w:r>
          </w:p>
        </w:tc>
        <w:tc>
          <w:tcPr>
            <w:tcW w:w="280" w:type="dxa"/>
            <w:vAlign w:val="bottom"/>
            <w:shd w:val="clear" w:color="auto" w:fill="F2F2F2"/>
          </w:tcPr>
          <w:p>
            <w:pPr>
              <w:jc w:val="right"/>
              <w:ind w:right="180"/>
              <w:spacing w:after="0"/>
              <w:rPr>
                <w:sz w:val="20"/>
                <w:szCs w:val="20"/>
                <w:color w:val="auto"/>
              </w:rPr>
            </w:pPr>
            <w:r>
              <w:rPr>
                <w:rFonts w:ascii="Arial" w:cs="Arial" w:eastAsia="Arial" w:hAnsi="Arial"/>
                <w:sz w:val="8"/>
                <w:szCs w:val="8"/>
                <w:color w:val="auto"/>
                <w:w w:val="88"/>
              </w:rPr>
              <w:t>5</w:t>
            </w:r>
          </w:p>
        </w:tc>
        <w:tc>
          <w:tcPr>
            <w:tcW w:w="14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$1,717,253</w:t>
            </w:r>
          </w:p>
        </w:tc>
        <w:tc>
          <w:tcPr>
            <w:tcW w:w="0" w:type="dxa"/>
            <w:vAlign w:val="bottom"/>
          </w:tcPr>
          <w:p>
            <w:pPr>
              <w:spacing w:after="0"/>
              <w:rPr>
                <w:sz w:val="1"/>
                <w:szCs w:val="1"/>
                <w:color w:val="auto"/>
              </w:rPr>
            </w:pPr>
          </w:p>
        </w:tc>
      </w:tr>
      <w:tr>
        <w:trPr>
          <w:trHeight w:val="218"/>
        </w:trPr>
        <w:tc>
          <w:tcPr>
            <w:tcW w:w="1440" w:type="dxa"/>
            <w:vAlign w:val="bottom"/>
            <w:shd w:val="clear" w:color="auto" w:fill="F2F2F2"/>
          </w:tcPr>
          <w:p>
            <w:pPr>
              <w:spacing w:after="0"/>
              <w:rPr>
                <w:sz w:val="18"/>
                <w:szCs w:val="18"/>
                <w:color w:val="auto"/>
              </w:rPr>
            </w:pPr>
          </w:p>
        </w:tc>
        <w:tc>
          <w:tcPr>
            <w:tcW w:w="1200" w:type="dxa"/>
            <w:vAlign w:val="bottom"/>
            <w:shd w:val="clear" w:color="auto" w:fill="F2F2F2"/>
          </w:tcPr>
          <w:p>
            <w:pPr>
              <w:ind w:left="80"/>
              <w:spacing w:after="0"/>
              <w:rPr>
                <w:sz w:val="20"/>
                <w:szCs w:val="20"/>
                <w:color w:val="auto"/>
              </w:rPr>
            </w:pPr>
            <w:r>
              <w:rPr>
                <w:rFonts w:ascii="Arial" w:cs="Arial" w:eastAsia="Arial" w:hAnsi="Arial"/>
                <w:sz w:val="12"/>
                <w:szCs w:val="12"/>
                <w:color w:val="auto"/>
              </w:rPr>
              <w:t>2021-2023 PA</w:t>
            </w:r>
          </w:p>
        </w:tc>
        <w:tc>
          <w:tcPr>
            <w:tcW w:w="200" w:type="dxa"/>
            <w:vAlign w:val="bottom"/>
            <w:shd w:val="clear" w:color="auto" w:fill="F2F2F2"/>
          </w:tcPr>
          <w:p>
            <w:pPr>
              <w:spacing w:after="0"/>
              <w:rPr>
                <w:sz w:val="18"/>
                <w:szCs w:val="18"/>
                <w:color w:val="auto"/>
              </w:rPr>
            </w:pPr>
          </w:p>
        </w:tc>
        <w:tc>
          <w:tcPr>
            <w:tcW w:w="8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4,124</w:t>
            </w:r>
          </w:p>
        </w:tc>
        <w:tc>
          <w:tcPr>
            <w:tcW w:w="280" w:type="dxa"/>
            <w:vAlign w:val="bottom"/>
            <w:vMerge w:val="continue"/>
            <w:shd w:val="clear" w:color="auto" w:fill="F2F2F2"/>
          </w:tcPr>
          <w:p>
            <w:pPr>
              <w:spacing w:after="0"/>
              <w:rPr>
                <w:sz w:val="18"/>
                <w:szCs w:val="18"/>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$1,508,724</w:t>
            </w:r>
          </w:p>
        </w:tc>
        <w:tc>
          <w:tcPr>
            <w:tcW w:w="120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4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40" w:type="dxa"/>
            <w:vAlign w:val="bottom"/>
            <w:tcBorders>
              <w:bottom w:val="single" w:sz="8" w:color="auto"/>
            </w:tcBorders>
            <w:shd w:val="clear" w:color="auto" w:fill="F2F2F2"/>
          </w:tcPr>
          <w:p>
            <w:pPr>
              <w:spacing w:after="0"/>
              <w:rPr>
                <w:sz w:val="20"/>
                <w:szCs w:val="20"/>
                <w:color w:val="auto"/>
              </w:rPr>
            </w:pPr>
          </w:p>
        </w:tc>
        <w:tc>
          <w:tcPr>
            <w:tcW w:w="120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2"/>
                <w:szCs w:val="12"/>
                <w:color w:val="auto"/>
              </w:rPr>
              <w:t>2020-2022 PA</w:t>
            </w:r>
          </w:p>
        </w:tc>
        <w:tc>
          <w:tcPr>
            <w:tcW w:w="200" w:type="dxa"/>
            <w:vAlign w:val="bottom"/>
            <w:tcBorders>
              <w:bottom w:val="single" w:sz="8" w:color="auto"/>
            </w:tcBorders>
            <w:shd w:val="clear" w:color="auto" w:fill="F2F2F2"/>
          </w:tcPr>
          <w:p>
            <w:pPr>
              <w:spacing w:after="0"/>
              <w:rPr>
                <w:sz w:val="20"/>
                <w:szCs w:val="20"/>
                <w:color w:val="auto"/>
              </w:rPr>
            </w:pPr>
          </w:p>
        </w:tc>
        <w:tc>
          <w:tcPr>
            <w:tcW w:w="8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6,690</w:t>
            </w:r>
          </w:p>
        </w:tc>
        <w:tc>
          <w:tcPr>
            <w:tcW w:w="280" w:type="dxa"/>
            <w:vAlign w:val="bottom"/>
            <w:tcBorders>
              <w:bottom w:val="single" w:sz="8" w:color="auto"/>
            </w:tcBorders>
            <w:shd w:val="clear" w:color="auto" w:fill="F2F2F2"/>
          </w:tcPr>
          <w:p>
            <w:pPr>
              <w:jc w:val="right"/>
              <w:ind w:right="215"/>
              <w:spacing w:after="0"/>
              <w:rPr>
                <w:sz w:val="20"/>
                <w:szCs w:val="20"/>
                <w:color w:val="auto"/>
              </w:rPr>
            </w:pPr>
            <w:r>
              <w:rPr>
                <w:rFonts w:ascii="Arial" w:cs="Arial" w:eastAsia="Arial" w:hAnsi="Arial"/>
                <w:sz w:val="5"/>
                <w:szCs w:val="5"/>
                <w:color w:val="auto"/>
                <w:w w:val="70"/>
              </w:rPr>
              <w:t>7</w:t>
            </w:r>
          </w:p>
        </w:tc>
        <w:tc>
          <w:tcPr>
            <w:tcW w:w="10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$2,447,470</w:t>
            </w:r>
          </w:p>
        </w:tc>
        <w:tc>
          <w:tcPr>
            <w:tcW w:w="1200" w:type="dxa"/>
            <w:vAlign w:val="bottom"/>
            <w:tcBorders>
              <w:bottom w:val="single" w:sz="8" w:color="auto"/>
            </w:tcBorders>
            <w:shd w:val="clear" w:color="auto" w:fill="F2F2F2"/>
          </w:tcPr>
          <w:p>
            <w:pPr>
              <w:spacing w:after="0"/>
              <w:rPr>
                <w:sz w:val="20"/>
                <w:szCs w:val="20"/>
                <w:color w:val="auto"/>
              </w:rPr>
            </w:pPr>
          </w:p>
        </w:tc>
        <w:tc>
          <w:tcPr>
            <w:tcW w:w="280" w:type="dxa"/>
            <w:vAlign w:val="bottom"/>
            <w:tcBorders>
              <w:bottom w:val="single" w:sz="8" w:color="auto"/>
            </w:tcBorders>
            <w:shd w:val="clear" w:color="auto" w:fill="F2F2F2"/>
          </w:tcPr>
          <w:p>
            <w:pPr>
              <w:spacing w:after="0"/>
              <w:rPr>
                <w:sz w:val="20"/>
                <w:szCs w:val="20"/>
                <w:color w:val="auto"/>
              </w:rPr>
            </w:pPr>
          </w:p>
        </w:tc>
        <w:tc>
          <w:tcPr>
            <w:tcW w:w="1440" w:type="dxa"/>
            <w:vAlign w:val="bottom"/>
            <w:tcBorders>
              <w:bottom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7" w:hanging="147"/>
        <w:spacing w:after="0" w:line="246" w:lineRule="auto"/>
        <w:tabs>
          <w:tab w:leader="none" w:pos="86" w:val="left"/>
        </w:tabs>
        <w:numPr>
          <w:ilvl w:val="0"/>
          <w:numId w:val="156"/>
        </w:numPr>
        <w:rPr>
          <w:rFonts w:ascii="Arial" w:cs="Arial" w:eastAsia="Arial" w:hAnsi="Arial"/>
          <w:sz w:val="16"/>
          <w:szCs w:val="16"/>
          <w:color w:val="auto"/>
          <w:vertAlign w:val="superscript"/>
        </w:rPr>
      </w:pPr>
      <w:r>
        <w:rPr>
          <w:rFonts w:ascii="Arial" w:cs="Arial" w:eastAsia="Arial" w:hAnsi="Arial"/>
          <w:sz w:val="12"/>
          <w:szCs w:val="12"/>
          <w:color w:val="auto"/>
        </w:rPr>
        <w:t>Shareholder value awards granted for the 2022-2024 performance period will vest on December 31, 2024. The number of shares reported reflects the maximum payout, which will be made if the average closing stock price in November and December 2024 exceeds $416.32. Actual payouts may vary from 0 to 175 percent of target. Net shares from any payout must be held by executive officers for a minimum of one year. Had the performance period ended December 31, 2022, the payout would have been at 125 percent of target.</w:t>
      </w:r>
    </w:p>
    <w:p>
      <w:pPr>
        <w:spacing w:after="0" w:line="19" w:lineRule="exact"/>
        <w:rPr>
          <w:sz w:val="20"/>
          <w:szCs w:val="20"/>
          <w:color w:val="auto"/>
        </w:rPr>
      </w:pPr>
    </w:p>
    <w:p>
      <w:pPr>
        <w:ind w:left="147" w:hanging="147"/>
        <w:spacing w:after="0" w:line="287" w:lineRule="auto"/>
        <w:tabs>
          <w:tab w:leader="none" w:pos="86" w:val="left"/>
        </w:tabs>
        <w:numPr>
          <w:ilvl w:val="0"/>
          <w:numId w:val="157"/>
        </w:numPr>
        <w:rPr>
          <w:rFonts w:ascii="Arial" w:cs="Arial" w:eastAsia="Arial" w:hAnsi="Arial"/>
          <w:sz w:val="8"/>
          <w:szCs w:val="8"/>
          <w:color w:val="auto"/>
        </w:rPr>
      </w:pPr>
      <w:r>
        <w:rPr>
          <w:rFonts w:ascii="Arial" w:cs="Arial" w:eastAsia="Arial" w:hAnsi="Arial"/>
          <w:sz w:val="12"/>
          <w:szCs w:val="12"/>
          <w:color w:val="auto"/>
        </w:rPr>
        <w:t>Shareholder value awards granted for the 2021-2023 performance period will vest on December 31, 2023. The number of shares reported reflects the maximum payout, which will be made if the average closing stock price in November and December 2023 exceeds $239.03. Actual payouts may vary from 0 to 175 percent of target. Net shares from any payout must be held by executive officers for a minimum of one year. Had the performance period ended December 31, 2022, the payout would have been 175 percent of target.</w:t>
      </w:r>
    </w:p>
    <w:p>
      <w:pPr>
        <w:spacing w:after="0" w:line="7" w:lineRule="exact"/>
        <w:rPr>
          <w:sz w:val="20"/>
          <w:szCs w:val="20"/>
          <w:color w:val="auto"/>
        </w:rPr>
      </w:pPr>
    </w:p>
    <w:p>
      <w:pPr>
        <w:ind w:left="147" w:right="160" w:hanging="147"/>
        <w:spacing w:after="0" w:line="238" w:lineRule="auto"/>
        <w:tabs>
          <w:tab w:leader="none" w:pos="86" w:val="left"/>
        </w:tabs>
        <w:numPr>
          <w:ilvl w:val="0"/>
          <w:numId w:val="158"/>
        </w:numPr>
        <w:rPr>
          <w:rFonts w:ascii="Arial" w:cs="Arial" w:eastAsia="Arial" w:hAnsi="Arial"/>
          <w:sz w:val="16"/>
          <w:szCs w:val="16"/>
          <w:color w:val="auto"/>
          <w:vertAlign w:val="superscript"/>
        </w:rPr>
      </w:pPr>
      <w:r>
        <w:rPr>
          <w:rFonts w:ascii="Arial" w:cs="Arial" w:eastAsia="Arial" w:hAnsi="Arial"/>
          <w:sz w:val="12"/>
          <w:szCs w:val="12"/>
          <w:color w:val="auto"/>
        </w:rPr>
        <w:t>Relative value awards granted for the 2022-2024 performance period will vest on December 31, 2024.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2022, the payout would have been 160 percent of target.</w:t>
      </w:r>
    </w:p>
    <w:p>
      <w:pPr>
        <w:spacing w:after="0" w:line="381"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7"/>
          </w:cols>
          <w:pgMar w:left="313" w:top="820" w:right="379" w:bottom="1440" w:gutter="0" w:footer="0" w:header="0"/>
        </w:sectPr>
      </w:pPr>
    </w:p>
    <w:bookmarkStart w:id="77" w:name="page78"/>
    <w:bookmarkEnd w:id="77"/>
    <w:p>
      <w:pPr>
        <w:ind w:left="147" w:right="220" w:hanging="147"/>
        <w:spacing w:after="0" w:line="246" w:lineRule="auto"/>
        <w:tabs>
          <w:tab w:leader="none" w:pos="86" w:val="left"/>
        </w:tabs>
        <w:numPr>
          <w:ilvl w:val="0"/>
          <w:numId w:val="159"/>
        </w:numPr>
        <w:rPr>
          <w:rFonts w:ascii="Arial" w:cs="Arial" w:eastAsia="Arial" w:hAnsi="Arial"/>
          <w:sz w:val="16"/>
          <w:szCs w:val="16"/>
          <w:color w:val="auto"/>
          <w:vertAlign w:val="superscript"/>
        </w:rPr>
      </w:pPr>
      <w:r>
        <w:rPr>
          <w:rFonts w:ascii="Arial" w:cs="Arial" w:eastAsia="Arial" w:hAnsi="Arial"/>
          <w:sz w:val="12"/>
          <w:szCs w:val="12"/>
          <w:color w:val="auto"/>
        </w:rPr>
        <w:t>Relative value awards granted for the 2021-2023 performance period will vest on December 31, 2023.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2022, the payout would have been 175 percent of target.</w:t>
      </w:r>
    </w:p>
    <w:p>
      <w:pPr>
        <w:spacing w:after="0" w:line="19" w:lineRule="exact"/>
        <w:rPr>
          <w:sz w:val="20"/>
          <w:szCs w:val="20"/>
          <w:color w:val="auto"/>
        </w:rPr>
      </w:pPr>
    </w:p>
    <w:p>
      <w:pPr>
        <w:ind w:left="147" w:hanging="147"/>
        <w:spacing w:after="0" w:line="278" w:lineRule="auto"/>
        <w:tabs>
          <w:tab w:leader="none" w:pos="86" w:val="left"/>
        </w:tabs>
        <w:numPr>
          <w:ilvl w:val="0"/>
          <w:numId w:val="160"/>
        </w:numPr>
        <w:rPr>
          <w:rFonts w:ascii="Arial" w:cs="Arial" w:eastAsia="Arial" w:hAnsi="Arial"/>
          <w:sz w:val="8"/>
          <w:szCs w:val="8"/>
          <w:color w:val="auto"/>
        </w:rPr>
      </w:pPr>
      <w:r>
        <w:rPr>
          <w:rFonts w:ascii="Arial" w:cs="Arial" w:eastAsia="Arial" w:hAnsi="Arial"/>
          <w:sz w:val="12"/>
          <w:szCs w:val="12"/>
          <w:color w:val="auto"/>
        </w:rPr>
        <w:t>This number represents the maximum value of performance award shares that could pay out for the 2022-2024 performance awards, provided performance goals are met. Once the combined cumulative adjusted non-GAAP EPS result and associated payout level are determined at the end of the 2022-2023 performance period, the associated number of shares will be granted as restricted stock units, vesting in February 2025. Actual payouts may vary from 0 to 175 percent of target. The number of shares recorded in the table reflects the payout if the combined cumulative adjusted non-GAAP EPS for 2022 and 2023 is at least $21.31 under the 2022-2024 performance award grid (see “</w:t>
      </w:r>
      <w:r>
        <w:rPr>
          <w:rFonts w:ascii="Arial" w:cs="Arial" w:eastAsia="Arial" w:hAnsi="Arial"/>
          <w:sz w:val="12"/>
          <w:szCs w:val="12"/>
          <w:u w:val="single" w:color="auto"/>
          <w:color w:val="0000FF"/>
        </w:rPr>
        <w:t>Compensation Discussion and Analysis—Performance Goals for 2022 Incentive Programs—2022-2024</w:t>
      </w:r>
      <w:r>
        <w:rPr>
          <w:rFonts w:ascii="Arial" w:cs="Arial" w:eastAsia="Arial" w:hAnsi="Arial"/>
          <w:sz w:val="12"/>
          <w:szCs w:val="12"/>
          <w:color w:val="auto"/>
        </w:rPr>
        <w:t xml:space="preserve"> </w:t>
      </w:r>
      <w:r>
        <w:rPr>
          <w:rFonts w:ascii="Arial" w:cs="Arial" w:eastAsia="Arial" w:hAnsi="Arial"/>
          <w:sz w:val="12"/>
          <w:szCs w:val="12"/>
          <w:u w:val="single" w:color="auto"/>
          <w:color w:val="0000FF"/>
        </w:rPr>
        <w:t>Performance Award</w:t>
      </w:r>
      <w:r>
        <w:rPr>
          <w:rFonts w:ascii="Arial" w:cs="Arial" w:eastAsia="Arial" w:hAnsi="Arial"/>
          <w:sz w:val="12"/>
          <w:szCs w:val="12"/>
          <w:color w:val="000000"/>
        </w:rPr>
        <w:t>”).</w:t>
      </w:r>
    </w:p>
    <w:p>
      <w:pPr>
        <w:spacing w:after="0" w:line="155" w:lineRule="exact"/>
        <w:rPr>
          <w:sz w:val="20"/>
          <w:szCs w:val="20"/>
          <w:color w:val="auto"/>
        </w:rPr>
      </w:pPr>
    </w:p>
    <w:p>
      <w:pPr>
        <w:ind w:left="147" w:right="40" w:hanging="147"/>
        <w:spacing w:after="0" w:line="291" w:lineRule="auto"/>
        <w:tabs>
          <w:tab w:leader="none" w:pos="86" w:val="left"/>
        </w:tabs>
        <w:numPr>
          <w:ilvl w:val="0"/>
          <w:numId w:val="161"/>
        </w:numPr>
        <w:rPr>
          <w:rFonts w:ascii="Arial" w:cs="Arial" w:eastAsia="Arial" w:hAnsi="Arial"/>
          <w:sz w:val="8"/>
          <w:szCs w:val="8"/>
          <w:color w:val="auto"/>
        </w:rPr>
      </w:pPr>
      <w:r>
        <w:rPr>
          <w:rFonts w:ascii="Arial" w:cs="Arial" w:eastAsia="Arial" w:hAnsi="Arial"/>
          <w:sz w:val="12"/>
          <w:szCs w:val="12"/>
          <w:color w:val="auto"/>
        </w:rPr>
        <w:t>The performance period ended December 31, 2022, for the 2021-2023 performance award, resulting in the issuance of restricted stock units for 140 percent of target shares for Mr. Ricks, Dr. Skovronsky, Ms. Hakim and Mr. Jonsson. These restricted stock units will vest in February 2024.</w:t>
      </w:r>
    </w:p>
    <w:p>
      <w:pPr>
        <w:spacing w:after="0" w:line="4" w:lineRule="exact"/>
        <w:rPr>
          <w:sz w:val="20"/>
          <w:szCs w:val="20"/>
          <w:color w:val="auto"/>
        </w:rPr>
      </w:pPr>
    </w:p>
    <w:p>
      <w:pPr>
        <w:ind w:left="147" w:right="40" w:hanging="147"/>
        <w:spacing w:after="0" w:line="227" w:lineRule="auto"/>
        <w:tabs>
          <w:tab w:leader="none" w:pos="86" w:val="left"/>
        </w:tabs>
        <w:numPr>
          <w:ilvl w:val="0"/>
          <w:numId w:val="162"/>
        </w:numPr>
        <w:rPr>
          <w:rFonts w:ascii="Arial" w:cs="Arial" w:eastAsia="Arial" w:hAnsi="Arial"/>
          <w:sz w:val="16"/>
          <w:szCs w:val="16"/>
          <w:color w:val="auto"/>
          <w:vertAlign w:val="superscript"/>
        </w:rPr>
      </w:pPr>
      <w:r>
        <w:rPr>
          <w:rFonts w:ascii="Arial" w:cs="Arial" w:eastAsia="Arial" w:hAnsi="Arial"/>
          <w:sz w:val="12"/>
          <w:szCs w:val="12"/>
          <w:color w:val="auto"/>
        </w:rPr>
        <w:t>The performance period ended December 31, 2021 for the 2020-2022 performance award, resulting in the issuance of restricted stock units for Mr. Ricks, Dr. Skovronsky, Ms. Hakim and Mr. Jonsson that vested on February 1, 2023.</w:t>
      </w:r>
    </w:p>
    <w:p>
      <w:pPr>
        <w:spacing w:after="0" w:line="15" w:lineRule="exact"/>
        <w:rPr>
          <w:sz w:val="20"/>
          <w:szCs w:val="20"/>
          <w:color w:val="auto"/>
        </w:rPr>
      </w:pPr>
    </w:p>
    <w:p>
      <w:pPr>
        <w:ind w:left="87" w:hanging="87"/>
        <w:spacing w:after="0"/>
        <w:tabs>
          <w:tab w:leader="none" w:pos="87" w:val="left"/>
        </w:tabs>
        <w:numPr>
          <w:ilvl w:val="0"/>
          <w:numId w:val="163"/>
        </w:numPr>
        <w:rPr>
          <w:rFonts w:ascii="Arial" w:cs="Arial" w:eastAsia="Arial" w:hAnsi="Arial"/>
          <w:sz w:val="16"/>
          <w:szCs w:val="16"/>
          <w:color w:val="auto"/>
          <w:vertAlign w:val="superscript"/>
        </w:rPr>
      </w:pPr>
      <w:r>
        <w:rPr>
          <w:rFonts w:ascii="Arial" w:cs="Arial" w:eastAsia="Arial" w:hAnsi="Arial"/>
          <w:sz w:val="12"/>
          <w:szCs w:val="12"/>
          <w:color w:val="auto"/>
        </w:rPr>
        <w:t>These grants were made outside of the normal annual cycle in 2020, and 4,600 units will vest on November 1, 2024, and 6,899 units will vest on November 1, 2026.</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Option Exercises and Stock Vested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642360" cy="762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3642360" cy="7620"/>
                    </a:xfrm>
                    <a:prstGeom prst="rect">
                      <a:avLst/>
                    </a:prstGeom>
                    <a:noFill/>
                  </pic:spPr>
                </pic:pic>
              </a:graphicData>
            </a:graphic>
          </wp:anchor>
        </w:drawing>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0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Stock Awards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6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Number of Shares</w:t>
            </w:r>
          </w:p>
        </w:tc>
        <w:tc>
          <w:tcPr>
            <w:tcW w:w="400" w:type="dxa"/>
            <w:vAlign w:val="bottom"/>
          </w:tcPr>
          <w:p>
            <w:pPr>
              <w:spacing w:after="0"/>
              <w:rPr>
                <w:sz w:val="22"/>
                <w:szCs w:val="22"/>
                <w:color w:val="auto"/>
              </w:rPr>
            </w:pPr>
          </w:p>
        </w:tc>
        <w:tc>
          <w:tcPr>
            <w:tcW w:w="1080" w:type="dxa"/>
            <w:vAlign w:val="bottom"/>
          </w:tcPr>
          <w:p>
            <w:pPr>
              <w:jc w:val="right"/>
              <w:ind w:right="118"/>
              <w:spacing w:after="0"/>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on Vesting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24"/>
        </w:trPr>
        <w:tc>
          <w:tcPr>
            <w:tcW w:w="2620" w:type="dxa"/>
            <w:vAlign w:val="bottom"/>
            <w:vMerge w:val="restart"/>
          </w:tcPr>
          <w:p>
            <w:pPr>
              <w:ind w:left="1140"/>
              <w:spacing w:after="0"/>
              <w:rPr>
                <w:sz w:val="20"/>
                <w:szCs w:val="20"/>
                <w:color w:val="auto"/>
              </w:rPr>
            </w:pPr>
            <w:r>
              <w:rPr>
                <w:rFonts w:ascii="Arial" w:cs="Arial" w:eastAsia="Arial" w:hAnsi="Arial"/>
                <w:sz w:val="12"/>
                <w:szCs w:val="12"/>
                <w:b w:val="1"/>
                <w:bCs w:val="1"/>
                <w:color w:val="auto"/>
              </w:rPr>
              <w:t>Name</w:t>
            </w:r>
          </w:p>
        </w:tc>
        <w:tc>
          <w:tcPr>
            <w:tcW w:w="2020" w:type="dxa"/>
            <w:vAlign w:val="bottom"/>
            <w:gridSpan w:val="3"/>
            <w:vMerge w:val="restart"/>
          </w:tcPr>
          <w:p>
            <w:pPr>
              <w:jc w:val="right"/>
              <w:ind w:right="320"/>
              <w:spacing w:after="0"/>
              <w:rPr>
                <w:sz w:val="20"/>
                <w:szCs w:val="20"/>
                <w:color w:val="auto"/>
              </w:rPr>
            </w:pPr>
            <w:r>
              <w:rPr>
                <w:rFonts w:ascii="Arial" w:cs="Arial" w:eastAsia="Arial" w:hAnsi="Arial"/>
                <w:sz w:val="12"/>
                <w:szCs w:val="12"/>
                <w:b w:val="1"/>
                <w:bCs w:val="1"/>
                <w:color w:val="auto"/>
              </w:rPr>
              <w:t>Acquired on Vesting (#)</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620" w:type="dxa"/>
            <w:vAlign w:val="bottom"/>
            <w:vMerge w:val="continue"/>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2</w:t>
            </w: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58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56,205</w:t>
            </w:r>
          </w:p>
        </w:tc>
        <w:tc>
          <w:tcPr>
            <w:tcW w:w="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$13,792,145</w:t>
            </w:r>
          </w:p>
        </w:tc>
        <w:tc>
          <w:tcPr>
            <w:tcW w:w="0" w:type="dxa"/>
            <w:vAlign w:val="bottom"/>
          </w:tcPr>
          <w:p>
            <w:pPr>
              <w:spacing w:after="0"/>
              <w:rPr>
                <w:sz w:val="1"/>
                <w:szCs w:val="1"/>
                <w:color w:val="auto"/>
              </w:rPr>
            </w:pPr>
          </w:p>
        </w:tc>
      </w:tr>
      <w:tr>
        <w:trPr>
          <w:trHeight w:val="35"/>
        </w:trPr>
        <w:tc>
          <w:tcPr>
            <w:tcW w:w="2620" w:type="dxa"/>
            <w:vAlign w:val="bottom"/>
            <w:shd w:val="clear" w:color="auto" w:fill="F2F2F2"/>
          </w:tcPr>
          <w:p>
            <w:pPr>
              <w:spacing w:after="0"/>
              <w:rPr>
                <w:sz w:val="3"/>
                <w:szCs w:val="3"/>
                <w:color w:val="auto"/>
              </w:rPr>
            </w:pPr>
          </w:p>
        </w:tc>
        <w:tc>
          <w:tcPr>
            <w:tcW w:w="158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59,063</w:t>
            </w:r>
          </w:p>
        </w:tc>
        <w:tc>
          <w:tcPr>
            <w:tcW w:w="40" w:type="dxa"/>
            <w:vAlign w:val="bottom"/>
          </w:tcPr>
          <w:p>
            <w:pPr>
              <w:spacing w:after="0"/>
              <w:rPr>
                <w:sz w:val="3"/>
                <w:szCs w:val="3"/>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3</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$20,383,823</w:t>
            </w:r>
          </w:p>
        </w:tc>
        <w:tc>
          <w:tcPr>
            <w:tcW w:w="0" w:type="dxa"/>
            <w:vAlign w:val="bottom"/>
          </w:tcPr>
          <w:p>
            <w:pPr>
              <w:spacing w:after="0" w:line="20" w:lineRule="exact"/>
              <w:rPr>
                <w:sz w:val="1"/>
                <w:szCs w:val="1"/>
                <w:color w:val="auto"/>
              </w:rPr>
            </w:pPr>
          </w:p>
        </w:tc>
      </w:tr>
      <w:tr>
        <w:trPr>
          <w:trHeight w:val="73"/>
        </w:trPr>
        <w:tc>
          <w:tcPr>
            <w:tcW w:w="2620" w:type="dxa"/>
            <w:vAlign w:val="bottom"/>
            <w:shd w:val="clear" w:color="auto" w:fill="F2F2F2"/>
          </w:tcPr>
          <w:p>
            <w:pPr>
              <w:spacing w:after="0"/>
              <w:rPr>
                <w:sz w:val="6"/>
                <w:szCs w:val="6"/>
                <w:color w:val="auto"/>
              </w:rPr>
            </w:pPr>
          </w:p>
        </w:tc>
        <w:tc>
          <w:tcPr>
            <w:tcW w:w="1580" w:type="dxa"/>
            <w:vAlign w:val="bottom"/>
            <w:vMerge w:val="continue"/>
            <w:shd w:val="clear" w:color="auto" w:fill="F2F2F2"/>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4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620" w:type="dxa"/>
            <w:vAlign w:val="bottom"/>
            <w:shd w:val="clear" w:color="auto" w:fill="F2F2F2"/>
          </w:tcPr>
          <w:p>
            <w:pPr>
              <w:spacing w:after="0"/>
              <w:rPr>
                <w:sz w:val="11"/>
                <w:szCs w:val="11"/>
                <w:color w:val="auto"/>
              </w:rPr>
            </w:pPr>
          </w:p>
        </w:tc>
        <w:tc>
          <w:tcPr>
            <w:tcW w:w="1580" w:type="dxa"/>
            <w:vAlign w:val="bottom"/>
            <w:vMerge w:val="continue"/>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4</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shd w:val="clear" w:color="auto" w:fill="F2F2F2"/>
          </w:tcPr>
          <w:p>
            <w:pPr>
              <w:spacing w:after="0"/>
              <w:rPr>
                <w:sz w:val="7"/>
                <w:szCs w:val="7"/>
                <w:color w:val="auto"/>
              </w:rPr>
            </w:pPr>
          </w:p>
        </w:tc>
        <w:tc>
          <w:tcPr>
            <w:tcW w:w="158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42,558</w:t>
            </w:r>
          </w:p>
        </w:tc>
        <w:tc>
          <w:tcPr>
            <w:tcW w:w="40" w:type="dxa"/>
            <w:vAlign w:val="bottom"/>
            <w:shd w:val="clear" w:color="auto" w:fill="F2F2F2"/>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$14,687,617</w:t>
            </w:r>
          </w:p>
        </w:tc>
        <w:tc>
          <w:tcPr>
            <w:tcW w:w="0" w:type="dxa"/>
            <w:vAlign w:val="bottom"/>
          </w:tcPr>
          <w:p>
            <w:pPr>
              <w:spacing w:after="0"/>
              <w:rPr>
                <w:sz w:val="1"/>
                <w:szCs w:val="1"/>
                <w:color w:val="auto"/>
              </w:rPr>
            </w:pPr>
          </w:p>
        </w:tc>
      </w:tr>
      <w:tr>
        <w:trPr>
          <w:trHeight w:val="149"/>
        </w:trPr>
        <w:tc>
          <w:tcPr>
            <w:tcW w:w="2620" w:type="dxa"/>
            <w:vAlign w:val="bottom"/>
            <w:shd w:val="clear" w:color="auto" w:fill="F2F2F2"/>
          </w:tcPr>
          <w:p>
            <w:pPr>
              <w:spacing w:after="0"/>
              <w:rPr>
                <w:sz w:val="12"/>
                <w:szCs w:val="12"/>
                <w:color w:val="auto"/>
              </w:rPr>
            </w:pPr>
          </w:p>
        </w:tc>
        <w:tc>
          <w:tcPr>
            <w:tcW w:w="1580" w:type="dxa"/>
            <w:vAlign w:val="bottom"/>
            <w:vMerge w:val="continue"/>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3</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620" w:type="dxa"/>
            <w:vAlign w:val="bottom"/>
            <w:vMerge w:val="restart"/>
          </w:tcPr>
          <w:p>
            <w:pPr>
              <w:spacing w:after="0"/>
              <w:rPr>
                <w:sz w:val="20"/>
                <w:szCs w:val="20"/>
                <w:color w:val="auto"/>
              </w:rPr>
            </w:pPr>
            <w:r>
              <w:rPr>
                <w:rFonts w:ascii="Arial" w:cs="Arial" w:eastAsia="Arial" w:hAnsi="Arial"/>
                <w:sz w:val="12"/>
                <w:szCs w:val="12"/>
                <w:color w:val="auto"/>
              </w:rPr>
              <w:t>Ms. Ashkenazi</w:t>
            </w: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2,305</w:t>
            </w:r>
          </w:p>
        </w:tc>
        <w:tc>
          <w:tcPr>
            <w:tcW w:w="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$795,502</w:t>
            </w:r>
          </w:p>
        </w:tc>
        <w:tc>
          <w:tcPr>
            <w:tcW w:w="0" w:type="dxa"/>
            <w:vAlign w:val="bottom"/>
          </w:tcPr>
          <w:p>
            <w:pPr>
              <w:spacing w:after="0"/>
              <w:rPr>
                <w:sz w:val="1"/>
                <w:szCs w:val="1"/>
                <w:color w:val="auto"/>
              </w:rPr>
            </w:pPr>
          </w:p>
        </w:tc>
      </w:tr>
      <w:tr>
        <w:trPr>
          <w:trHeight w:val="131"/>
        </w:trPr>
        <w:tc>
          <w:tcPr>
            <w:tcW w:w="262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4</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1,824</w:t>
            </w: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$629,499</w:t>
            </w: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5</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7,756</w:t>
            </w: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$2,676,751</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2</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620" w:type="dxa"/>
            <w:vAlign w:val="bottom"/>
            <w:vMerge w:val="restart"/>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58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18,735</w:t>
            </w: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$4,597,382</w:t>
            </w:r>
          </w:p>
        </w:tc>
        <w:tc>
          <w:tcPr>
            <w:tcW w:w="0" w:type="dxa"/>
            <w:vAlign w:val="bottom"/>
          </w:tcPr>
          <w:p>
            <w:pPr>
              <w:spacing w:after="0"/>
              <w:rPr>
                <w:sz w:val="1"/>
                <w:szCs w:val="1"/>
                <w:color w:val="auto"/>
              </w:rPr>
            </w:pPr>
          </w:p>
        </w:tc>
      </w:tr>
      <w:tr>
        <w:trPr>
          <w:trHeight w:val="131"/>
        </w:trPr>
        <w:tc>
          <w:tcPr>
            <w:tcW w:w="2620" w:type="dxa"/>
            <w:vAlign w:val="bottom"/>
            <w:vMerge w:val="continue"/>
            <w:shd w:val="clear" w:color="auto" w:fill="F2F2F2"/>
          </w:tcPr>
          <w:p>
            <w:pPr>
              <w:spacing w:after="0"/>
              <w:rPr>
                <w:sz w:val="11"/>
                <w:szCs w:val="11"/>
                <w:color w:val="auto"/>
              </w:rPr>
            </w:pPr>
          </w:p>
        </w:tc>
        <w:tc>
          <w:tcPr>
            <w:tcW w:w="1580" w:type="dxa"/>
            <w:vAlign w:val="bottom"/>
            <w:vMerge w:val="continue"/>
            <w:shd w:val="clear" w:color="auto" w:fill="F2F2F2"/>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3</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shd w:val="clear" w:color="auto" w:fill="F2F2F2"/>
          </w:tcPr>
          <w:p>
            <w:pPr>
              <w:spacing w:after="0"/>
              <w:rPr>
                <w:sz w:val="7"/>
                <w:szCs w:val="7"/>
                <w:color w:val="auto"/>
              </w:rPr>
            </w:pPr>
          </w:p>
        </w:tc>
        <w:tc>
          <w:tcPr>
            <w:tcW w:w="158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19,373</w:t>
            </w:r>
          </w:p>
        </w:tc>
        <w:tc>
          <w:tcPr>
            <w:tcW w:w="40" w:type="dxa"/>
            <w:vAlign w:val="bottom"/>
            <w:shd w:val="clear" w:color="auto" w:fill="F2F2F2"/>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$6,686,010</w:t>
            </w:r>
          </w:p>
        </w:tc>
        <w:tc>
          <w:tcPr>
            <w:tcW w:w="0" w:type="dxa"/>
            <w:vAlign w:val="bottom"/>
          </w:tcPr>
          <w:p>
            <w:pPr>
              <w:spacing w:after="0"/>
              <w:rPr>
                <w:sz w:val="1"/>
                <w:szCs w:val="1"/>
                <w:color w:val="auto"/>
              </w:rPr>
            </w:pPr>
          </w:p>
        </w:tc>
      </w:tr>
      <w:tr>
        <w:trPr>
          <w:trHeight w:val="131"/>
        </w:trPr>
        <w:tc>
          <w:tcPr>
            <w:tcW w:w="2620" w:type="dxa"/>
            <w:vAlign w:val="bottom"/>
            <w:shd w:val="clear" w:color="auto" w:fill="F2F2F2"/>
          </w:tcPr>
          <w:p>
            <w:pPr>
              <w:spacing w:after="0"/>
              <w:rPr>
                <w:sz w:val="11"/>
                <w:szCs w:val="11"/>
                <w:color w:val="auto"/>
              </w:rPr>
            </w:pPr>
          </w:p>
        </w:tc>
        <w:tc>
          <w:tcPr>
            <w:tcW w:w="1580" w:type="dxa"/>
            <w:vAlign w:val="bottom"/>
            <w:vMerge w:val="continue"/>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4</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shd w:val="clear" w:color="auto" w:fill="F2F2F2"/>
          </w:tcPr>
          <w:p>
            <w:pPr>
              <w:spacing w:after="0"/>
              <w:rPr>
                <w:sz w:val="7"/>
                <w:szCs w:val="7"/>
                <w:color w:val="auto"/>
              </w:rPr>
            </w:pPr>
          </w:p>
        </w:tc>
        <w:tc>
          <w:tcPr>
            <w:tcW w:w="1580" w:type="dxa"/>
            <w:vAlign w:val="bottom"/>
            <w:vMerge w:val="restart"/>
            <w:shd w:val="clear" w:color="auto" w:fill="F2F2F2"/>
          </w:tcPr>
          <w:p>
            <w:pPr>
              <w:jc w:val="right"/>
              <w:spacing w:after="0"/>
              <w:rPr>
                <w:sz w:val="20"/>
                <w:szCs w:val="20"/>
                <w:color w:val="auto"/>
              </w:rPr>
            </w:pPr>
            <w:r>
              <w:rPr>
                <w:rFonts w:ascii="Arial" w:cs="Arial" w:eastAsia="Arial" w:hAnsi="Arial"/>
                <w:sz w:val="12"/>
                <w:szCs w:val="12"/>
                <w:color w:val="auto"/>
              </w:rPr>
              <w:t>13,960</w:t>
            </w:r>
          </w:p>
        </w:tc>
        <w:tc>
          <w:tcPr>
            <w:tcW w:w="40" w:type="dxa"/>
            <w:vAlign w:val="bottom"/>
            <w:shd w:val="clear" w:color="auto" w:fill="F2F2F2"/>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$4,817,875</w:t>
            </w:r>
          </w:p>
        </w:tc>
        <w:tc>
          <w:tcPr>
            <w:tcW w:w="0" w:type="dxa"/>
            <w:vAlign w:val="bottom"/>
          </w:tcPr>
          <w:p>
            <w:pPr>
              <w:spacing w:after="0"/>
              <w:rPr>
                <w:sz w:val="1"/>
                <w:szCs w:val="1"/>
                <w:color w:val="auto"/>
              </w:rPr>
            </w:pPr>
          </w:p>
        </w:tc>
      </w:tr>
      <w:tr>
        <w:trPr>
          <w:trHeight w:val="149"/>
        </w:trPr>
        <w:tc>
          <w:tcPr>
            <w:tcW w:w="2620" w:type="dxa"/>
            <w:vAlign w:val="bottom"/>
            <w:shd w:val="clear" w:color="auto" w:fill="F2F2F2"/>
          </w:tcPr>
          <w:p>
            <w:pPr>
              <w:spacing w:after="0"/>
              <w:rPr>
                <w:sz w:val="12"/>
                <w:szCs w:val="12"/>
                <w:color w:val="auto"/>
              </w:rPr>
            </w:pPr>
          </w:p>
        </w:tc>
        <w:tc>
          <w:tcPr>
            <w:tcW w:w="1580" w:type="dxa"/>
            <w:vAlign w:val="bottom"/>
            <w:vMerge w:val="continue"/>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3</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620" w:type="dxa"/>
            <w:vAlign w:val="bottom"/>
            <w:vMerge w:val="restart"/>
          </w:tcPr>
          <w:p>
            <w:pPr>
              <w:spacing w:after="0"/>
              <w:rPr>
                <w:sz w:val="20"/>
                <w:szCs w:val="20"/>
                <w:color w:val="auto"/>
              </w:rPr>
            </w:pPr>
            <w:r>
              <w:rPr>
                <w:rFonts w:ascii="Arial" w:cs="Arial" w:eastAsia="Arial" w:hAnsi="Arial"/>
                <w:sz w:val="12"/>
                <w:szCs w:val="12"/>
                <w:color w:val="auto"/>
              </w:rPr>
              <w:t>Ms. Hakim</w:t>
            </w: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9,450</w:t>
            </w:r>
          </w:p>
        </w:tc>
        <w:tc>
          <w:tcPr>
            <w:tcW w:w="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$3,261,384</w:t>
            </w:r>
          </w:p>
        </w:tc>
        <w:tc>
          <w:tcPr>
            <w:tcW w:w="0" w:type="dxa"/>
            <w:vAlign w:val="bottom"/>
          </w:tcPr>
          <w:p>
            <w:pPr>
              <w:spacing w:after="0"/>
              <w:rPr>
                <w:sz w:val="1"/>
                <w:szCs w:val="1"/>
                <w:color w:val="auto"/>
              </w:rPr>
            </w:pPr>
          </w:p>
        </w:tc>
      </w:tr>
      <w:tr>
        <w:trPr>
          <w:trHeight w:val="131"/>
        </w:trPr>
        <w:tc>
          <w:tcPr>
            <w:tcW w:w="262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4</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6,809</w:t>
            </w: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$2,349,922</w:t>
            </w: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6</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2"/>
                <w:szCs w:val="12"/>
                <w:color w:val="auto"/>
              </w:rPr>
              <w:t>7,929</w:t>
            </w: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$1,981,854</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3</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620" w:type="dxa"/>
            <w:vAlign w:val="bottom"/>
            <w:vMerge w:val="restart"/>
            <w:shd w:val="clear" w:color="auto" w:fill="F2F2F2"/>
          </w:tcPr>
          <w:p>
            <w:pPr>
              <w:spacing w:after="0"/>
              <w:rPr>
                <w:sz w:val="20"/>
                <w:szCs w:val="20"/>
                <w:color w:val="auto"/>
              </w:rPr>
            </w:pPr>
            <w:r>
              <w:rPr>
                <w:rFonts w:ascii="Arial" w:cs="Arial" w:eastAsia="Arial" w:hAnsi="Arial"/>
                <w:sz w:val="12"/>
                <w:szCs w:val="12"/>
                <w:color w:val="auto"/>
              </w:rPr>
              <w:t>Mr. Jonsson</w:t>
            </w:r>
          </w:p>
        </w:tc>
        <w:tc>
          <w:tcPr>
            <w:tcW w:w="1620" w:type="dxa"/>
            <w:vAlign w:val="bottom"/>
            <w:gridSpan w:val="2"/>
            <w:vMerge w:val="restart"/>
            <w:shd w:val="clear" w:color="auto" w:fill="F2F2F2"/>
          </w:tcPr>
          <w:p>
            <w:pPr>
              <w:jc w:val="right"/>
              <w:ind w:right="20"/>
              <w:spacing w:after="0"/>
              <w:rPr>
                <w:sz w:val="20"/>
                <w:szCs w:val="20"/>
                <w:color w:val="auto"/>
              </w:rPr>
            </w:pPr>
            <w:r>
              <w:rPr>
                <w:rFonts w:ascii="Arial" w:cs="Arial" w:eastAsia="Arial" w:hAnsi="Arial"/>
                <w:sz w:val="12"/>
                <w:szCs w:val="12"/>
                <w:color w:val="auto"/>
              </w:rPr>
              <w:t>8,269</w:t>
            </w: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$2,853,797</w:t>
            </w:r>
          </w:p>
        </w:tc>
        <w:tc>
          <w:tcPr>
            <w:tcW w:w="0" w:type="dxa"/>
            <w:vAlign w:val="bottom"/>
          </w:tcPr>
          <w:p>
            <w:pPr>
              <w:spacing w:after="0"/>
              <w:rPr>
                <w:sz w:val="1"/>
                <w:szCs w:val="1"/>
                <w:color w:val="auto"/>
              </w:rPr>
            </w:pPr>
          </w:p>
        </w:tc>
      </w:tr>
      <w:tr>
        <w:trPr>
          <w:trHeight w:val="131"/>
        </w:trPr>
        <w:tc>
          <w:tcPr>
            <w:tcW w:w="2620" w:type="dxa"/>
            <w:vAlign w:val="bottom"/>
            <w:vMerge w:val="continue"/>
            <w:shd w:val="clear" w:color="auto" w:fill="F2F2F2"/>
          </w:tcPr>
          <w:p>
            <w:pPr>
              <w:spacing w:after="0"/>
              <w:rPr>
                <w:sz w:val="11"/>
                <w:szCs w:val="11"/>
                <w:color w:val="auto"/>
              </w:rPr>
            </w:pPr>
          </w:p>
        </w:tc>
        <w:tc>
          <w:tcPr>
            <w:tcW w:w="1620" w:type="dxa"/>
            <w:vAlign w:val="bottom"/>
            <w:gridSpan w:val="2"/>
            <w:vMerge w:val="continue"/>
            <w:shd w:val="clear" w:color="auto" w:fill="F2F2F2"/>
          </w:tcPr>
          <w:p>
            <w:pPr>
              <w:spacing w:after="0"/>
              <w:rPr>
                <w:sz w:val="11"/>
                <w:szCs w:val="11"/>
                <w:color w:val="auto"/>
              </w:rPr>
            </w:pPr>
          </w:p>
        </w:tc>
        <w:tc>
          <w:tcPr>
            <w:tcW w:w="400" w:type="dxa"/>
            <w:vAlign w:val="bottom"/>
            <w:vMerge w:val="restart"/>
          </w:tcPr>
          <w:p>
            <w:pPr>
              <w:jc w:val="right"/>
              <w:ind w:right="300"/>
              <w:spacing w:after="0"/>
              <w:rPr>
                <w:sz w:val="20"/>
                <w:szCs w:val="20"/>
                <w:color w:val="auto"/>
              </w:rPr>
            </w:pPr>
            <w:r>
              <w:rPr>
                <w:rFonts w:ascii="Arial" w:cs="Arial" w:eastAsia="Arial" w:hAnsi="Arial"/>
                <w:sz w:val="8"/>
                <w:szCs w:val="8"/>
                <w:color w:val="auto"/>
                <w:w w:val="88"/>
              </w:rPr>
              <w:t>4</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20" w:type="dxa"/>
            <w:vAlign w:val="bottom"/>
            <w:shd w:val="clear" w:color="auto" w:fill="F2F2F2"/>
          </w:tcPr>
          <w:p>
            <w:pPr>
              <w:spacing w:after="0"/>
              <w:rPr>
                <w:sz w:val="7"/>
                <w:szCs w:val="7"/>
                <w:color w:val="auto"/>
              </w:rPr>
            </w:pPr>
          </w:p>
        </w:tc>
        <w:tc>
          <w:tcPr>
            <w:tcW w:w="1620" w:type="dxa"/>
            <w:vAlign w:val="bottom"/>
            <w:gridSpan w:val="2"/>
            <w:vMerge w:val="restart"/>
            <w:shd w:val="clear" w:color="auto" w:fill="F2F2F2"/>
          </w:tcPr>
          <w:p>
            <w:pPr>
              <w:jc w:val="right"/>
              <w:ind w:right="20"/>
              <w:spacing w:after="0"/>
              <w:rPr>
                <w:sz w:val="20"/>
                <w:szCs w:val="20"/>
                <w:color w:val="auto"/>
              </w:rPr>
            </w:pPr>
            <w:r>
              <w:rPr>
                <w:rFonts w:ascii="Arial" w:cs="Arial" w:eastAsia="Arial" w:hAnsi="Arial"/>
                <w:sz w:val="12"/>
                <w:szCs w:val="12"/>
                <w:color w:val="auto"/>
              </w:rPr>
              <w:t>5,959</w:t>
            </w:r>
          </w:p>
        </w:tc>
        <w:tc>
          <w:tcPr>
            <w:tcW w:w="4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$2,056,570</w:t>
            </w:r>
          </w:p>
        </w:tc>
        <w:tc>
          <w:tcPr>
            <w:tcW w:w="0" w:type="dxa"/>
            <w:vAlign w:val="bottom"/>
          </w:tcPr>
          <w:p>
            <w:pPr>
              <w:spacing w:after="0"/>
              <w:rPr>
                <w:sz w:val="1"/>
                <w:szCs w:val="1"/>
                <w:color w:val="auto"/>
              </w:rPr>
            </w:pPr>
          </w:p>
        </w:tc>
      </w:tr>
      <w:tr>
        <w:trPr>
          <w:trHeight w:val="149"/>
        </w:trPr>
        <w:tc>
          <w:tcPr>
            <w:tcW w:w="2620" w:type="dxa"/>
            <w:vAlign w:val="bottom"/>
            <w:shd w:val="clear" w:color="auto" w:fill="F2F2F2"/>
          </w:tcPr>
          <w:p>
            <w:pPr>
              <w:spacing w:after="0"/>
              <w:rPr>
                <w:sz w:val="12"/>
                <w:szCs w:val="12"/>
                <w:color w:val="auto"/>
              </w:rPr>
            </w:pPr>
          </w:p>
        </w:tc>
        <w:tc>
          <w:tcPr>
            <w:tcW w:w="1620" w:type="dxa"/>
            <w:vAlign w:val="bottom"/>
            <w:gridSpan w:val="2"/>
            <w:vMerge w:val="continue"/>
            <w:shd w:val="clear" w:color="auto" w:fill="F2F2F2"/>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-1972310</wp:posOffset>
            </wp:positionV>
            <wp:extent cx="3642360" cy="197294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3642360" cy="1972945"/>
                    </a:xfrm>
                    <a:prstGeom prst="rect">
                      <a:avLst/>
                    </a:prstGeom>
                    <a:noFill/>
                  </pic:spPr>
                </pic:pic>
              </a:graphicData>
            </a:graphic>
          </wp:anchor>
        </w:drawing>
      </w:r>
    </w:p>
    <w:p>
      <w:pPr>
        <w:spacing w:after="0" w:line="136" w:lineRule="exact"/>
        <w:rPr>
          <w:sz w:val="20"/>
          <w:szCs w:val="20"/>
          <w:color w:val="auto"/>
        </w:rPr>
      </w:pPr>
    </w:p>
    <w:p>
      <w:pPr>
        <w:ind w:left="87" w:hanging="87"/>
        <w:spacing w:after="0"/>
        <w:tabs>
          <w:tab w:leader="none" w:pos="87" w:val="left"/>
        </w:tabs>
        <w:numPr>
          <w:ilvl w:val="0"/>
          <w:numId w:val="164"/>
        </w:numPr>
        <w:rPr>
          <w:rFonts w:ascii="Arial" w:cs="Arial" w:eastAsia="Arial" w:hAnsi="Arial"/>
          <w:sz w:val="8"/>
          <w:szCs w:val="8"/>
          <w:color w:val="auto"/>
        </w:rPr>
      </w:pPr>
      <w:r>
        <w:rPr>
          <w:rFonts w:ascii="Arial" w:cs="Arial" w:eastAsia="Arial" w:hAnsi="Arial"/>
          <w:sz w:val="12"/>
          <w:szCs w:val="12"/>
          <w:color w:val="auto"/>
        </w:rPr>
        <w:t>Amounts reflect the market value of Lilly stock on the day value is realized.</w:t>
      </w:r>
    </w:p>
    <w:p>
      <w:pPr>
        <w:spacing w:after="0" w:line="41" w:lineRule="exact"/>
        <w:rPr>
          <w:sz w:val="20"/>
          <w:szCs w:val="20"/>
          <w:color w:val="auto"/>
        </w:rPr>
      </w:pPr>
    </w:p>
    <w:p>
      <w:pPr>
        <w:ind w:left="87" w:hanging="87"/>
        <w:spacing w:after="0"/>
        <w:tabs>
          <w:tab w:leader="none" w:pos="87" w:val="left"/>
        </w:tabs>
        <w:numPr>
          <w:ilvl w:val="0"/>
          <w:numId w:val="165"/>
        </w:numPr>
        <w:rPr>
          <w:rFonts w:ascii="Arial" w:cs="Arial" w:eastAsia="Arial" w:hAnsi="Arial"/>
          <w:sz w:val="16"/>
          <w:szCs w:val="16"/>
          <w:color w:val="auto"/>
          <w:vertAlign w:val="superscript"/>
        </w:rPr>
      </w:pPr>
      <w:r>
        <w:rPr>
          <w:rFonts w:ascii="Arial" w:cs="Arial" w:eastAsia="Arial" w:hAnsi="Arial"/>
          <w:sz w:val="12"/>
          <w:szCs w:val="12"/>
          <w:color w:val="auto"/>
        </w:rPr>
        <w:t>Restricted stock units resulting from the 2019-2021 performance award that vested in February 2022.</w:t>
      </w:r>
    </w:p>
    <w:p>
      <w:pPr>
        <w:spacing w:after="0" w:line="45" w:lineRule="exact"/>
        <w:rPr>
          <w:rFonts w:ascii="Arial" w:cs="Arial" w:eastAsia="Arial" w:hAnsi="Arial"/>
          <w:sz w:val="16"/>
          <w:szCs w:val="16"/>
          <w:color w:val="auto"/>
          <w:vertAlign w:val="superscript"/>
        </w:rPr>
      </w:pPr>
    </w:p>
    <w:p>
      <w:pPr>
        <w:ind w:left="7" w:right="7060"/>
        <w:spacing w:after="0" w:line="290"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2"/>
          <w:szCs w:val="12"/>
          <w:color w:val="auto"/>
        </w:rPr>
        <w:t xml:space="preserve"> Payout of the 2020-2022 shareholder value award at 175 percent of target. </w:t>
      </w:r>
      <w:r>
        <w:rPr>
          <w:rFonts w:ascii="Arial" w:cs="Arial" w:eastAsia="Arial" w:hAnsi="Arial"/>
          <w:sz w:val="16"/>
          <w:szCs w:val="16"/>
          <w:color w:val="auto"/>
          <w:vertAlign w:val="superscript"/>
        </w:rPr>
        <w:t>4</w:t>
      </w:r>
      <w:r>
        <w:rPr>
          <w:rFonts w:ascii="Arial" w:cs="Arial" w:eastAsia="Arial" w:hAnsi="Arial"/>
          <w:sz w:val="12"/>
          <w:szCs w:val="12"/>
          <w:color w:val="auto"/>
        </w:rPr>
        <w:t xml:space="preserve"> Payout of the 2020-2022 relative value award at 175 percent of target.</w:t>
      </w:r>
    </w:p>
    <w:p>
      <w:pPr>
        <w:spacing w:after="0" w:line="1" w:lineRule="exact"/>
        <w:rPr>
          <w:sz w:val="20"/>
          <w:szCs w:val="20"/>
          <w:color w:val="auto"/>
        </w:rPr>
      </w:pPr>
    </w:p>
    <w:p>
      <w:pPr>
        <w:ind w:left="147" w:right="220" w:hanging="147"/>
        <w:spacing w:after="0" w:line="223" w:lineRule="auto"/>
        <w:tabs>
          <w:tab w:leader="none" w:pos="86" w:val="left"/>
        </w:tabs>
        <w:numPr>
          <w:ilvl w:val="0"/>
          <w:numId w:val="166"/>
        </w:numPr>
        <w:rPr>
          <w:rFonts w:ascii="Arial" w:cs="Arial" w:eastAsia="Arial" w:hAnsi="Arial"/>
          <w:sz w:val="16"/>
          <w:szCs w:val="16"/>
          <w:color w:val="auto"/>
          <w:vertAlign w:val="superscript"/>
        </w:rPr>
      </w:pPr>
      <w:r>
        <w:rPr>
          <w:rFonts w:ascii="Arial" w:cs="Arial" w:eastAsia="Arial" w:hAnsi="Arial"/>
          <w:sz w:val="12"/>
          <w:szCs w:val="12"/>
          <w:color w:val="auto"/>
        </w:rPr>
        <w:t>Payout of the 2021-2023 performance award at 140 percent of target for Ms. Ashkenazi. She was not an executive officer in 2021 at the time of grant; therefore, no additional 13-month service-vesting period applied.</w:t>
      </w:r>
    </w:p>
    <w:p>
      <w:pPr>
        <w:spacing w:after="0" w:line="16" w:lineRule="exact"/>
        <w:rPr>
          <w:sz w:val="20"/>
          <w:szCs w:val="20"/>
          <w:color w:val="auto"/>
        </w:rPr>
      </w:pPr>
    </w:p>
    <w:p>
      <w:pPr>
        <w:ind w:left="87" w:hanging="87"/>
        <w:spacing w:after="0"/>
        <w:tabs>
          <w:tab w:leader="none" w:pos="87" w:val="left"/>
        </w:tabs>
        <w:numPr>
          <w:ilvl w:val="0"/>
          <w:numId w:val="167"/>
        </w:numPr>
        <w:rPr>
          <w:rFonts w:ascii="Arial" w:cs="Arial" w:eastAsia="Arial" w:hAnsi="Arial"/>
          <w:sz w:val="16"/>
          <w:szCs w:val="16"/>
          <w:color w:val="auto"/>
          <w:vertAlign w:val="superscript"/>
        </w:rPr>
      </w:pPr>
      <w:r>
        <w:rPr>
          <w:rFonts w:ascii="Arial" w:cs="Arial" w:eastAsia="Arial" w:hAnsi="Arial"/>
          <w:sz w:val="12"/>
          <w:szCs w:val="12"/>
          <w:color w:val="auto"/>
        </w:rPr>
        <w:t>This grant was made outside of the normal annual cycle in 2020 when Ms. Hakim joined Lilly.</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Retirement Benefits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color w:val="auto"/>
        </w:rPr>
        <w:t>We provide retirement income to eligible U.S. employees, including executive officers, through the following plans:</w:t>
      </w:r>
    </w:p>
    <w:p>
      <w:pPr>
        <w:spacing w:after="0" w:line="143" w:lineRule="exact"/>
        <w:rPr>
          <w:sz w:val="20"/>
          <w:szCs w:val="20"/>
          <w:color w:val="auto"/>
        </w:rPr>
      </w:pPr>
    </w:p>
    <w:p>
      <w:pPr>
        <w:ind w:left="287" w:right="100" w:hanging="287"/>
        <w:spacing w:after="0" w:line="250" w:lineRule="auto"/>
        <w:tabs>
          <w:tab w:leader="none" w:pos="277" w:val="left"/>
        </w:tabs>
        <w:numPr>
          <w:ilvl w:val="0"/>
          <w:numId w:val="168"/>
        </w:numPr>
        <w:rPr>
          <w:rFonts w:ascii="Arial" w:cs="Arial" w:eastAsia="Arial" w:hAnsi="Arial"/>
          <w:sz w:val="14"/>
          <w:szCs w:val="14"/>
          <w:color w:val="auto"/>
        </w:rPr>
      </w:pPr>
      <w:r>
        <w:rPr>
          <w:rFonts w:ascii="Arial" w:cs="Arial" w:eastAsia="Arial" w:hAnsi="Arial"/>
          <w:sz w:val="16"/>
          <w:szCs w:val="16"/>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w:t>
      </w:r>
      <w:r>
        <w:rPr>
          <w:rFonts w:ascii="Arial" w:cs="Arial" w:eastAsia="Arial" w:hAnsi="Arial"/>
          <w:sz w:val="16"/>
          <w:szCs w:val="16"/>
          <w:u w:val="single" w:color="auto"/>
          <w:color w:val="0000FF"/>
        </w:rPr>
        <w:t>All Other Compensation</w:t>
      </w:r>
      <w:r>
        <w:rPr>
          <w:rFonts w:ascii="Arial" w:cs="Arial" w:eastAsia="Arial" w:hAnsi="Arial"/>
          <w:sz w:val="16"/>
          <w:szCs w:val="16"/>
          <w:color w:val="auto"/>
        </w:rPr>
        <w:t>” column in the Summary Compensation Table for information about company contributions under the 401(k) Plan for the named executive officers.</w:t>
      </w:r>
    </w:p>
    <w:p>
      <w:pPr>
        <w:spacing w:after="0" w:line="116" w:lineRule="exact"/>
        <w:rPr>
          <w:rFonts w:ascii="Arial" w:cs="Arial" w:eastAsia="Arial" w:hAnsi="Arial"/>
          <w:sz w:val="14"/>
          <w:szCs w:val="14"/>
          <w:color w:val="auto"/>
        </w:rPr>
      </w:pPr>
    </w:p>
    <w:p>
      <w:pPr>
        <w:ind w:left="287" w:right="100" w:hanging="287"/>
        <w:spacing w:after="0" w:line="271" w:lineRule="auto"/>
        <w:tabs>
          <w:tab w:leader="none" w:pos="277" w:val="left"/>
        </w:tabs>
        <w:numPr>
          <w:ilvl w:val="0"/>
          <w:numId w:val="168"/>
        </w:numPr>
        <w:rPr>
          <w:rFonts w:ascii="Arial" w:cs="Arial" w:eastAsia="Arial" w:hAnsi="Arial"/>
          <w:sz w:val="14"/>
          <w:szCs w:val="14"/>
          <w:color w:val="auto"/>
        </w:rPr>
      </w:pPr>
      <w:r>
        <w:rPr>
          <w:rFonts w:ascii="Arial" w:cs="Arial" w:eastAsia="Arial" w:hAnsi="Arial"/>
          <w:sz w:val="16"/>
          <w:szCs w:val="16"/>
          <w:color w:val="auto"/>
        </w:rPr>
        <w:t>The Retirement Plan, a tax-qualified defined benefit plan that provides monthly benefits to retirees. See the Pension Benefits in 2021 table below for additional information about the value of these pension benefits.</w:t>
      </w:r>
    </w:p>
    <w:p>
      <w:pPr>
        <w:spacing w:after="0" w:line="200" w:lineRule="exact"/>
        <w:rPr>
          <w:sz w:val="20"/>
          <w:szCs w:val="20"/>
          <w:color w:val="auto"/>
        </w:rPr>
      </w:pPr>
    </w:p>
    <w:p>
      <w:pPr>
        <w:spacing w:after="0" w:line="25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92" w:right="319" w:bottom="1440" w:gutter="0" w:footer="0" w:header="0"/>
        </w:sectPr>
      </w:pPr>
    </w:p>
    <w:bookmarkStart w:id="78" w:name="page79"/>
    <w:bookmarkEnd w:id="78"/>
    <w:p>
      <w:pPr>
        <w:ind w:left="7" w:right="80"/>
        <w:spacing w:after="0" w:line="248" w:lineRule="auto"/>
        <w:rPr>
          <w:sz w:val="20"/>
          <w:szCs w:val="20"/>
          <w:color w:val="auto"/>
        </w:rPr>
      </w:pPr>
      <w:r>
        <w:rPr>
          <w:rFonts w:ascii="Arial" w:cs="Arial" w:eastAsia="Arial" w:hAnsi="Arial"/>
          <w:sz w:val="16"/>
          <w:szCs w:val="16"/>
          <w:color w:val="auto"/>
        </w:rPr>
        <w:t>Sections 401 and 415 of the Internal Revenue Code generally limit the amount of annual pension that can be paid from a tax-qualified plan ($ 245,000 in 2022 and $265,000 in 2023) as well as the amount of annual earnings that can be used to calculate a pension benefit ($305,000 in 2022 and $330,000 in 2023). However, since 1975 the company has maintained a nonqualified pension plan that pays eligible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r>
        <w:rPr>
          <w:rFonts w:ascii="Arial" w:cs="Arial" w:eastAsia="Arial" w:hAnsi="Arial"/>
          <w:sz w:val="16"/>
          <w:szCs w:val="16"/>
          <w:u w:val="single" w:color="auto"/>
          <w:color w:val="0000FF"/>
        </w:rPr>
        <w:t>Nonqualified Deferred Compensation in 2022</w:t>
      </w:r>
      <w:r>
        <w:rPr>
          <w:rFonts w:ascii="Arial" w:cs="Arial" w:eastAsia="Arial" w:hAnsi="Arial"/>
          <w:sz w:val="16"/>
          <w:szCs w:val="16"/>
          <w:color w:val="auto"/>
        </w:rPr>
        <w:t>” table.</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shows benefits that the named executive officers have accrued under the Retirement Plan and the nonqualified pension plan.</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Pension Benefits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4784725" cy="762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139"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Number of Years Credited</w:t>
            </w:r>
          </w:p>
        </w:tc>
        <w:tc>
          <w:tcPr>
            <w:tcW w:w="1660" w:type="dxa"/>
            <w:vAlign w:val="bottom"/>
          </w:tcPr>
          <w:p>
            <w:pPr>
              <w:jc w:val="right"/>
              <w:ind w:right="298"/>
              <w:spacing w:after="0"/>
              <w:rPr>
                <w:sz w:val="20"/>
                <w:szCs w:val="20"/>
                <w:color w:val="auto"/>
              </w:rPr>
            </w:pPr>
            <w:r>
              <w:rPr>
                <w:rFonts w:ascii="Arial" w:cs="Arial" w:eastAsia="Arial" w:hAnsi="Arial"/>
                <w:sz w:val="12"/>
                <w:szCs w:val="12"/>
                <w:b w:val="1"/>
                <w:bCs w:val="1"/>
                <w:color w:val="auto"/>
              </w:rPr>
              <w:t>Present Value of</w:t>
            </w:r>
          </w:p>
        </w:tc>
        <w:tc>
          <w:tcPr>
            <w:tcW w:w="12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Payments During</w:t>
            </w:r>
          </w:p>
        </w:tc>
        <w:tc>
          <w:tcPr>
            <w:tcW w:w="0" w:type="dxa"/>
            <w:vAlign w:val="bottom"/>
          </w:tcPr>
          <w:p>
            <w:pPr>
              <w:spacing w:after="0"/>
              <w:rPr>
                <w:sz w:val="1"/>
                <w:szCs w:val="1"/>
                <w:color w:val="auto"/>
              </w:rPr>
            </w:pPr>
          </w:p>
        </w:tc>
      </w:tr>
      <w:tr>
        <w:trPr>
          <w:trHeight w:val="128"/>
        </w:trPr>
        <w:tc>
          <w:tcPr>
            <w:tcW w:w="110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64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Plan Name</w:t>
            </w:r>
          </w:p>
        </w:tc>
        <w:tc>
          <w:tcPr>
            <w:tcW w:w="3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660" w:type="dxa"/>
            <w:vAlign w:val="bottom"/>
          </w:tcPr>
          <w:p>
            <w:pPr>
              <w:jc w:val="right"/>
              <w:ind w:right="18"/>
              <w:spacing w:after="0" w:line="128" w:lineRule="exact"/>
              <w:rPr>
                <w:sz w:val="20"/>
                <w:szCs w:val="20"/>
                <w:color w:val="auto"/>
              </w:rPr>
            </w:pPr>
            <w:r>
              <w:rPr>
                <w:rFonts w:ascii="Arial" w:cs="Arial" w:eastAsia="Arial" w:hAnsi="Arial"/>
                <w:sz w:val="11"/>
                <w:szCs w:val="11"/>
                <w:b w:val="1"/>
                <w:bCs w:val="1"/>
                <w:color w:val="auto"/>
              </w:rPr>
              <w:t xml:space="preserve">Accumulated Benefit ($) </w:t>
            </w:r>
            <w:r>
              <w:rPr>
                <w:rFonts w:ascii="Arial" w:cs="Arial" w:eastAsia="Arial" w:hAnsi="Arial"/>
                <w:sz w:val="14"/>
                <w:szCs w:val="14"/>
                <w:b w:val="1"/>
                <w:bCs w:val="1"/>
                <w:color w:val="auto"/>
                <w:vertAlign w:val="superscript"/>
              </w:rPr>
              <w:t>1</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00" w:type="dxa"/>
            <w:vAlign w:val="bottom"/>
            <w:tcBorders>
              <w:bottom w:val="single" w:sz="8" w:color="6D6D6D"/>
            </w:tcBorders>
            <w:vMerge w:val="continue"/>
          </w:tcPr>
          <w:p>
            <w:pPr>
              <w:spacing w:after="0"/>
              <w:rPr>
                <w:sz w:val="9"/>
                <w:szCs w:val="9"/>
                <w:color w:val="auto"/>
              </w:rPr>
            </w:pPr>
          </w:p>
        </w:tc>
        <w:tc>
          <w:tcPr>
            <w:tcW w:w="1640" w:type="dxa"/>
            <w:vAlign w:val="bottom"/>
            <w:tcBorders>
              <w:bottom w:val="single" w:sz="8" w:color="6D6D6D"/>
            </w:tcBorders>
            <w:vMerge w:val="continue"/>
          </w:tcPr>
          <w:p>
            <w:pPr>
              <w:spacing w:after="0"/>
              <w:rPr>
                <w:sz w:val="9"/>
                <w:szCs w:val="9"/>
                <w:color w:val="auto"/>
              </w:rPr>
            </w:pPr>
          </w:p>
        </w:tc>
        <w:tc>
          <w:tcPr>
            <w:tcW w:w="300" w:type="dxa"/>
            <w:vAlign w:val="bottom"/>
            <w:tcBorders>
              <w:bottom w:val="single" w:sz="8" w:color="6D6D6D"/>
            </w:tcBorders>
          </w:tcPr>
          <w:p>
            <w:pPr>
              <w:spacing w:after="0"/>
              <w:rPr>
                <w:sz w:val="9"/>
                <w:szCs w:val="9"/>
                <w:color w:val="auto"/>
              </w:rPr>
            </w:pPr>
          </w:p>
        </w:tc>
        <w:tc>
          <w:tcPr>
            <w:tcW w:w="1560" w:type="dxa"/>
            <w:vAlign w:val="bottom"/>
            <w:tcBorders>
              <w:bottom w:val="single" w:sz="8" w:color="6D6D6D"/>
            </w:tcBorders>
          </w:tcPr>
          <w:p>
            <w:pPr>
              <w:jc w:val="center"/>
              <w:spacing w:after="0" w:line="105" w:lineRule="exact"/>
              <w:rPr>
                <w:sz w:val="20"/>
                <w:szCs w:val="20"/>
                <w:color w:val="auto"/>
              </w:rPr>
            </w:pPr>
            <w:r>
              <w:rPr>
                <w:rFonts w:ascii="Arial" w:cs="Arial" w:eastAsia="Arial" w:hAnsi="Arial"/>
                <w:sz w:val="12"/>
                <w:szCs w:val="12"/>
                <w:b w:val="1"/>
                <w:bCs w:val="1"/>
                <w:color w:val="auto"/>
              </w:rPr>
              <w:t>Service</w:t>
            </w:r>
          </w:p>
        </w:tc>
        <w:tc>
          <w:tcPr>
            <w:tcW w:w="1660" w:type="dxa"/>
            <w:vAlign w:val="bottom"/>
            <w:tcBorders>
              <w:bottom w:val="single" w:sz="8" w:color="6D6D6D"/>
            </w:tcBorders>
          </w:tcPr>
          <w:p>
            <w:pPr>
              <w:spacing w:after="0"/>
              <w:rPr>
                <w:sz w:val="9"/>
                <w:szCs w:val="9"/>
                <w:color w:val="auto"/>
              </w:rPr>
            </w:pPr>
          </w:p>
        </w:tc>
        <w:tc>
          <w:tcPr>
            <w:tcW w:w="1260" w:type="dxa"/>
            <w:vAlign w:val="bottom"/>
            <w:tcBorders>
              <w:bottom w:val="single" w:sz="8" w:color="6D6D6D"/>
            </w:tcBorders>
          </w:tcPr>
          <w:p>
            <w:pPr>
              <w:jc w:val="right"/>
              <w:spacing w:after="0" w:line="105" w:lineRule="exact"/>
              <w:rPr>
                <w:sz w:val="20"/>
                <w:szCs w:val="20"/>
                <w:color w:val="auto"/>
              </w:rPr>
            </w:pPr>
            <w:r>
              <w:rPr>
                <w:rFonts w:ascii="Arial" w:cs="Arial" w:eastAsia="Arial" w:hAnsi="Arial"/>
                <w:sz w:val="12"/>
                <w:szCs w:val="12"/>
                <w:b w:val="1"/>
                <w:bCs w:val="1"/>
                <w:color w:val="auto"/>
              </w:rPr>
              <w:t>Last Fiscal Year ($)</w:t>
            </w:r>
          </w:p>
        </w:tc>
        <w:tc>
          <w:tcPr>
            <w:tcW w:w="0" w:type="dxa"/>
            <w:vAlign w:val="bottom"/>
          </w:tcPr>
          <w:p>
            <w:pPr>
              <w:spacing w:after="0"/>
              <w:rPr>
                <w:sz w:val="1"/>
                <w:szCs w:val="1"/>
                <w:color w:val="auto"/>
              </w:rPr>
            </w:pPr>
          </w:p>
        </w:tc>
      </w:tr>
      <w:tr>
        <w:trPr>
          <w:trHeight w:val="184"/>
        </w:trPr>
        <w:tc>
          <w:tcPr>
            <w:tcW w:w="110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retirement plan (pre-2010)</w:t>
            </w:r>
          </w:p>
        </w:tc>
        <w:tc>
          <w:tcPr>
            <w:tcW w:w="1860" w:type="dxa"/>
            <w:vAlign w:val="bottom"/>
            <w:gridSpan w:val="2"/>
            <w:shd w:val="clear" w:color="auto" w:fill="F2F2F2"/>
          </w:tcPr>
          <w:p>
            <w:pPr>
              <w:jc w:val="center"/>
              <w:ind w:left="218"/>
              <w:spacing w:after="0"/>
              <w:rPr>
                <w:sz w:val="20"/>
                <w:szCs w:val="20"/>
                <w:color w:val="auto"/>
              </w:rPr>
            </w:pPr>
            <w:r>
              <w:rPr>
                <w:rFonts w:ascii="Arial" w:cs="Arial" w:eastAsia="Arial" w:hAnsi="Arial"/>
                <w:sz w:val="12"/>
                <w:szCs w:val="12"/>
                <w:color w:val="auto"/>
              </w:rPr>
              <w:t>14</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$630,082</w:t>
            </w:r>
          </w:p>
        </w:tc>
        <w:tc>
          <w:tcPr>
            <w:tcW w:w="12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0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retirement plan (post-2009)</w:t>
            </w:r>
          </w:p>
        </w:tc>
        <w:tc>
          <w:tcPr>
            <w:tcW w:w="300" w:type="dxa"/>
            <w:vAlign w:val="bottom"/>
            <w:shd w:val="clear" w:color="auto" w:fill="F2F2F2"/>
          </w:tcPr>
          <w:p>
            <w:pPr>
              <w:spacing w:after="0"/>
              <w:rPr>
                <w:sz w:val="19"/>
                <w:szCs w:val="19"/>
                <w:color w:val="auto"/>
              </w:rPr>
            </w:pPr>
          </w:p>
        </w:tc>
        <w:tc>
          <w:tcPr>
            <w:tcW w:w="15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13</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$351,957</w:t>
            </w:r>
          </w:p>
        </w:tc>
        <w:tc>
          <w:tcPr>
            <w:tcW w:w="12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nonqualified plan (pre-2010)</w:t>
            </w:r>
          </w:p>
        </w:tc>
        <w:tc>
          <w:tcPr>
            <w:tcW w:w="300" w:type="dxa"/>
            <w:vAlign w:val="bottom"/>
            <w:shd w:val="clear" w:color="auto" w:fill="F2F2F2"/>
          </w:tcPr>
          <w:p>
            <w:pPr>
              <w:spacing w:after="0"/>
              <w:rPr>
                <w:sz w:val="19"/>
                <w:szCs w:val="19"/>
                <w:color w:val="auto"/>
              </w:rPr>
            </w:pPr>
          </w:p>
        </w:tc>
        <w:tc>
          <w:tcPr>
            <w:tcW w:w="15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14</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$9,226,014</w:t>
            </w:r>
          </w:p>
        </w:tc>
        <w:tc>
          <w:tcPr>
            <w:tcW w:w="12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nonqualified plan (post-2009)</w:t>
            </w:r>
          </w:p>
        </w:tc>
        <w:tc>
          <w:tcPr>
            <w:tcW w:w="300" w:type="dxa"/>
            <w:vAlign w:val="bottom"/>
            <w:shd w:val="clear" w:color="auto" w:fill="F2F2F2"/>
          </w:tcPr>
          <w:p>
            <w:pPr>
              <w:spacing w:after="0"/>
              <w:rPr>
                <w:sz w:val="19"/>
                <w:szCs w:val="19"/>
                <w:color w:val="auto"/>
              </w:rPr>
            </w:pPr>
          </w:p>
        </w:tc>
        <w:tc>
          <w:tcPr>
            <w:tcW w:w="15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13</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$5,041,161</w:t>
            </w:r>
          </w:p>
        </w:tc>
        <w:tc>
          <w:tcPr>
            <w:tcW w:w="12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00" w:type="dxa"/>
            <w:vAlign w:val="bottom"/>
            <w:shd w:val="clear" w:color="auto" w:fill="F2F2F2"/>
          </w:tcPr>
          <w:p>
            <w:pPr>
              <w:spacing w:after="0"/>
              <w:rPr>
                <w:sz w:val="20"/>
                <w:szCs w:val="20"/>
                <w:color w:val="auto"/>
              </w:rPr>
            </w:pPr>
          </w:p>
        </w:tc>
        <w:tc>
          <w:tcPr>
            <w:tcW w:w="1640" w:type="dxa"/>
            <w:vAlign w:val="bottom"/>
            <w:shd w:val="clear" w:color="auto" w:fill="F2F2F2"/>
          </w:tcPr>
          <w:p>
            <w:pPr>
              <w:spacing w:after="0"/>
              <w:rPr>
                <w:sz w:val="20"/>
                <w:szCs w:val="20"/>
                <w:color w:val="auto"/>
              </w:rPr>
            </w:pPr>
          </w:p>
        </w:tc>
        <w:tc>
          <w:tcPr>
            <w:tcW w:w="300" w:type="dxa"/>
            <w:vAlign w:val="bottom"/>
            <w:shd w:val="clear" w:color="auto" w:fill="F2F2F2"/>
          </w:tcPr>
          <w:p>
            <w:pPr>
              <w:ind w:left="40"/>
              <w:spacing w:after="0"/>
              <w:rPr>
                <w:sz w:val="20"/>
                <w:szCs w:val="20"/>
                <w:color w:val="auto"/>
              </w:rPr>
            </w:pPr>
            <w:r>
              <w:rPr>
                <w:rFonts w:ascii="Arial" w:cs="Arial" w:eastAsia="Arial" w:hAnsi="Arial"/>
                <w:sz w:val="12"/>
                <w:szCs w:val="12"/>
                <w:color w:val="auto"/>
              </w:rPr>
              <w:t>total</w:t>
            </w:r>
          </w:p>
        </w:tc>
        <w:tc>
          <w:tcPr>
            <w:tcW w:w="1560" w:type="dxa"/>
            <w:vAlign w:val="bottom"/>
            <w:shd w:val="clear" w:color="auto" w:fill="F2F2F2"/>
          </w:tcPr>
          <w:p>
            <w:pPr>
              <w:spacing w:after="0"/>
              <w:rPr>
                <w:sz w:val="20"/>
                <w:szCs w:val="20"/>
                <w:color w:val="auto"/>
              </w:rPr>
            </w:pP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$15,249,214</w:t>
            </w:r>
          </w:p>
        </w:tc>
        <w:tc>
          <w:tcPr>
            <w:tcW w:w="12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Arial" w:cs="Arial" w:eastAsia="Arial" w:hAnsi="Arial"/>
                <w:sz w:val="12"/>
                <w:szCs w:val="12"/>
                <w:color w:val="auto"/>
              </w:rPr>
              <w:t>Ms. Ashkenazi</w:t>
            </w:r>
          </w:p>
        </w:tc>
        <w:tc>
          <w:tcPr>
            <w:tcW w:w="1640" w:type="dxa"/>
            <w:vAlign w:val="bottom"/>
          </w:tcPr>
          <w:p>
            <w:pPr>
              <w:spacing w:after="0"/>
              <w:rPr>
                <w:sz w:val="20"/>
                <w:szCs w:val="20"/>
                <w:color w:val="auto"/>
              </w:rPr>
            </w:pPr>
            <w:r>
              <w:rPr>
                <w:rFonts w:ascii="Arial" w:cs="Arial" w:eastAsia="Arial" w:hAnsi="Arial"/>
                <w:sz w:val="12"/>
                <w:szCs w:val="12"/>
                <w:color w:val="auto"/>
              </w:rPr>
              <w:t>retirement plan (pre-2010)</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w w:val="89"/>
              </w:rPr>
              <w:t>9</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$321,129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2"/>
                <w:szCs w:val="12"/>
                <w:color w:val="auto"/>
              </w:rPr>
              <w:t>retirement plan (post-2009)</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rPr>
              <w:t>13</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$267,432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2"/>
                <w:szCs w:val="12"/>
                <w:color w:val="auto"/>
              </w:rPr>
              <w:t>retirement plan (post-2009)</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w w:val="89"/>
              </w:rPr>
              <w:t>9</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$922,919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2"/>
                <w:szCs w:val="12"/>
                <w:color w:val="auto"/>
              </w:rPr>
              <w:t>nonqualified plan (post-2009)</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rPr>
              <w:t>13</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$770,780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2"/>
                <w:szCs w:val="12"/>
                <w:color w:val="auto"/>
              </w:rPr>
              <w:t>total</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$2,282,260</w:t>
            </w:r>
          </w:p>
        </w:tc>
        <w:tc>
          <w:tcPr>
            <w:tcW w:w="1260" w:type="dxa"/>
            <w:vAlign w:val="bottom"/>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13"/>
        </w:trPr>
        <w:tc>
          <w:tcPr>
            <w:tcW w:w="110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retirement plan (post-2009)</w:t>
            </w:r>
          </w:p>
        </w:tc>
        <w:tc>
          <w:tcPr>
            <w:tcW w:w="1860" w:type="dxa"/>
            <w:vAlign w:val="bottom"/>
            <w:gridSpan w:val="2"/>
            <w:shd w:val="clear" w:color="auto" w:fill="F2F2F2"/>
          </w:tcPr>
          <w:p>
            <w:pPr>
              <w:jc w:val="center"/>
              <w:ind w:left="218"/>
              <w:spacing w:after="0"/>
              <w:rPr>
                <w:sz w:val="20"/>
                <w:szCs w:val="20"/>
                <w:color w:val="auto"/>
              </w:rPr>
            </w:pPr>
            <w:r>
              <w:rPr>
                <w:rFonts w:ascii="Arial" w:cs="Arial" w:eastAsia="Arial" w:hAnsi="Arial"/>
                <w:sz w:val="12"/>
                <w:szCs w:val="12"/>
                <w:color w:val="auto"/>
              </w:rPr>
              <w:t>10</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$205,453</w:t>
            </w:r>
          </w:p>
        </w:tc>
        <w:tc>
          <w:tcPr>
            <w:tcW w:w="12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nonqualified plan (post-2009)</w:t>
            </w:r>
          </w:p>
        </w:tc>
        <w:tc>
          <w:tcPr>
            <w:tcW w:w="300" w:type="dxa"/>
            <w:vAlign w:val="bottom"/>
            <w:shd w:val="clear" w:color="auto" w:fill="F2F2F2"/>
          </w:tcPr>
          <w:p>
            <w:pPr>
              <w:spacing w:after="0"/>
              <w:rPr>
                <w:sz w:val="19"/>
                <w:szCs w:val="19"/>
                <w:color w:val="auto"/>
              </w:rPr>
            </w:pPr>
          </w:p>
        </w:tc>
        <w:tc>
          <w:tcPr>
            <w:tcW w:w="15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10</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$1,269,986</w:t>
            </w:r>
          </w:p>
        </w:tc>
        <w:tc>
          <w:tcPr>
            <w:tcW w:w="12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00" w:type="dxa"/>
            <w:vAlign w:val="bottom"/>
            <w:shd w:val="clear" w:color="auto" w:fill="F2F2F2"/>
          </w:tcPr>
          <w:p>
            <w:pPr>
              <w:spacing w:after="0"/>
              <w:rPr>
                <w:sz w:val="20"/>
                <w:szCs w:val="20"/>
                <w:color w:val="auto"/>
              </w:rPr>
            </w:pPr>
          </w:p>
        </w:tc>
        <w:tc>
          <w:tcPr>
            <w:tcW w:w="1640" w:type="dxa"/>
            <w:vAlign w:val="bottom"/>
            <w:shd w:val="clear" w:color="auto" w:fill="F2F2F2"/>
          </w:tcPr>
          <w:p>
            <w:pPr>
              <w:spacing w:after="0"/>
              <w:rPr>
                <w:sz w:val="20"/>
                <w:szCs w:val="20"/>
                <w:color w:val="auto"/>
              </w:rPr>
            </w:pPr>
          </w:p>
        </w:tc>
        <w:tc>
          <w:tcPr>
            <w:tcW w:w="300" w:type="dxa"/>
            <w:vAlign w:val="bottom"/>
            <w:shd w:val="clear" w:color="auto" w:fill="F2F2F2"/>
          </w:tcPr>
          <w:p>
            <w:pPr>
              <w:ind w:left="40"/>
              <w:spacing w:after="0"/>
              <w:rPr>
                <w:sz w:val="20"/>
                <w:szCs w:val="20"/>
                <w:color w:val="auto"/>
              </w:rPr>
            </w:pPr>
            <w:r>
              <w:rPr>
                <w:rFonts w:ascii="Arial" w:cs="Arial" w:eastAsia="Arial" w:hAnsi="Arial"/>
                <w:sz w:val="12"/>
                <w:szCs w:val="12"/>
                <w:color w:val="auto"/>
              </w:rPr>
              <w:t>total</w:t>
            </w:r>
          </w:p>
        </w:tc>
        <w:tc>
          <w:tcPr>
            <w:tcW w:w="1560" w:type="dxa"/>
            <w:vAlign w:val="bottom"/>
            <w:shd w:val="clear" w:color="auto" w:fill="F2F2F2"/>
          </w:tcPr>
          <w:p>
            <w:pPr>
              <w:spacing w:after="0"/>
              <w:rPr>
                <w:sz w:val="20"/>
                <w:szCs w:val="20"/>
                <w:color w:val="auto"/>
              </w:rPr>
            </w:pP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$1,475,439</w:t>
            </w:r>
          </w:p>
        </w:tc>
        <w:tc>
          <w:tcPr>
            <w:tcW w:w="12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Arial" w:cs="Arial" w:eastAsia="Arial" w:hAnsi="Arial"/>
                <w:sz w:val="12"/>
                <w:szCs w:val="12"/>
                <w:color w:val="auto"/>
              </w:rPr>
              <w:t>Ms. Hakim</w:t>
            </w:r>
          </w:p>
        </w:tc>
        <w:tc>
          <w:tcPr>
            <w:tcW w:w="1640" w:type="dxa"/>
            <w:vAlign w:val="bottom"/>
          </w:tcPr>
          <w:p>
            <w:pPr>
              <w:spacing w:after="0"/>
              <w:rPr>
                <w:sz w:val="20"/>
                <w:szCs w:val="20"/>
                <w:color w:val="auto"/>
              </w:rPr>
            </w:pPr>
            <w:r>
              <w:rPr>
                <w:rFonts w:ascii="Arial" w:cs="Arial" w:eastAsia="Arial" w:hAnsi="Arial"/>
                <w:sz w:val="12"/>
                <w:szCs w:val="12"/>
                <w:color w:val="auto"/>
              </w:rPr>
              <w:t>retirement plan (post-2009)</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w w:val="89"/>
              </w:rPr>
              <w:t>3</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$75,341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2"/>
                <w:szCs w:val="12"/>
                <w:color w:val="auto"/>
              </w:rPr>
              <w:t>nonqualified plan (post-2009)</w:t>
            </w:r>
          </w:p>
        </w:tc>
        <w:tc>
          <w:tcPr>
            <w:tcW w:w="1860" w:type="dxa"/>
            <w:vAlign w:val="bottom"/>
            <w:gridSpan w:val="2"/>
          </w:tcPr>
          <w:p>
            <w:pPr>
              <w:jc w:val="center"/>
              <w:ind w:left="218"/>
              <w:spacing w:after="0"/>
              <w:rPr>
                <w:sz w:val="20"/>
                <w:szCs w:val="20"/>
                <w:color w:val="auto"/>
              </w:rPr>
            </w:pPr>
            <w:r>
              <w:rPr>
                <w:rFonts w:ascii="Arial" w:cs="Arial" w:eastAsia="Arial" w:hAnsi="Arial"/>
                <w:sz w:val="12"/>
                <w:szCs w:val="12"/>
                <w:color w:val="auto"/>
                <w:w w:val="89"/>
              </w:rPr>
              <w:t>3</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$428,649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2"/>
                <w:szCs w:val="12"/>
                <w:color w:val="auto"/>
              </w:rPr>
              <w:t>total</w:t>
            </w:r>
          </w:p>
        </w:tc>
        <w:tc>
          <w:tcPr>
            <w:tcW w:w="1660" w:type="dxa"/>
            <w:vAlign w:val="bottom"/>
          </w:tcPr>
          <w:p>
            <w:pPr>
              <w:jc w:val="right"/>
              <w:ind w:right="398"/>
              <w:spacing w:after="0"/>
              <w:rPr>
                <w:sz w:val="20"/>
                <w:szCs w:val="20"/>
                <w:color w:val="auto"/>
              </w:rPr>
            </w:pPr>
            <w:r>
              <w:rPr>
                <w:rFonts w:ascii="Arial" w:cs="Arial" w:eastAsia="Arial" w:hAnsi="Arial"/>
                <w:sz w:val="12"/>
                <w:szCs w:val="12"/>
                <w:color w:val="auto"/>
              </w:rPr>
              <w:t>$503,990</w:t>
            </w:r>
          </w:p>
        </w:tc>
        <w:tc>
          <w:tcPr>
            <w:tcW w:w="1260" w:type="dxa"/>
            <w:vAlign w:val="bottom"/>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13"/>
        </w:trPr>
        <w:tc>
          <w:tcPr>
            <w:tcW w:w="1100" w:type="dxa"/>
            <w:vAlign w:val="bottom"/>
            <w:shd w:val="clear" w:color="auto" w:fill="F2F2F2"/>
          </w:tcPr>
          <w:p>
            <w:pPr>
              <w:spacing w:after="0"/>
              <w:rPr>
                <w:sz w:val="20"/>
                <w:szCs w:val="20"/>
                <w:color w:val="auto"/>
              </w:rPr>
            </w:pPr>
            <w:r>
              <w:rPr>
                <w:rFonts w:ascii="Arial" w:cs="Arial" w:eastAsia="Arial" w:hAnsi="Arial"/>
                <w:sz w:val="12"/>
                <w:szCs w:val="12"/>
                <w:color w:val="auto"/>
              </w:rPr>
              <w:t>Mr. Jonsson</w:t>
            </w: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retirement plan (post-2009)</w:t>
            </w:r>
          </w:p>
        </w:tc>
        <w:tc>
          <w:tcPr>
            <w:tcW w:w="1860" w:type="dxa"/>
            <w:vAlign w:val="bottom"/>
            <w:gridSpan w:val="2"/>
            <w:shd w:val="clear" w:color="auto" w:fill="F2F2F2"/>
          </w:tcPr>
          <w:p>
            <w:pPr>
              <w:jc w:val="center"/>
              <w:ind w:left="218"/>
              <w:spacing w:after="0"/>
              <w:rPr>
                <w:sz w:val="20"/>
                <w:szCs w:val="20"/>
                <w:color w:val="auto"/>
              </w:rPr>
            </w:pPr>
            <w:r>
              <w:rPr>
                <w:rFonts w:ascii="Arial" w:cs="Arial" w:eastAsia="Arial" w:hAnsi="Arial"/>
                <w:sz w:val="12"/>
                <w:szCs w:val="12"/>
                <w:color w:val="auto"/>
                <w:w w:val="89"/>
              </w:rPr>
              <w:t>3</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$95,010</w:t>
            </w:r>
          </w:p>
        </w:tc>
        <w:tc>
          <w:tcPr>
            <w:tcW w:w="12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20"/>
                <w:szCs w:val="20"/>
                <w:color w:val="auto"/>
              </w:rPr>
            </w:pPr>
            <w:r>
              <w:rPr>
                <w:rFonts w:ascii="Arial" w:cs="Arial" w:eastAsia="Arial" w:hAnsi="Arial"/>
                <w:sz w:val="12"/>
                <w:szCs w:val="12"/>
                <w:color w:val="auto"/>
              </w:rPr>
              <w:t>nonqualified plan (post-2009)</w:t>
            </w:r>
          </w:p>
        </w:tc>
        <w:tc>
          <w:tcPr>
            <w:tcW w:w="300" w:type="dxa"/>
            <w:vAlign w:val="bottom"/>
            <w:shd w:val="clear" w:color="auto" w:fill="F2F2F2"/>
          </w:tcPr>
          <w:p>
            <w:pPr>
              <w:spacing w:after="0"/>
              <w:rPr>
                <w:sz w:val="19"/>
                <w:szCs w:val="19"/>
                <w:color w:val="auto"/>
              </w:rPr>
            </w:pPr>
          </w:p>
        </w:tc>
        <w:tc>
          <w:tcPr>
            <w:tcW w:w="156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9"/>
              </w:rPr>
              <w:t>3</w:t>
            </w:r>
          </w:p>
        </w:tc>
        <w:tc>
          <w:tcPr>
            <w:tcW w:w="1660" w:type="dxa"/>
            <w:vAlign w:val="bottom"/>
            <w:shd w:val="clear" w:color="auto" w:fill="F2F2F2"/>
          </w:tcPr>
          <w:p>
            <w:pPr>
              <w:jc w:val="right"/>
              <w:ind w:right="398"/>
              <w:spacing w:after="0"/>
              <w:rPr>
                <w:sz w:val="20"/>
                <w:szCs w:val="20"/>
                <w:color w:val="auto"/>
              </w:rPr>
            </w:pPr>
            <w:r>
              <w:rPr>
                <w:rFonts w:ascii="Arial" w:cs="Arial" w:eastAsia="Arial" w:hAnsi="Arial"/>
                <w:sz w:val="12"/>
                <w:szCs w:val="12"/>
                <w:color w:val="auto"/>
              </w:rPr>
              <w:t>$255,493</w:t>
            </w:r>
          </w:p>
        </w:tc>
        <w:tc>
          <w:tcPr>
            <w:tcW w:w="12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00" w:type="dxa"/>
            <w:vAlign w:val="bottom"/>
            <w:tcBorders>
              <w:bottom w:val="single" w:sz="8" w:color="6D6D6D"/>
            </w:tcBorders>
            <w:shd w:val="clear" w:color="auto" w:fill="F2F2F2"/>
          </w:tcPr>
          <w:p>
            <w:pPr>
              <w:spacing w:after="0"/>
              <w:rPr>
                <w:sz w:val="20"/>
                <w:szCs w:val="20"/>
                <w:color w:val="auto"/>
              </w:rPr>
            </w:pPr>
          </w:p>
        </w:tc>
        <w:tc>
          <w:tcPr>
            <w:tcW w:w="1640" w:type="dxa"/>
            <w:vAlign w:val="bottom"/>
            <w:tcBorders>
              <w:bottom w:val="single" w:sz="8" w:color="6D6D6D"/>
            </w:tcBorders>
            <w:shd w:val="clear" w:color="auto" w:fill="F2F2F2"/>
          </w:tcPr>
          <w:p>
            <w:pPr>
              <w:spacing w:after="0"/>
              <w:rPr>
                <w:sz w:val="20"/>
                <w:szCs w:val="20"/>
                <w:color w:val="auto"/>
              </w:rPr>
            </w:pPr>
          </w:p>
        </w:tc>
        <w:tc>
          <w:tcPr>
            <w:tcW w:w="300" w:type="dxa"/>
            <w:vAlign w:val="bottom"/>
            <w:tcBorders>
              <w:bottom w:val="single" w:sz="8" w:color="6D6D6D"/>
            </w:tcBorders>
            <w:shd w:val="clear" w:color="auto" w:fill="F2F2F2"/>
          </w:tcPr>
          <w:p>
            <w:pPr>
              <w:ind w:left="40"/>
              <w:spacing w:after="0"/>
              <w:rPr>
                <w:sz w:val="20"/>
                <w:szCs w:val="20"/>
                <w:color w:val="auto"/>
              </w:rPr>
            </w:pPr>
            <w:r>
              <w:rPr>
                <w:rFonts w:ascii="Arial" w:cs="Arial" w:eastAsia="Arial" w:hAnsi="Arial"/>
                <w:sz w:val="12"/>
                <w:szCs w:val="12"/>
                <w:color w:val="auto"/>
              </w:rPr>
              <w:t>total</w:t>
            </w:r>
          </w:p>
        </w:tc>
        <w:tc>
          <w:tcPr>
            <w:tcW w:w="1560" w:type="dxa"/>
            <w:vAlign w:val="bottom"/>
            <w:tcBorders>
              <w:bottom w:val="single" w:sz="8" w:color="6D6D6D"/>
            </w:tcBorders>
            <w:shd w:val="clear" w:color="auto" w:fill="F2F2F2"/>
          </w:tcPr>
          <w:p>
            <w:pPr>
              <w:spacing w:after="0"/>
              <w:rPr>
                <w:sz w:val="20"/>
                <w:szCs w:val="20"/>
                <w:color w:val="auto"/>
              </w:rPr>
            </w:pPr>
          </w:p>
        </w:tc>
        <w:tc>
          <w:tcPr>
            <w:tcW w:w="1660" w:type="dxa"/>
            <w:vAlign w:val="bottom"/>
            <w:tcBorders>
              <w:bottom w:val="single" w:sz="8" w:color="6D6D6D"/>
            </w:tcBorders>
            <w:shd w:val="clear" w:color="auto" w:fill="F2F2F2"/>
          </w:tcPr>
          <w:p>
            <w:pPr>
              <w:jc w:val="right"/>
              <w:ind w:right="398"/>
              <w:spacing w:after="0"/>
              <w:rPr>
                <w:sz w:val="20"/>
                <w:szCs w:val="20"/>
                <w:color w:val="auto"/>
              </w:rPr>
            </w:pPr>
            <w:r>
              <w:rPr>
                <w:rFonts w:ascii="Arial" w:cs="Arial" w:eastAsia="Arial" w:hAnsi="Arial"/>
                <w:sz w:val="12"/>
                <w:szCs w:val="12"/>
                <w:color w:val="auto"/>
              </w:rPr>
              <w:t>$350,503</w:t>
            </w:r>
          </w:p>
        </w:tc>
        <w:tc>
          <w:tcPr>
            <w:tcW w:w="1260" w:type="dxa"/>
            <w:vAlign w:val="bottom"/>
            <w:tcBorders>
              <w:bottom w:val="single" w:sz="8" w:color="6D6D6D"/>
            </w:tcBorders>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87" w:hanging="87"/>
        <w:spacing w:after="0"/>
        <w:tabs>
          <w:tab w:leader="none" w:pos="87" w:val="left"/>
        </w:tabs>
        <w:numPr>
          <w:ilvl w:val="0"/>
          <w:numId w:val="169"/>
        </w:numPr>
        <w:rPr>
          <w:rFonts w:ascii="Arial" w:cs="Arial" w:eastAsia="Arial" w:hAnsi="Arial"/>
          <w:sz w:val="16"/>
          <w:szCs w:val="16"/>
          <w:color w:val="auto"/>
          <w:vertAlign w:val="superscript"/>
        </w:rPr>
      </w:pPr>
      <w:r>
        <w:rPr>
          <w:rFonts w:ascii="Arial" w:cs="Arial" w:eastAsia="Arial" w:hAnsi="Arial"/>
          <w:sz w:val="12"/>
          <w:szCs w:val="12"/>
          <w:color w:val="auto"/>
        </w:rPr>
        <w:t>The following standard actuarial assumptions were used to calculate the present value of each individual’s accumulated pension benefit:</w:t>
      </w:r>
    </w:p>
    <w:p>
      <w:pPr>
        <w:sectPr>
          <w:pgSz w:w="11900" w:h="16838" w:orient="portrait"/>
          <w:cols w:equalWidth="0" w:num="1">
            <w:col w:w="11267"/>
          </w:cols>
          <w:pgMar w:left="313" w:top="685" w:right="319" w:bottom="1440" w:gutter="0" w:footer="0" w:header="0"/>
        </w:sectPr>
      </w:pPr>
    </w:p>
    <w:p>
      <w:pPr>
        <w:spacing w:after="0" w:line="104" w:lineRule="exact"/>
        <w:rPr>
          <w:sz w:val="20"/>
          <w:szCs w:val="20"/>
          <w:color w:val="auto"/>
        </w:rPr>
      </w:pPr>
    </w:p>
    <w:p>
      <w:pPr>
        <w:ind w:left="507"/>
        <w:spacing w:after="0"/>
        <w:rPr>
          <w:sz w:val="20"/>
          <w:szCs w:val="20"/>
          <w:color w:val="auto"/>
        </w:rPr>
      </w:pPr>
      <w:r>
        <w:rPr>
          <w:rFonts w:ascii="Arial" w:cs="Arial" w:eastAsia="Arial" w:hAnsi="Arial"/>
          <w:sz w:val="12"/>
          <w:szCs w:val="12"/>
          <w:b w:val="1"/>
          <w:bCs w:val="1"/>
          <w:color w:val="00A1DE"/>
        </w:rPr>
        <w:t>Discount rate:</w:t>
      </w:r>
    </w:p>
    <w:p>
      <w:pPr>
        <w:spacing w:after="0" w:line="84" w:lineRule="exact"/>
        <w:rPr>
          <w:sz w:val="20"/>
          <w:szCs w:val="20"/>
          <w:color w:val="auto"/>
        </w:rPr>
      </w:pPr>
    </w:p>
    <w:p>
      <w:pPr>
        <w:jc w:val="center"/>
        <w:ind w:left="67"/>
        <w:spacing w:after="0"/>
        <w:rPr>
          <w:sz w:val="20"/>
          <w:szCs w:val="20"/>
          <w:color w:val="auto"/>
        </w:rPr>
      </w:pPr>
      <w:r>
        <w:rPr>
          <w:rFonts w:ascii="Arial" w:cs="Arial" w:eastAsia="Arial" w:hAnsi="Arial"/>
          <w:sz w:val="12"/>
          <w:szCs w:val="12"/>
          <w:b w:val="1"/>
          <w:bCs w:val="1"/>
          <w:color w:val="00A1DE"/>
        </w:rPr>
        <w:t>Mortality (post-retirement decrement only):</w:t>
      </w:r>
    </w:p>
    <w:p>
      <w:pPr>
        <w:spacing w:after="0" w:line="388" w:lineRule="exact"/>
        <w:rPr>
          <w:sz w:val="20"/>
          <w:szCs w:val="20"/>
          <w:color w:val="auto"/>
        </w:rPr>
      </w:pPr>
    </w:p>
    <w:p>
      <w:pPr>
        <w:ind w:left="507"/>
        <w:spacing w:after="0"/>
        <w:rPr>
          <w:sz w:val="20"/>
          <w:szCs w:val="20"/>
          <w:color w:val="auto"/>
        </w:rPr>
      </w:pPr>
      <w:r>
        <w:rPr>
          <w:rFonts w:ascii="Arial" w:cs="Arial" w:eastAsia="Arial" w:hAnsi="Arial"/>
          <w:sz w:val="12"/>
          <w:szCs w:val="12"/>
          <w:b w:val="1"/>
          <w:bCs w:val="1"/>
          <w:color w:val="00A1DE"/>
        </w:rPr>
        <w:t>Pre-2010 joint and survivor benefit (% of pension):</w:t>
      </w:r>
    </w:p>
    <w:p>
      <w:pPr>
        <w:spacing w:after="0" w:line="84" w:lineRule="exact"/>
        <w:rPr>
          <w:sz w:val="20"/>
          <w:szCs w:val="20"/>
          <w:color w:val="auto"/>
        </w:rPr>
      </w:pPr>
    </w:p>
    <w:p>
      <w:pPr>
        <w:ind w:left="507"/>
        <w:spacing w:after="0"/>
        <w:rPr>
          <w:sz w:val="20"/>
          <w:szCs w:val="20"/>
          <w:color w:val="auto"/>
        </w:rPr>
      </w:pPr>
      <w:r>
        <w:rPr>
          <w:rFonts w:ascii="Arial" w:cs="Arial" w:eastAsia="Arial" w:hAnsi="Arial"/>
          <w:sz w:val="12"/>
          <w:szCs w:val="12"/>
          <w:b w:val="1"/>
          <w:bCs w:val="1"/>
          <w:color w:val="00A1DE"/>
        </w:rPr>
        <w:t>Post-2009 benefit payment form:</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5.28 percent for the qualified plan and 5.21 percent for nonqualified plan</w:t>
      </w:r>
    </w:p>
    <w:p>
      <w:pPr>
        <w:spacing w:after="0" w:line="72" w:lineRule="exact"/>
        <w:rPr>
          <w:sz w:val="20"/>
          <w:szCs w:val="20"/>
          <w:color w:val="auto"/>
        </w:rPr>
      </w:pPr>
    </w:p>
    <w:p>
      <w:pPr>
        <w:ind w:right="3580"/>
        <w:spacing w:after="0" w:line="310" w:lineRule="auto"/>
        <w:rPr>
          <w:sz w:val="20"/>
          <w:szCs w:val="20"/>
          <w:color w:val="auto"/>
        </w:rPr>
      </w:pPr>
      <w:r>
        <w:rPr>
          <w:rFonts w:ascii="Arial" w:cs="Arial" w:eastAsia="Arial" w:hAnsi="Arial"/>
          <w:sz w:val="12"/>
          <w:szCs w:val="12"/>
          <w:color w:val="auto"/>
        </w:rPr>
        <w:t>Private 2012 white collar table with generational projection using Scale MP-2021</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50 percent until age 62; 25 percent thereafter</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Life annuity</w:t>
      </w:r>
    </w:p>
    <w:p>
      <w:pPr>
        <w:spacing w:after="0" w:line="200" w:lineRule="exact"/>
        <w:rPr>
          <w:sz w:val="20"/>
          <w:szCs w:val="20"/>
          <w:color w:val="auto"/>
        </w:rPr>
      </w:pPr>
    </w:p>
    <w:p>
      <w:pPr>
        <w:sectPr>
          <w:pgSz w:w="11900" w:h="16838" w:orient="portrait"/>
          <w:cols w:equalWidth="0" w:num="2">
            <w:col w:w="3487" w:space="60"/>
            <w:col w:w="7720"/>
          </w:cols>
          <w:pgMar w:left="313" w:top="685" w:right="319" w:bottom="1440" w:gutter="0" w:footer="0" w:header="0"/>
          <w:type w:val="continuous"/>
        </w:sectPr>
      </w:pPr>
    </w:p>
    <w:p>
      <w:pPr>
        <w:spacing w:after="0" w:line="6" w:lineRule="exact"/>
        <w:rPr>
          <w:sz w:val="20"/>
          <w:szCs w:val="20"/>
          <w:color w:val="auto"/>
        </w:rPr>
      </w:pPr>
    </w:p>
    <w:p>
      <w:pPr>
        <w:ind w:left="7"/>
        <w:spacing w:after="0" w:line="257" w:lineRule="auto"/>
        <w:rPr>
          <w:sz w:val="20"/>
          <w:szCs w:val="20"/>
          <w:color w:val="auto"/>
        </w:rPr>
      </w:pPr>
      <w:r>
        <w:rPr>
          <w:rFonts w:ascii="Arial" w:cs="Arial" w:eastAsia="Arial" w:hAnsi="Arial"/>
          <w:sz w:val="16"/>
          <w:szCs w:val="16"/>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ten calendar years of service (final average earnings).</w:t>
      </w:r>
    </w:p>
    <w:p>
      <w:pPr>
        <w:spacing w:after="0" w:line="176" w:lineRule="exact"/>
        <w:rPr>
          <w:sz w:val="20"/>
          <w:szCs w:val="20"/>
          <w:color w:val="auto"/>
        </w:rPr>
      </w:pPr>
    </w:p>
    <w:p>
      <w:pPr>
        <w:ind w:left="7" w:right="80"/>
        <w:spacing w:after="0" w:line="275" w:lineRule="auto"/>
        <w:rPr>
          <w:sz w:val="20"/>
          <w:szCs w:val="20"/>
          <w:color w:val="auto"/>
        </w:rPr>
      </w:pPr>
      <w:r>
        <w:rPr>
          <w:rFonts w:ascii="Arial" w:cs="Arial" w:eastAsia="Arial" w:hAnsi="Arial"/>
          <w:sz w:val="17"/>
          <w:szCs w:val="17"/>
          <w:b w:val="1"/>
          <w:bCs w:val="1"/>
          <w:color w:val="D52B1E"/>
        </w:rPr>
        <w:t xml:space="preserve">Post-2009 Plan Information: </w:t>
      </w:r>
      <w:r>
        <w:rPr>
          <w:rFonts w:ascii="Arial" w:cs="Arial" w:eastAsia="Arial" w:hAnsi="Arial"/>
          <w:sz w:val="15"/>
          <w:szCs w:val="15"/>
          <w:color w:val="000000"/>
        </w:rPr>
        <w:t>Following amendment of our Retirement Plan formulas, employees first hired on or after February 1, 2008, have accrued</w:t>
      </w:r>
      <w:r>
        <w:rPr>
          <w:rFonts w:ascii="Arial" w:cs="Arial" w:eastAsia="Arial" w:hAnsi="Arial"/>
          <w:sz w:val="17"/>
          <w:szCs w:val="17"/>
          <w:b w:val="1"/>
          <w:bCs w:val="1"/>
          <w:color w:val="D52B1E"/>
        </w:rPr>
        <w:t xml:space="preserve"> </w:t>
      </w:r>
      <w:r>
        <w:rPr>
          <w:rFonts w:ascii="Arial" w:cs="Arial" w:eastAsia="Arial" w:hAnsi="Arial"/>
          <w:sz w:val="15"/>
          <w:szCs w:val="15"/>
          <w:color w:val="000000"/>
        </w:rPr>
        <w:t>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85" w:right="319" w:bottom="1440" w:gutter="0" w:footer="0" w:header="0"/>
          <w:type w:val="continuous"/>
        </w:sectPr>
      </w:pPr>
    </w:p>
    <w:bookmarkStart w:id="79" w:name="page80"/>
    <w:bookmarkEnd w:id="79"/>
    <w:p>
      <w:pPr>
        <w:ind w:left="7"/>
        <w:spacing w:after="0" w:line="250" w:lineRule="auto"/>
        <w:rPr>
          <w:sz w:val="20"/>
          <w:szCs w:val="20"/>
          <w:color w:val="auto"/>
        </w:rPr>
      </w:pPr>
      <w:r>
        <w:rPr>
          <w:rFonts w:ascii="Arial" w:cs="Arial" w:eastAsia="Arial" w:hAnsi="Arial"/>
          <w:sz w:val="16"/>
          <w:szCs w:val="16"/>
          <w:color w:val="auto"/>
        </w:rPr>
        <w:t>average earnings multiplied by years of service. Early retirement benefits under this plan formula are reduced six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and Ms. Ashkenazi are in this transition group.</w:t>
      </w:r>
    </w:p>
    <w:p>
      <w:pPr>
        <w:spacing w:after="0" w:line="206" w:lineRule="exact"/>
        <w:rPr>
          <w:sz w:val="20"/>
          <w:szCs w:val="20"/>
          <w:color w:val="auto"/>
        </w:rPr>
      </w:pPr>
    </w:p>
    <w:p>
      <w:pPr>
        <w:ind w:left="7" w:right="60"/>
        <w:spacing w:after="0" w:line="255" w:lineRule="auto"/>
        <w:rPr>
          <w:sz w:val="20"/>
          <w:szCs w:val="20"/>
          <w:color w:val="auto"/>
        </w:rPr>
      </w:pPr>
      <w:r>
        <w:rPr>
          <w:rFonts w:ascii="Arial" w:cs="Arial" w:eastAsia="Arial" w:hAnsi="Arial"/>
          <w:sz w:val="17"/>
          <w:szCs w:val="17"/>
          <w:b w:val="1"/>
          <w:bCs w:val="1"/>
          <w:color w:val="D52B1E"/>
        </w:rPr>
        <w:t xml:space="preserve">Pre-2010 Plan Information: </w:t>
      </w:r>
      <w:r>
        <w:rPr>
          <w:rFonts w:ascii="Arial" w:cs="Arial" w:eastAsia="Arial" w:hAnsi="Arial"/>
          <w:sz w:val="15"/>
          <w:szCs w:val="15"/>
          <w:color w:val="000000"/>
        </w:rPr>
        <w:t>Employees hired prior to February 1, 2008 accrued benefits under both plan formulas. For these employees, benefits that accrued</w:t>
      </w:r>
      <w:r>
        <w:rPr>
          <w:rFonts w:ascii="Arial" w:cs="Arial" w:eastAsia="Arial" w:hAnsi="Arial"/>
          <w:sz w:val="17"/>
          <w:szCs w:val="17"/>
          <w:b w:val="1"/>
          <w:bCs w:val="1"/>
          <w:color w:val="D52B1E"/>
        </w:rPr>
        <w:t xml:space="preserve"> </w:t>
      </w:r>
      <w:r>
        <w:rPr>
          <w:rFonts w:ascii="Arial" w:cs="Arial" w:eastAsia="Arial" w:hAnsi="Arial"/>
          <w:sz w:val="15"/>
          <w:szCs w:val="15"/>
          <w:color w:val="000000"/>
        </w:rPr>
        <w:t>before January 1, 2010 were calculated under the old plan formula. The amount of the benefit is calculated using actual years of service through December</w:t>
      </w:r>
    </w:p>
    <w:p>
      <w:pPr>
        <w:ind w:left="7" w:right="200"/>
        <w:spacing w:after="0" w:line="246" w:lineRule="auto"/>
        <w:rPr>
          <w:sz w:val="20"/>
          <w:szCs w:val="20"/>
          <w:color w:val="auto"/>
        </w:rPr>
      </w:pPr>
      <w:r>
        <w:rPr>
          <w:rFonts w:ascii="Arial" w:cs="Arial" w:eastAsia="Arial" w:hAnsi="Arial"/>
          <w:sz w:val="16"/>
          <w:szCs w:val="16"/>
          <w:color w:val="auto"/>
        </w:rPr>
        <w:t>31, 2009, while total years of service are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26" w:lineRule="exact"/>
        <w:rPr>
          <w:sz w:val="20"/>
          <w:szCs w:val="20"/>
          <w:color w:val="auto"/>
        </w:rPr>
      </w:pPr>
    </w:p>
    <w:p>
      <w:pPr>
        <w:ind w:left="267" w:hanging="267"/>
        <w:spacing w:after="0"/>
        <w:tabs>
          <w:tab w:leader="none" w:pos="267" w:val="left"/>
        </w:tabs>
        <w:numPr>
          <w:ilvl w:val="0"/>
          <w:numId w:val="170"/>
        </w:numPr>
        <w:rPr>
          <w:rFonts w:ascii="Arial" w:cs="Arial" w:eastAsia="Arial" w:hAnsi="Arial"/>
          <w:sz w:val="14"/>
          <w:szCs w:val="14"/>
          <w:color w:val="auto"/>
        </w:rPr>
      </w:pPr>
      <w:r>
        <w:rPr>
          <w:rFonts w:ascii="Arial" w:cs="Arial" w:eastAsia="Arial" w:hAnsi="Arial"/>
          <w:sz w:val="16"/>
          <w:szCs w:val="16"/>
          <w:color w:val="auto"/>
        </w:rPr>
        <w:t>The benefit for employees with between 80 and 90 points is reduced by three percent for each year before the earlier of 90 points or age 62.</w:t>
      </w:r>
    </w:p>
    <w:p>
      <w:pPr>
        <w:spacing w:after="0" w:line="143" w:lineRule="exact"/>
        <w:rPr>
          <w:rFonts w:ascii="Arial" w:cs="Arial" w:eastAsia="Arial" w:hAnsi="Arial"/>
          <w:sz w:val="14"/>
          <w:szCs w:val="14"/>
          <w:color w:val="auto"/>
        </w:rPr>
      </w:pPr>
    </w:p>
    <w:p>
      <w:pPr>
        <w:ind w:left="287" w:right="120" w:hanging="287"/>
        <w:spacing w:after="0" w:line="271" w:lineRule="auto"/>
        <w:tabs>
          <w:tab w:leader="none" w:pos="277" w:val="left"/>
        </w:tabs>
        <w:numPr>
          <w:ilvl w:val="0"/>
          <w:numId w:val="170"/>
        </w:numPr>
        <w:rPr>
          <w:rFonts w:ascii="Arial" w:cs="Arial" w:eastAsia="Arial" w:hAnsi="Arial"/>
          <w:sz w:val="14"/>
          <w:szCs w:val="14"/>
          <w:color w:val="auto"/>
        </w:rPr>
      </w:pPr>
      <w:r>
        <w:rPr>
          <w:rFonts w:ascii="Arial" w:cs="Arial" w:eastAsia="Arial" w:hAnsi="Arial"/>
          <w:sz w:val="16"/>
          <w:szCs w:val="16"/>
          <w:color w:val="auto"/>
        </w:rPr>
        <w:t>The benefit for employees who have fewer than 80 points, but who reached age 55 and have at least ten years of service, is reduced as described above and is further reduced by six percent for each year before the earlier of 80 points or age 65.</w:t>
      </w:r>
    </w:p>
    <w:p>
      <w:pPr>
        <w:spacing w:after="0" w:line="9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Nonqualified Deferred Compensation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32680" cy="762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4932680" cy="7620"/>
                    </a:xfrm>
                    <a:prstGeom prst="rect">
                      <a:avLst/>
                    </a:prstGeom>
                    <a:noFill/>
                  </pic:spPr>
                </pic:pic>
              </a:graphicData>
            </a:graphic>
          </wp:anchor>
        </w:drawing>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Executive</w:t>
            </w:r>
          </w:p>
        </w:tc>
        <w:tc>
          <w:tcPr>
            <w:tcW w:w="11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Registrant</w:t>
            </w:r>
          </w:p>
        </w:tc>
        <w:tc>
          <w:tcPr>
            <w:tcW w:w="10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Aggregate</w:t>
            </w: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Aggregate</w:t>
            </w: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Withdrawals/</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Contributions in</w:t>
            </w:r>
          </w:p>
        </w:tc>
        <w:tc>
          <w:tcPr>
            <w:tcW w:w="11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Contributions in</w:t>
            </w:r>
          </w:p>
        </w:tc>
        <w:tc>
          <w:tcPr>
            <w:tcW w:w="1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Balance at Last</w:t>
            </w:r>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Earnings in</w:t>
            </w:r>
          </w:p>
        </w:tc>
        <w:tc>
          <w:tcPr>
            <w:tcW w:w="10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Distributions in</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Last Fiscal Year</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Last Fiscal Year</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Last Fiscal Year</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Last Fiscal Year</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Fiscal Year End</w:t>
            </w:r>
          </w:p>
        </w:tc>
        <w:tc>
          <w:tcPr>
            <w:tcW w:w="0" w:type="dxa"/>
            <w:vAlign w:val="bottom"/>
          </w:tcPr>
          <w:p>
            <w:pPr>
              <w:spacing w:after="0"/>
              <w:rPr>
                <w:sz w:val="1"/>
                <w:szCs w:val="1"/>
                <w:color w:val="auto"/>
              </w:rPr>
            </w:pPr>
          </w:p>
        </w:tc>
      </w:tr>
      <w:tr>
        <w:trPr>
          <w:trHeight w:val="199"/>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4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Plan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6"/>
                <w:szCs w:val="16"/>
                <w:b w:val="1"/>
                <w:bCs w:val="1"/>
                <w:color w:val="auto"/>
                <w:w w:val="96"/>
                <w:vertAlign w:val="superscript"/>
              </w:rPr>
              <w:t>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6"/>
                <w:szCs w:val="16"/>
                <w:b w:val="1"/>
                <w:bCs w:val="1"/>
                <w:color w:val="auto"/>
                <w:w w:val="96"/>
                <w:vertAlign w:val="superscript"/>
              </w:rPr>
              <w:t>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6"/>
                <w:szCs w:val="16"/>
                <w:b w:val="1"/>
                <w:bCs w:val="1"/>
                <w:color w:val="auto"/>
                <w:w w:val="96"/>
                <w:vertAlign w:val="superscript"/>
              </w:rPr>
              <w:t>3</w:t>
            </w:r>
          </w:p>
        </w:tc>
        <w:tc>
          <w:tcPr>
            <w:tcW w:w="0" w:type="dxa"/>
            <w:vAlign w:val="bottom"/>
          </w:tcPr>
          <w:p>
            <w:pPr>
              <w:spacing w:after="0"/>
              <w:rPr>
                <w:sz w:val="1"/>
                <w:szCs w:val="1"/>
                <w:color w:val="auto"/>
              </w:rPr>
            </w:pPr>
          </w:p>
        </w:tc>
      </w:tr>
      <w:tr>
        <w:trPr>
          <w:trHeight w:val="184"/>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nonqualified savings</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$71,700</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$71,700</w:t>
            </w:r>
          </w:p>
        </w:tc>
        <w:tc>
          <w:tcPr>
            <w:tcW w:w="104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$841,242</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$4,116,026</w:t>
            </w:r>
          </w:p>
        </w:tc>
        <w:tc>
          <w:tcPr>
            <w:tcW w:w="0" w:type="dxa"/>
            <w:vAlign w:val="bottom"/>
          </w:tcPr>
          <w:p>
            <w:pPr>
              <w:spacing w:after="0"/>
              <w:rPr>
                <w:sz w:val="1"/>
                <w:szCs w:val="1"/>
                <w:color w:val="auto"/>
              </w:rPr>
            </w:pPr>
          </w:p>
        </w:tc>
      </w:tr>
      <w:tr>
        <w:trPr>
          <w:trHeight w:val="222"/>
        </w:trPr>
        <w:tc>
          <w:tcPr>
            <w:tcW w:w="900" w:type="dxa"/>
            <w:vAlign w:val="bottom"/>
            <w:shd w:val="clear" w:color="auto" w:fill="F2F2F2"/>
          </w:tcPr>
          <w:p>
            <w:pPr>
              <w:spacing w:after="0"/>
              <w:rPr>
                <w:sz w:val="19"/>
                <w:szCs w:val="19"/>
                <w:color w:val="auto"/>
              </w:rPr>
            </w:pP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deferred compensation</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$0</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$0</w:t>
            </w:r>
          </w:p>
        </w:tc>
        <w:tc>
          <w:tcPr>
            <w:tcW w:w="104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$0</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40"/>
        </w:trPr>
        <w:tc>
          <w:tcPr>
            <w:tcW w:w="900" w:type="dxa"/>
            <w:vAlign w:val="bottom"/>
            <w:shd w:val="clear" w:color="auto" w:fill="F2F2F2"/>
          </w:tcPr>
          <w:p>
            <w:pPr>
              <w:spacing w:after="0"/>
              <w:rPr>
                <w:sz w:val="20"/>
                <w:szCs w:val="20"/>
                <w:color w:val="auto"/>
              </w:rPr>
            </w:pPr>
          </w:p>
        </w:tc>
        <w:tc>
          <w:tcPr>
            <w:tcW w:w="1400" w:type="dxa"/>
            <w:vAlign w:val="bottom"/>
            <w:shd w:val="clear" w:color="auto" w:fill="F2F2F2"/>
          </w:tcPr>
          <w:p>
            <w:pPr>
              <w:ind w:left="1160"/>
              <w:spacing w:after="0"/>
              <w:rPr>
                <w:sz w:val="20"/>
                <w:szCs w:val="20"/>
                <w:color w:val="auto"/>
              </w:rPr>
            </w:pPr>
            <w:r>
              <w:rPr>
                <w:rFonts w:ascii="Arial" w:cs="Arial" w:eastAsia="Arial" w:hAnsi="Arial"/>
                <w:sz w:val="12"/>
                <w:szCs w:val="12"/>
                <w:color w:val="auto"/>
                <w:w w:val="96"/>
              </w:rPr>
              <w:t>total</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$71,700</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$71,700</w:t>
            </w:r>
          </w:p>
        </w:tc>
        <w:tc>
          <w:tcPr>
            <w:tcW w:w="104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$841,242</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$4,116,026</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Arial" w:cs="Arial" w:eastAsia="Arial" w:hAnsi="Arial"/>
                <w:sz w:val="12"/>
                <w:szCs w:val="12"/>
                <w:color w:val="auto"/>
              </w:rPr>
              <w:t>Ms. Ashkenazi</w:t>
            </w:r>
          </w:p>
        </w:tc>
        <w:tc>
          <w:tcPr>
            <w:tcW w:w="1400" w:type="dxa"/>
            <w:vAlign w:val="bottom"/>
          </w:tcPr>
          <w:p>
            <w:pPr>
              <w:ind w:left="20"/>
              <w:spacing w:after="0"/>
              <w:rPr>
                <w:sz w:val="20"/>
                <w:szCs w:val="20"/>
                <w:color w:val="auto"/>
              </w:rPr>
            </w:pPr>
            <w:r>
              <w:rPr>
                <w:rFonts w:ascii="Arial" w:cs="Arial" w:eastAsia="Arial" w:hAnsi="Arial"/>
                <w:sz w:val="12"/>
                <w:szCs w:val="12"/>
                <w:color w:val="auto"/>
              </w:rPr>
              <w:t>nonqualified savings</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$38,123</w:t>
            </w:r>
          </w:p>
        </w:tc>
        <w:tc>
          <w:tcPr>
            <w:tcW w:w="1160" w:type="dxa"/>
            <w:vAlign w:val="bottom"/>
          </w:tcPr>
          <w:p>
            <w:pPr>
              <w:jc w:val="right"/>
              <w:ind w:right="58"/>
              <w:spacing w:after="0"/>
              <w:rPr>
                <w:sz w:val="20"/>
                <w:szCs w:val="20"/>
                <w:color w:val="auto"/>
              </w:rPr>
            </w:pPr>
            <w:r>
              <w:rPr>
                <w:rFonts w:ascii="Arial" w:cs="Arial" w:eastAsia="Arial" w:hAnsi="Arial"/>
                <w:sz w:val="12"/>
                <w:szCs w:val="12"/>
                <w:color w:val="auto"/>
              </w:rPr>
              <w:t>$38,123</w:t>
            </w:r>
          </w:p>
        </w:tc>
        <w:tc>
          <w:tcPr>
            <w:tcW w:w="1040" w:type="dxa"/>
            <w:vAlign w:val="bottom"/>
          </w:tcPr>
          <w:p>
            <w:pPr>
              <w:jc w:val="right"/>
              <w:ind w:right="178"/>
              <w:spacing w:after="0"/>
              <w:rPr>
                <w:sz w:val="20"/>
                <w:szCs w:val="20"/>
                <w:color w:val="auto"/>
              </w:rPr>
            </w:pPr>
            <w:r>
              <w:rPr>
                <w:rFonts w:ascii="Arial" w:cs="Arial" w:eastAsia="Arial" w:hAnsi="Arial"/>
                <w:sz w:val="12"/>
                <w:szCs w:val="12"/>
                <w:color w:val="auto"/>
              </w:rPr>
              <w:t>($24,643)</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238"/>
              <w:spacing w:after="0"/>
              <w:rPr>
                <w:sz w:val="20"/>
                <w:szCs w:val="20"/>
                <w:color w:val="auto"/>
              </w:rPr>
            </w:pPr>
            <w:r>
              <w:rPr>
                <w:rFonts w:ascii="Arial" w:cs="Arial" w:eastAsia="Arial" w:hAnsi="Arial"/>
                <w:sz w:val="12"/>
                <w:szCs w:val="12"/>
                <w:color w:val="auto"/>
              </w:rPr>
              <w:t>$264,160</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deferred compensation</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$871,457</w:t>
            </w:r>
          </w:p>
        </w:tc>
        <w:tc>
          <w:tcPr>
            <w:tcW w:w="116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040" w:type="dxa"/>
            <w:vAlign w:val="bottom"/>
          </w:tcPr>
          <w:p>
            <w:pPr>
              <w:jc w:val="right"/>
              <w:ind w:right="198"/>
              <w:spacing w:after="0"/>
              <w:rPr>
                <w:sz w:val="20"/>
                <w:szCs w:val="20"/>
                <w:color w:val="auto"/>
              </w:rPr>
            </w:pPr>
            <w:r>
              <w:rPr>
                <w:rFonts w:ascii="Arial" w:cs="Arial" w:eastAsia="Arial" w:hAnsi="Arial"/>
                <w:sz w:val="12"/>
                <w:szCs w:val="12"/>
                <w:color w:val="auto"/>
              </w:rPr>
              <w:t>$15,182</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238"/>
              <w:spacing w:after="0"/>
              <w:rPr>
                <w:sz w:val="20"/>
                <w:szCs w:val="20"/>
                <w:color w:val="auto"/>
              </w:rPr>
            </w:pPr>
            <w:r>
              <w:rPr>
                <w:rFonts w:ascii="Arial" w:cs="Arial" w:eastAsia="Arial" w:hAnsi="Arial"/>
                <w:sz w:val="12"/>
                <w:szCs w:val="12"/>
                <w:color w:val="auto"/>
              </w:rPr>
              <w:t>$886,639</w:t>
            </w:r>
          </w:p>
        </w:tc>
        <w:tc>
          <w:tcPr>
            <w:tcW w:w="0" w:type="dxa"/>
            <w:vAlign w:val="bottom"/>
          </w:tcPr>
          <w:p>
            <w:pPr>
              <w:spacing w:after="0"/>
              <w:rPr>
                <w:sz w:val="1"/>
                <w:szCs w:val="1"/>
                <w:color w:val="auto"/>
              </w:rPr>
            </w:pPr>
          </w:p>
        </w:tc>
      </w:tr>
      <w:tr>
        <w:trPr>
          <w:trHeight w:val="231"/>
        </w:trPr>
        <w:tc>
          <w:tcPr>
            <w:tcW w:w="900" w:type="dxa"/>
            <w:vAlign w:val="bottom"/>
          </w:tcPr>
          <w:p>
            <w:pPr>
              <w:spacing w:after="0"/>
              <w:rPr>
                <w:sz w:val="20"/>
                <w:szCs w:val="20"/>
                <w:color w:val="auto"/>
              </w:rPr>
            </w:pPr>
          </w:p>
        </w:tc>
        <w:tc>
          <w:tcPr>
            <w:tcW w:w="1400" w:type="dxa"/>
            <w:vAlign w:val="bottom"/>
          </w:tcPr>
          <w:p>
            <w:pPr>
              <w:ind w:left="1160"/>
              <w:spacing w:after="0"/>
              <w:rPr>
                <w:sz w:val="20"/>
                <w:szCs w:val="20"/>
                <w:color w:val="auto"/>
              </w:rPr>
            </w:pPr>
            <w:r>
              <w:rPr>
                <w:rFonts w:ascii="Arial" w:cs="Arial" w:eastAsia="Arial" w:hAnsi="Arial"/>
                <w:sz w:val="12"/>
                <w:szCs w:val="12"/>
                <w:color w:val="auto"/>
                <w:w w:val="96"/>
              </w:rPr>
              <w:t>total</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$909,580</w:t>
            </w:r>
          </w:p>
        </w:tc>
        <w:tc>
          <w:tcPr>
            <w:tcW w:w="1160" w:type="dxa"/>
            <w:vAlign w:val="bottom"/>
          </w:tcPr>
          <w:p>
            <w:pPr>
              <w:jc w:val="right"/>
              <w:ind w:right="58"/>
              <w:spacing w:after="0"/>
              <w:rPr>
                <w:sz w:val="20"/>
                <w:szCs w:val="20"/>
                <w:color w:val="auto"/>
              </w:rPr>
            </w:pPr>
            <w:r>
              <w:rPr>
                <w:rFonts w:ascii="Arial" w:cs="Arial" w:eastAsia="Arial" w:hAnsi="Arial"/>
                <w:sz w:val="12"/>
                <w:szCs w:val="12"/>
                <w:color w:val="auto"/>
              </w:rPr>
              <w:t>$38,123</w:t>
            </w:r>
          </w:p>
        </w:tc>
        <w:tc>
          <w:tcPr>
            <w:tcW w:w="1040" w:type="dxa"/>
            <w:vAlign w:val="bottom"/>
          </w:tcPr>
          <w:p>
            <w:pPr>
              <w:jc w:val="right"/>
              <w:ind w:right="178"/>
              <w:spacing w:after="0"/>
              <w:rPr>
                <w:sz w:val="20"/>
                <w:szCs w:val="20"/>
                <w:color w:val="auto"/>
              </w:rPr>
            </w:pPr>
            <w:r>
              <w:rPr>
                <w:rFonts w:ascii="Arial" w:cs="Arial" w:eastAsia="Arial" w:hAnsi="Arial"/>
                <w:sz w:val="12"/>
                <w:szCs w:val="12"/>
                <w:color w:val="auto"/>
              </w:rPr>
              <w:t>($9,460)</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238"/>
              <w:spacing w:after="0"/>
              <w:rPr>
                <w:sz w:val="20"/>
                <w:szCs w:val="20"/>
                <w:color w:val="auto"/>
              </w:rPr>
            </w:pPr>
            <w:r>
              <w:rPr>
                <w:rFonts w:ascii="Arial" w:cs="Arial" w:eastAsia="Arial" w:hAnsi="Arial"/>
                <w:sz w:val="12"/>
                <w:szCs w:val="12"/>
                <w:color w:val="auto"/>
              </w:rPr>
              <w:t>$1,150,799</w:t>
            </w:r>
          </w:p>
        </w:tc>
        <w:tc>
          <w:tcPr>
            <w:tcW w:w="0" w:type="dxa"/>
            <w:vAlign w:val="bottom"/>
          </w:tcPr>
          <w:p>
            <w:pPr>
              <w:spacing w:after="0"/>
              <w:rPr>
                <w:sz w:val="1"/>
                <w:szCs w:val="1"/>
                <w:color w:val="auto"/>
              </w:rPr>
            </w:pPr>
          </w:p>
        </w:tc>
      </w:tr>
      <w:tr>
        <w:trPr>
          <w:trHeight w:val="213"/>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nonqualified savings</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$53,816</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$53,816</w:t>
            </w:r>
          </w:p>
        </w:tc>
        <w:tc>
          <w:tcPr>
            <w:tcW w:w="104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($178,790)</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$849,488</w:t>
            </w:r>
          </w:p>
        </w:tc>
        <w:tc>
          <w:tcPr>
            <w:tcW w:w="0" w:type="dxa"/>
            <w:vAlign w:val="bottom"/>
          </w:tcPr>
          <w:p>
            <w:pPr>
              <w:spacing w:after="0"/>
              <w:rPr>
                <w:sz w:val="1"/>
                <w:szCs w:val="1"/>
                <w:color w:val="auto"/>
              </w:rPr>
            </w:pPr>
          </w:p>
        </w:tc>
      </w:tr>
      <w:tr>
        <w:trPr>
          <w:trHeight w:val="222"/>
        </w:trPr>
        <w:tc>
          <w:tcPr>
            <w:tcW w:w="900" w:type="dxa"/>
            <w:vAlign w:val="bottom"/>
            <w:shd w:val="clear" w:color="auto" w:fill="F2F2F2"/>
          </w:tcPr>
          <w:p>
            <w:pPr>
              <w:spacing w:after="0"/>
              <w:rPr>
                <w:sz w:val="19"/>
                <w:szCs w:val="19"/>
                <w:color w:val="auto"/>
              </w:rPr>
            </w:pP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deferred compensation</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$0</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$0</w:t>
            </w:r>
          </w:p>
        </w:tc>
        <w:tc>
          <w:tcPr>
            <w:tcW w:w="104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$0</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40"/>
        </w:trPr>
        <w:tc>
          <w:tcPr>
            <w:tcW w:w="900" w:type="dxa"/>
            <w:vAlign w:val="bottom"/>
            <w:shd w:val="clear" w:color="auto" w:fill="F2F2F2"/>
          </w:tcPr>
          <w:p>
            <w:pPr>
              <w:spacing w:after="0"/>
              <w:rPr>
                <w:sz w:val="20"/>
                <w:szCs w:val="20"/>
                <w:color w:val="auto"/>
              </w:rPr>
            </w:pPr>
          </w:p>
        </w:tc>
        <w:tc>
          <w:tcPr>
            <w:tcW w:w="1400" w:type="dxa"/>
            <w:vAlign w:val="bottom"/>
            <w:shd w:val="clear" w:color="auto" w:fill="F2F2F2"/>
          </w:tcPr>
          <w:p>
            <w:pPr>
              <w:ind w:left="1160"/>
              <w:spacing w:after="0"/>
              <w:rPr>
                <w:sz w:val="20"/>
                <w:szCs w:val="20"/>
                <w:color w:val="auto"/>
              </w:rPr>
            </w:pPr>
            <w:r>
              <w:rPr>
                <w:rFonts w:ascii="Arial" w:cs="Arial" w:eastAsia="Arial" w:hAnsi="Arial"/>
                <w:sz w:val="12"/>
                <w:szCs w:val="12"/>
                <w:color w:val="auto"/>
                <w:w w:val="96"/>
              </w:rPr>
              <w:t>total</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$53,816</w:t>
            </w:r>
          </w:p>
        </w:tc>
        <w:tc>
          <w:tcPr>
            <w:tcW w:w="1160" w:type="dxa"/>
            <w:vAlign w:val="bottom"/>
            <w:shd w:val="clear" w:color="auto" w:fill="F2F2F2"/>
          </w:tcPr>
          <w:p>
            <w:pPr>
              <w:jc w:val="right"/>
              <w:ind w:right="58"/>
              <w:spacing w:after="0"/>
              <w:rPr>
                <w:sz w:val="20"/>
                <w:szCs w:val="20"/>
                <w:color w:val="auto"/>
              </w:rPr>
            </w:pPr>
            <w:r>
              <w:rPr>
                <w:rFonts w:ascii="Arial" w:cs="Arial" w:eastAsia="Arial" w:hAnsi="Arial"/>
                <w:sz w:val="12"/>
                <w:szCs w:val="12"/>
                <w:color w:val="auto"/>
              </w:rPr>
              <w:t>$53,816</w:t>
            </w:r>
          </w:p>
        </w:tc>
        <w:tc>
          <w:tcPr>
            <w:tcW w:w="104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($178,790)</w:t>
            </w:r>
          </w:p>
        </w:tc>
        <w:tc>
          <w:tcPr>
            <w:tcW w:w="106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$849,488</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Arial" w:cs="Arial" w:eastAsia="Arial" w:hAnsi="Arial"/>
                <w:sz w:val="12"/>
                <w:szCs w:val="12"/>
                <w:color w:val="auto"/>
              </w:rPr>
              <w:t>Ms. Hakim</w:t>
            </w:r>
          </w:p>
        </w:tc>
        <w:tc>
          <w:tcPr>
            <w:tcW w:w="1400" w:type="dxa"/>
            <w:vAlign w:val="bottom"/>
          </w:tcPr>
          <w:p>
            <w:pPr>
              <w:ind w:left="20"/>
              <w:spacing w:after="0"/>
              <w:rPr>
                <w:sz w:val="20"/>
                <w:szCs w:val="20"/>
                <w:color w:val="auto"/>
              </w:rPr>
            </w:pPr>
            <w:r>
              <w:rPr>
                <w:rFonts w:ascii="Arial" w:cs="Arial" w:eastAsia="Arial" w:hAnsi="Arial"/>
                <w:sz w:val="12"/>
                <w:szCs w:val="12"/>
                <w:color w:val="auto"/>
              </w:rPr>
              <w:t>nonqualified savings</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$34,258</w:t>
            </w:r>
          </w:p>
        </w:tc>
        <w:tc>
          <w:tcPr>
            <w:tcW w:w="1160" w:type="dxa"/>
            <w:vAlign w:val="bottom"/>
          </w:tcPr>
          <w:p>
            <w:pPr>
              <w:jc w:val="right"/>
              <w:spacing w:after="0"/>
              <w:rPr>
                <w:sz w:val="20"/>
                <w:szCs w:val="20"/>
                <w:color w:val="auto"/>
              </w:rPr>
            </w:pPr>
            <w:r>
              <w:rPr>
                <w:rFonts w:ascii="Arial" w:cs="Arial" w:eastAsia="Arial" w:hAnsi="Arial"/>
                <w:sz w:val="12"/>
                <w:szCs w:val="12"/>
                <w:color w:val="auto"/>
              </w:rPr>
              <w:t>$34,258</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($26,208)</w:t>
            </w:r>
          </w:p>
        </w:tc>
        <w:tc>
          <w:tcPr>
            <w:tcW w:w="1060" w:type="dxa"/>
            <w:vAlign w:val="bottom"/>
          </w:tcPr>
          <w:p>
            <w:pPr>
              <w:jc w:val="right"/>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$174,143</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deferred compensation</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$0</w:t>
            </w: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$0</w:t>
            </w:r>
          </w:p>
        </w:tc>
        <w:tc>
          <w:tcPr>
            <w:tcW w:w="1060" w:type="dxa"/>
            <w:vAlign w:val="bottom"/>
          </w:tcPr>
          <w:p>
            <w:pPr>
              <w:jc w:val="right"/>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1"/>
        </w:trPr>
        <w:tc>
          <w:tcPr>
            <w:tcW w:w="900" w:type="dxa"/>
            <w:vAlign w:val="bottom"/>
          </w:tcPr>
          <w:p>
            <w:pPr>
              <w:spacing w:after="0"/>
              <w:rPr>
                <w:sz w:val="20"/>
                <w:szCs w:val="20"/>
                <w:color w:val="auto"/>
              </w:rPr>
            </w:pPr>
          </w:p>
        </w:tc>
        <w:tc>
          <w:tcPr>
            <w:tcW w:w="1400" w:type="dxa"/>
            <w:vAlign w:val="bottom"/>
          </w:tcPr>
          <w:p>
            <w:pPr>
              <w:ind w:left="1160"/>
              <w:spacing w:after="0"/>
              <w:rPr>
                <w:sz w:val="20"/>
                <w:szCs w:val="20"/>
                <w:color w:val="auto"/>
              </w:rPr>
            </w:pPr>
            <w:r>
              <w:rPr>
                <w:rFonts w:ascii="Arial" w:cs="Arial" w:eastAsia="Arial" w:hAnsi="Arial"/>
                <w:sz w:val="12"/>
                <w:szCs w:val="12"/>
                <w:color w:val="auto"/>
                <w:w w:val="96"/>
              </w:rPr>
              <w:t>total</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$34,258</w:t>
            </w:r>
          </w:p>
        </w:tc>
        <w:tc>
          <w:tcPr>
            <w:tcW w:w="1160" w:type="dxa"/>
            <w:vAlign w:val="bottom"/>
          </w:tcPr>
          <w:p>
            <w:pPr>
              <w:jc w:val="right"/>
              <w:spacing w:after="0"/>
              <w:rPr>
                <w:sz w:val="20"/>
                <w:szCs w:val="20"/>
                <w:color w:val="auto"/>
              </w:rPr>
            </w:pPr>
            <w:r>
              <w:rPr>
                <w:rFonts w:ascii="Arial" w:cs="Arial" w:eastAsia="Arial" w:hAnsi="Arial"/>
                <w:sz w:val="12"/>
                <w:szCs w:val="12"/>
                <w:color w:val="auto"/>
              </w:rPr>
              <w:t>$34,258</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($26,208)</w:t>
            </w:r>
          </w:p>
        </w:tc>
        <w:tc>
          <w:tcPr>
            <w:tcW w:w="1060" w:type="dxa"/>
            <w:vAlign w:val="bottom"/>
          </w:tcPr>
          <w:p>
            <w:pPr>
              <w:jc w:val="right"/>
              <w:spacing w:after="0"/>
              <w:rPr>
                <w:sz w:val="20"/>
                <w:szCs w:val="20"/>
                <w:color w:val="auto"/>
              </w:rPr>
            </w:pPr>
            <w:r>
              <w:rPr>
                <w:rFonts w:ascii="Arial" w:cs="Arial" w:eastAsia="Arial" w:hAnsi="Arial"/>
                <w:sz w:val="12"/>
                <w:szCs w:val="12"/>
                <w:color w:val="auto"/>
              </w:rPr>
              <w:t>$0</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$174,143</w:t>
            </w:r>
          </w:p>
        </w:tc>
        <w:tc>
          <w:tcPr>
            <w:tcW w:w="0" w:type="dxa"/>
            <w:vAlign w:val="bottom"/>
          </w:tcPr>
          <w:p>
            <w:pPr>
              <w:spacing w:after="0"/>
              <w:rPr>
                <w:sz w:val="1"/>
                <w:szCs w:val="1"/>
                <w:color w:val="auto"/>
              </w:rPr>
            </w:pPr>
          </w:p>
        </w:tc>
      </w:tr>
      <w:tr>
        <w:trPr>
          <w:trHeight w:val="213"/>
        </w:trPr>
        <w:tc>
          <w:tcPr>
            <w:tcW w:w="900" w:type="dxa"/>
            <w:vAlign w:val="bottom"/>
            <w:shd w:val="clear" w:color="auto" w:fill="F2F2F2"/>
          </w:tcPr>
          <w:p>
            <w:pPr>
              <w:spacing w:after="0"/>
              <w:rPr>
                <w:sz w:val="20"/>
                <w:szCs w:val="20"/>
                <w:color w:val="auto"/>
              </w:rPr>
            </w:pPr>
            <w:r>
              <w:rPr>
                <w:rFonts w:ascii="Arial" w:cs="Arial" w:eastAsia="Arial" w:hAnsi="Arial"/>
                <w:sz w:val="12"/>
                <w:szCs w:val="12"/>
                <w:color w:val="auto"/>
              </w:rPr>
              <w:t>Mr. Jonsson</w:t>
            </w: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nonqualified savings</w:t>
            </w:r>
          </w:p>
        </w:tc>
        <w:tc>
          <w:tcPr>
            <w:tcW w:w="110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$26,123</w:t>
            </w:r>
          </w:p>
        </w:tc>
        <w:tc>
          <w:tcPr>
            <w:tcW w:w="11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$26,123</w:t>
            </w:r>
          </w:p>
        </w:tc>
        <w:tc>
          <w:tcPr>
            <w:tcW w:w="104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($19,191)</w:t>
            </w:r>
          </w:p>
        </w:tc>
        <w:tc>
          <w:tcPr>
            <w:tcW w:w="10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$138,719</w:t>
            </w:r>
          </w:p>
        </w:tc>
        <w:tc>
          <w:tcPr>
            <w:tcW w:w="0" w:type="dxa"/>
            <w:vAlign w:val="bottom"/>
          </w:tcPr>
          <w:p>
            <w:pPr>
              <w:spacing w:after="0"/>
              <w:rPr>
                <w:sz w:val="1"/>
                <w:szCs w:val="1"/>
                <w:color w:val="auto"/>
              </w:rPr>
            </w:pPr>
          </w:p>
        </w:tc>
      </w:tr>
      <w:tr>
        <w:trPr>
          <w:trHeight w:val="222"/>
        </w:trPr>
        <w:tc>
          <w:tcPr>
            <w:tcW w:w="900" w:type="dxa"/>
            <w:vAlign w:val="bottom"/>
            <w:shd w:val="clear" w:color="auto" w:fill="F2F2F2"/>
          </w:tcPr>
          <w:p>
            <w:pPr>
              <w:spacing w:after="0"/>
              <w:rPr>
                <w:sz w:val="19"/>
                <w:szCs w:val="19"/>
                <w:color w:val="auto"/>
              </w:rPr>
            </w:pPr>
          </w:p>
        </w:tc>
        <w:tc>
          <w:tcPr>
            <w:tcW w:w="1400" w:type="dxa"/>
            <w:vAlign w:val="bottom"/>
            <w:shd w:val="clear" w:color="auto" w:fill="F2F2F2"/>
          </w:tcPr>
          <w:p>
            <w:pPr>
              <w:ind w:left="20"/>
              <w:spacing w:after="0"/>
              <w:rPr>
                <w:sz w:val="20"/>
                <w:szCs w:val="20"/>
                <w:color w:val="auto"/>
              </w:rPr>
            </w:pPr>
            <w:r>
              <w:rPr>
                <w:rFonts w:ascii="Arial" w:cs="Arial" w:eastAsia="Arial" w:hAnsi="Arial"/>
                <w:sz w:val="12"/>
                <w:szCs w:val="12"/>
                <w:color w:val="auto"/>
              </w:rPr>
              <w:t>deferred compensation</w:t>
            </w:r>
          </w:p>
        </w:tc>
        <w:tc>
          <w:tcPr>
            <w:tcW w:w="110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$0</w:t>
            </w:r>
          </w:p>
        </w:tc>
        <w:tc>
          <w:tcPr>
            <w:tcW w:w="11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04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$0</w:t>
            </w:r>
          </w:p>
        </w:tc>
        <w:tc>
          <w:tcPr>
            <w:tcW w:w="10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0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2"/>
        </w:trPr>
        <w:tc>
          <w:tcPr>
            <w:tcW w:w="900" w:type="dxa"/>
            <w:vAlign w:val="bottom"/>
            <w:tcBorders>
              <w:bottom w:val="single" w:sz="8" w:color="auto"/>
            </w:tcBorders>
            <w:shd w:val="clear" w:color="auto" w:fill="F2F2F2"/>
          </w:tcPr>
          <w:p>
            <w:pPr>
              <w:spacing w:after="0"/>
              <w:rPr>
                <w:sz w:val="20"/>
                <w:szCs w:val="20"/>
                <w:color w:val="auto"/>
              </w:rPr>
            </w:pPr>
          </w:p>
        </w:tc>
        <w:tc>
          <w:tcPr>
            <w:tcW w:w="1400" w:type="dxa"/>
            <w:vAlign w:val="bottom"/>
            <w:tcBorders>
              <w:bottom w:val="single" w:sz="8" w:color="auto"/>
            </w:tcBorders>
            <w:shd w:val="clear" w:color="auto" w:fill="F2F2F2"/>
          </w:tcPr>
          <w:p>
            <w:pPr>
              <w:ind w:left="1160"/>
              <w:spacing w:after="0"/>
              <w:rPr>
                <w:sz w:val="20"/>
                <w:szCs w:val="20"/>
                <w:color w:val="auto"/>
              </w:rPr>
            </w:pPr>
            <w:r>
              <w:rPr>
                <w:rFonts w:ascii="Arial" w:cs="Arial" w:eastAsia="Arial" w:hAnsi="Arial"/>
                <w:sz w:val="12"/>
                <w:szCs w:val="12"/>
                <w:color w:val="auto"/>
                <w:w w:val="96"/>
              </w:rPr>
              <w:t>total</w:t>
            </w:r>
          </w:p>
        </w:tc>
        <w:tc>
          <w:tcPr>
            <w:tcW w:w="1100" w:type="dxa"/>
            <w:vAlign w:val="bottom"/>
            <w:tcBorders>
              <w:bottom w:val="single" w:sz="8" w:color="auto"/>
            </w:tcBorders>
            <w:shd w:val="clear" w:color="auto" w:fill="F2F2F2"/>
          </w:tcPr>
          <w:p>
            <w:pPr>
              <w:jc w:val="right"/>
              <w:ind w:right="118"/>
              <w:spacing w:after="0"/>
              <w:rPr>
                <w:sz w:val="20"/>
                <w:szCs w:val="20"/>
                <w:color w:val="auto"/>
              </w:rPr>
            </w:pPr>
            <w:r>
              <w:rPr>
                <w:rFonts w:ascii="Arial" w:cs="Arial" w:eastAsia="Arial" w:hAnsi="Arial"/>
                <w:sz w:val="12"/>
                <w:szCs w:val="12"/>
                <w:color w:val="auto"/>
              </w:rPr>
              <w:t>$26,123</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$26,123</w:t>
            </w:r>
          </w:p>
        </w:tc>
        <w:tc>
          <w:tcPr>
            <w:tcW w:w="1040" w:type="dxa"/>
            <w:vAlign w:val="bottom"/>
            <w:tcBorders>
              <w:bottom w:val="single" w:sz="8" w:color="auto"/>
            </w:tcBorders>
            <w:shd w:val="clear" w:color="auto" w:fill="F2F2F2"/>
          </w:tcPr>
          <w:p>
            <w:pPr>
              <w:jc w:val="right"/>
              <w:ind w:right="158"/>
              <w:spacing w:after="0"/>
              <w:rPr>
                <w:sz w:val="20"/>
                <w:szCs w:val="20"/>
                <w:color w:val="auto"/>
              </w:rPr>
            </w:pPr>
            <w:r>
              <w:rPr>
                <w:rFonts w:ascii="Arial" w:cs="Arial" w:eastAsia="Arial" w:hAnsi="Arial"/>
                <w:sz w:val="12"/>
                <w:szCs w:val="12"/>
                <w:color w:val="auto"/>
              </w:rPr>
              <w:t>($19,191)</w:t>
            </w:r>
          </w:p>
        </w:tc>
        <w:tc>
          <w:tcPr>
            <w:tcW w:w="10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tcBorders>
            <w:shd w:val="clear" w:color="auto" w:fill="F2F2F2"/>
          </w:tcPr>
          <w:p>
            <w:pPr>
              <w:jc w:val="right"/>
              <w:ind w:right="178"/>
              <w:spacing w:after="0"/>
              <w:rPr>
                <w:sz w:val="20"/>
                <w:szCs w:val="20"/>
                <w:color w:val="auto"/>
              </w:rPr>
            </w:pPr>
            <w:r>
              <w:rPr>
                <w:rFonts w:ascii="Arial" w:cs="Arial" w:eastAsia="Arial" w:hAnsi="Arial"/>
                <w:sz w:val="12"/>
                <w:szCs w:val="12"/>
                <w:color w:val="auto"/>
              </w:rPr>
              <w:t>$138,719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7" w:right="360" w:hanging="147"/>
        <w:spacing w:after="0" w:line="235" w:lineRule="auto"/>
        <w:tabs>
          <w:tab w:leader="none" w:pos="86" w:val="left"/>
        </w:tabs>
        <w:numPr>
          <w:ilvl w:val="0"/>
          <w:numId w:val="171"/>
        </w:numPr>
        <w:rPr>
          <w:rFonts w:ascii="Arial" w:cs="Arial" w:eastAsia="Arial" w:hAnsi="Arial"/>
          <w:sz w:val="16"/>
          <w:szCs w:val="16"/>
          <w:color w:val="auto"/>
          <w:vertAlign w:val="superscript"/>
        </w:rPr>
      </w:pPr>
      <w:r>
        <w:rPr>
          <w:rFonts w:ascii="Arial" w:cs="Arial" w:eastAsia="Arial" w:hAnsi="Arial"/>
          <w:sz w:val="12"/>
          <w:szCs w:val="12"/>
          <w:color w:val="auto"/>
        </w:rPr>
        <w:t>The amounts in this column are also included in the Summary Compensation Table in the “Salary” column (nonqualified savings) or the “Non-Equity Incentive Plan Compensation” column (deferred compensation).</w:t>
      </w:r>
    </w:p>
    <w:p>
      <w:pPr>
        <w:spacing w:after="0" w:line="16" w:lineRule="exact"/>
        <w:rPr>
          <w:sz w:val="20"/>
          <w:szCs w:val="20"/>
          <w:color w:val="auto"/>
        </w:rPr>
      </w:pPr>
    </w:p>
    <w:p>
      <w:pPr>
        <w:ind w:left="87" w:hanging="87"/>
        <w:spacing w:after="0"/>
        <w:tabs>
          <w:tab w:leader="none" w:pos="87" w:val="left"/>
        </w:tabs>
        <w:numPr>
          <w:ilvl w:val="0"/>
          <w:numId w:val="172"/>
        </w:numPr>
        <w:rPr>
          <w:rFonts w:ascii="Arial" w:cs="Arial" w:eastAsia="Arial" w:hAnsi="Arial"/>
          <w:sz w:val="16"/>
          <w:szCs w:val="16"/>
          <w:color w:val="auto"/>
          <w:vertAlign w:val="superscript"/>
        </w:rPr>
      </w:pPr>
      <w:r>
        <w:rPr>
          <w:rFonts w:ascii="Arial" w:cs="Arial" w:eastAsia="Arial" w:hAnsi="Arial"/>
          <w:sz w:val="12"/>
          <w:szCs w:val="12"/>
          <w:color w:val="auto"/>
        </w:rPr>
        <w:t>The amounts in this column are also included in the Summary Compensation Table in the “All Other Compensation” column as a portion of the savings plan match.</w:t>
      </w:r>
    </w:p>
    <w:p>
      <w:pPr>
        <w:spacing w:after="0" w:line="34" w:lineRule="exact"/>
        <w:rPr>
          <w:rFonts w:ascii="Arial" w:cs="Arial" w:eastAsia="Arial" w:hAnsi="Arial"/>
          <w:sz w:val="16"/>
          <w:szCs w:val="16"/>
          <w:color w:val="auto"/>
          <w:vertAlign w:val="superscript"/>
        </w:rPr>
      </w:pPr>
    </w:p>
    <w:p>
      <w:pPr>
        <w:ind w:left="7"/>
        <w:spacing w:after="0"/>
        <w:rPr>
          <w:rFonts w:ascii="Arial" w:cs="Arial" w:eastAsia="Arial" w:hAnsi="Arial"/>
          <w:sz w:val="16"/>
          <w:szCs w:val="16"/>
          <w:color w:val="auto"/>
          <w:vertAlign w:val="superscript"/>
        </w:rPr>
      </w:pPr>
      <w:r>
        <w:rPr>
          <w:rFonts w:ascii="Arial" w:cs="Arial" w:eastAsia="Arial" w:hAnsi="Arial"/>
          <w:sz w:val="8"/>
          <w:szCs w:val="8"/>
          <w:color w:val="auto"/>
        </w:rPr>
        <w:t xml:space="preserve">3 </w:t>
      </w:r>
      <w:r>
        <w:rPr>
          <w:rFonts w:ascii="Arial" w:cs="Arial" w:eastAsia="Arial" w:hAnsi="Arial"/>
          <w:sz w:val="12"/>
          <w:szCs w:val="12"/>
          <w:color w:val="auto"/>
        </w:rPr>
        <w:t>Of the totals in this column, the following amounts have previously been reported in the Summary Compensation Table for this year and for previous years:</w:t>
      </w:r>
    </w:p>
    <w:p>
      <w:pPr>
        <w:spacing w:after="0" w:line="200" w:lineRule="exact"/>
        <w:rPr>
          <w:sz w:val="20"/>
          <w:szCs w:val="20"/>
          <w:color w:val="auto"/>
        </w:rPr>
      </w:pPr>
    </w:p>
    <w:p>
      <w:pPr>
        <w:spacing w:after="0" w:line="242"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872" w:right="359" w:bottom="1440" w:gutter="0" w:footer="0" w:header="0"/>
        </w:sectPr>
      </w:pPr>
    </w:p>
    <w:bookmarkStart w:id="80" w:name="page81"/>
    <w:bookmarkEnd w:id="80"/>
    <w:tbl>
      <w:tblPr>
        <w:tblLayout w:type="fixed"/>
        <w:tblInd w:w="567" w:type="dxa"/>
        <w:tblCellMar>
          <w:top w:w="0" w:type="dxa"/>
          <w:left w:w="0" w:type="dxa"/>
          <w:bottom w:w="0" w:type="dxa"/>
          <w:right w:w="0" w:type="dxa"/>
        </w:tblCellMar>
      </w:tblPr>
      <w:tr>
        <w:trPr>
          <w:trHeight w:val="177"/>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5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2022 ($)</w:t>
            </w:r>
          </w:p>
        </w:tc>
        <w:tc>
          <w:tcPr>
            <w:tcW w:w="15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Previous Years ($)</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Total ($)</w:t>
            </w:r>
          </w:p>
        </w:tc>
      </w:tr>
      <w:tr>
        <w:trPr>
          <w:trHeight w:val="208"/>
        </w:trPr>
        <w:tc>
          <w:tcPr>
            <w:tcW w:w="1660" w:type="dxa"/>
            <w:vAlign w:val="bottom"/>
            <w:shd w:val="clear" w:color="auto" w:fill="F2F2F2"/>
          </w:tcPr>
          <w:p>
            <w:pPr>
              <w:spacing w:after="0"/>
              <w:rPr>
                <w:sz w:val="20"/>
                <w:szCs w:val="20"/>
                <w:color w:val="auto"/>
              </w:rPr>
            </w:pPr>
            <w:r>
              <w:rPr>
                <w:rFonts w:ascii="Arial" w:cs="Arial" w:eastAsia="Arial" w:hAnsi="Arial"/>
                <w:sz w:val="12"/>
                <w:szCs w:val="12"/>
                <w:color w:val="auto"/>
              </w:rPr>
              <w:t>Mr. Ricks</w:t>
            </w:r>
          </w:p>
        </w:tc>
        <w:tc>
          <w:tcPr>
            <w:tcW w:w="156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$143,400</w:t>
            </w:r>
          </w:p>
        </w:tc>
        <w:tc>
          <w:tcPr>
            <w:tcW w:w="1540" w:type="dxa"/>
            <w:vAlign w:val="bottom"/>
            <w:shd w:val="clear" w:color="auto" w:fill="F2F2F2"/>
          </w:tcPr>
          <w:p>
            <w:pPr>
              <w:jc w:val="right"/>
              <w:ind w:right="78"/>
              <w:spacing w:after="0"/>
              <w:rPr>
                <w:sz w:val="20"/>
                <w:szCs w:val="20"/>
                <w:color w:val="auto"/>
              </w:rPr>
            </w:pPr>
            <w:r>
              <w:rPr>
                <w:rFonts w:ascii="Arial" w:cs="Arial" w:eastAsia="Arial" w:hAnsi="Arial"/>
                <w:sz w:val="12"/>
                <w:szCs w:val="12"/>
                <w:color w:val="auto"/>
              </w:rPr>
              <w:t>$692,615</w:t>
            </w:r>
          </w:p>
        </w:tc>
        <w:tc>
          <w:tcPr>
            <w:tcW w:w="106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$836,015</w:t>
            </w:r>
          </w:p>
        </w:tc>
      </w:tr>
      <w:tr>
        <w:trPr>
          <w:trHeight w:val="213"/>
        </w:trPr>
        <w:tc>
          <w:tcPr>
            <w:tcW w:w="1660" w:type="dxa"/>
            <w:vAlign w:val="bottom"/>
          </w:tcPr>
          <w:p>
            <w:pPr>
              <w:spacing w:after="0"/>
              <w:rPr>
                <w:sz w:val="20"/>
                <w:szCs w:val="20"/>
                <w:color w:val="auto"/>
              </w:rPr>
            </w:pPr>
            <w:r>
              <w:rPr>
                <w:rFonts w:ascii="Arial" w:cs="Arial" w:eastAsia="Arial" w:hAnsi="Arial"/>
                <w:sz w:val="12"/>
                <w:szCs w:val="12"/>
                <w:color w:val="auto"/>
              </w:rPr>
              <w:t>Ms. Ashkenazi</w:t>
            </w:r>
          </w:p>
        </w:tc>
        <w:tc>
          <w:tcPr>
            <w:tcW w:w="1560" w:type="dxa"/>
            <w:vAlign w:val="bottom"/>
          </w:tcPr>
          <w:p>
            <w:pPr>
              <w:jc w:val="right"/>
              <w:ind w:right="158"/>
              <w:spacing w:after="0"/>
              <w:rPr>
                <w:sz w:val="20"/>
                <w:szCs w:val="20"/>
                <w:color w:val="auto"/>
              </w:rPr>
            </w:pPr>
            <w:r>
              <w:rPr>
                <w:rFonts w:ascii="Arial" w:cs="Arial" w:eastAsia="Arial" w:hAnsi="Arial"/>
                <w:sz w:val="12"/>
                <w:szCs w:val="12"/>
                <w:color w:val="auto"/>
              </w:rPr>
              <w:t>$947,703</w:t>
            </w:r>
          </w:p>
        </w:tc>
        <w:tc>
          <w:tcPr>
            <w:tcW w:w="1540" w:type="dxa"/>
            <w:vAlign w:val="bottom"/>
          </w:tcPr>
          <w:p>
            <w:pPr>
              <w:jc w:val="right"/>
              <w:ind w:right="78"/>
              <w:spacing w:after="0"/>
              <w:rPr>
                <w:sz w:val="20"/>
                <w:szCs w:val="20"/>
                <w:color w:val="auto"/>
              </w:rPr>
            </w:pPr>
            <w:r>
              <w:rPr>
                <w:rFonts w:ascii="Arial" w:cs="Arial" w:eastAsia="Arial" w:hAnsi="Arial"/>
                <w:sz w:val="12"/>
                <w:szCs w:val="12"/>
                <w:color w:val="auto"/>
              </w:rPr>
              <w:t>$67,252</w:t>
            </w:r>
          </w:p>
        </w:tc>
        <w:tc>
          <w:tcPr>
            <w:tcW w:w="1060" w:type="dxa"/>
            <w:vAlign w:val="bottom"/>
          </w:tcPr>
          <w:p>
            <w:pPr>
              <w:jc w:val="right"/>
              <w:ind w:right="238"/>
              <w:spacing w:after="0"/>
              <w:rPr>
                <w:sz w:val="20"/>
                <w:szCs w:val="20"/>
                <w:color w:val="auto"/>
              </w:rPr>
            </w:pPr>
            <w:r>
              <w:rPr>
                <w:rFonts w:ascii="Arial" w:cs="Arial" w:eastAsia="Arial" w:hAnsi="Arial"/>
                <w:sz w:val="12"/>
                <w:szCs w:val="12"/>
                <w:color w:val="auto"/>
              </w:rPr>
              <w:t>$1,014,955</w:t>
            </w:r>
          </w:p>
        </w:tc>
      </w:tr>
      <w:tr>
        <w:trPr>
          <w:trHeight w:val="231"/>
        </w:trPr>
        <w:tc>
          <w:tcPr>
            <w:tcW w:w="1660" w:type="dxa"/>
            <w:vAlign w:val="bottom"/>
            <w:shd w:val="clear" w:color="auto" w:fill="F2F2F2"/>
          </w:tcPr>
          <w:p>
            <w:pPr>
              <w:spacing w:after="0"/>
              <w:rPr>
                <w:sz w:val="20"/>
                <w:szCs w:val="20"/>
                <w:color w:val="auto"/>
              </w:rPr>
            </w:pPr>
            <w:r>
              <w:rPr>
                <w:rFonts w:ascii="Arial" w:cs="Arial" w:eastAsia="Arial" w:hAnsi="Arial"/>
                <w:sz w:val="12"/>
                <w:szCs w:val="12"/>
                <w:color w:val="auto"/>
              </w:rPr>
              <w:t>Dr. Skovronsky</w:t>
            </w:r>
          </w:p>
        </w:tc>
        <w:tc>
          <w:tcPr>
            <w:tcW w:w="156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$107,631</w:t>
            </w:r>
          </w:p>
        </w:tc>
        <w:tc>
          <w:tcPr>
            <w:tcW w:w="1540" w:type="dxa"/>
            <w:vAlign w:val="bottom"/>
            <w:shd w:val="clear" w:color="auto" w:fill="F2F2F2"/>
          </w:tcPr>
          <w:p>
            <w:pPr>
              <w:jc w:val="right"/>
              <w:ind w:right="78"/>
              <w:spacing w:after="0"/>
              <w:rPr>
                <w:sz w:val="20"/>
                <w:szCs w:val="20"/>
                <w:color w:val="auto"/>
              </w:rPr>
            </w:pPr>
            <w:r>
              <w:rPr>
                <w:rFonts w:ascii="Arial" w:cs="Arial" w:eastAsia="Arial" w:hAnsi="Arial"/>
                <w:sz w:val="12"/>
                <w:szCs w:val="12"/>
                <w:color w:val="auto"/>
              </w:rPr>
              <w:t>$309,977</w:t>
            </w:r>
          </w:p>
        </w:tc>
        <w:tc>
          <w:tcPr>
            <w:tcW w:w="1060" w:type="dxa"/>
            <w:vAlign w:val="bottom"/>
            <w:shd w:val="clear" w:color="auto" w:fill="F2F2F2"/>
          </w:tcPr>
          <w:p>
            <w:pPr>
              <w:jc w:val="right"/>
              <w:ind w:right="238"/>
              <w:spacing w:after="0"/>
              <w:rPr>
                <w:sz w:val="20"/>
                <w:szCs w:val="20"/>
                <w:color w:val="auto"/>
              </w:rPr>
            </w:pPr>
            <w:r>
              <w:rPr>
                <w:rFonts w:ascii="Arial" w:cs="Arial" w:eastAsia="Arial" w:hAnsi="Arial"/>
                <w:sz w:val="12"/>
                <w:szCs w:val="12"/>
                <w:color w:val="auto"/>
              </w:rPr>
              <w:t>$417,608</w:t>
            </w:r>
          </w:p>
        </w:tc>
      </w:tr>
      <w:tr>
        <w:trPr>
          <w:trHeight w:val="213"/>
        </w:trPr>
        <w:tc>
          <w:tcPr>
            <w:tcW w:w="1660" w:type="dxa"/>
            <w:vAlign w:val="bottom"/>
          </w:tcPr>
          <w:p>
            <w:pPr>
              <w:spacing w:after="0"/>
              <w:rPr>
                <w:sz w:val="20"/>
                <w:szCs w:val="20"/>
                <w:color w:val="auto"/>
              </w:rPr>
            </w:pPr>
            <w:r>
              <w:rPr>
                <w:rFonts w:ascii="Arial" w:cs="Arial" w:eastAsia="Arial" w:hAnsi="Arial"/>
                <w:sz w:val="12"/>
                <w:szCs w:val="12"/>
                <w:color w:val="auto"/>
              </w:rPr>
              <w:t>Ms. Hakim</w:t>
            </w:r>
          </w:p>
        </w:tc>
        <w:tc>
          <w:tcPr>
            <w:tcW w:w="1560" w:type="dxa"/>
            <w:vAlign w:val="bottom"/>
          </w:tcPr>
          <w:p>
            <w:pPr>
              <w:jc w:val="right"/>
              <w:ind w:right="158"/>
              <w:spacing w:after="0"/>
              <w:rPr>
                <w:sz w:val="20"/>
                <w:szCs w:val="20"/>
                <w:color w:val="auto"/>
              </w:rPr>
            </w:pPr>
            <w:r>
              <w:rPr>
                <w:rFonts w:ascii="Arial" w:cs="Arial" w:eastAsia="Arial" w:hAnsi="Arial"/>
                <w:sz w:val="12"/>
                <w:szCs w:val="12"/>
                <w:color w:val="auto"/>
              </w:rPr>
              <w:t>$68,516</w:t>
            </w:r>
          </w:p>
        </w:tc>
        <w:tc>
          <w:tcPr>
            <w:tcW w:w="1540" w:type="dxa"/>
            <w:vAlign w:val="bottom"/>
          </w:tcPr>
          <w:p>
            <w:pPr>
              <w:jc w:val="right"/>
              <w:ind w:right="78"/>
              <w:spacing w:after="0"/>
              <w:rPr>
                <w:sz w:val="20"/>
                <w:szCs w:val="20"/>
                <w:color w:val="auto"/>
              </w:rPr>
            </w:pPr>
            <w:r>
              <w:rPr>
                <w:rFonts w:ascii="Arial" w:cs="Arial" w:eastAsia="Arial" w:hAnsi="Arial"/>
                <w:sz w:val="12"/>
                <w:szCs w:val="12"/>
                <w:color w:val="auto"/>
              </w:rPr>
              <w:t>N/A</w:t>
            </w:r>
          </w:p>
        </w:tc>
        <w:tc>
          <w:tcPr>
            <w:tcW w:w="1060" w:type="dxa"/>
            <w:vAlign w:val="bottom"/>
          </w:tcPr>
          <w:p>
            <w:pPr>
              <w:jc w:val="right"/>
              <w:ind w:right="238"/>
              <w:spacing w:after="0"/>
              <w:rPr>
                <w:sz w:val="20"/>
                <w:szCs w:val="20"/>
                <w:color w:val="auto"/>
              </w:rPr>
            </w:pPr>
            <w:r>
              <w:rPr>
                <w:rFonts w:ascii="Arial" w:cs="Arial" w:eastAsia="Arial" w:hAnsi="Arial"/>
                <w:sz w:val="12"/>
                <w:szCs w:val="12"/>
                <w:color w:val="auto"/>
              </w:rPr>
              <w:t>$68,516</w:t>
            </w:r>
          </w:p>
        </w:tc>
      </w:tr>
      <w:tr>
        <w:trPr>
          <w:trHeight w:val="223"/>
        </w:trPr>
        <w:tc>
          <w:tcPr>
            <w:tcW w:w="166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Mr. Jonsson</w:t>
            </w:r>
          </w:p>
        </w:tc>
        <w:tc>
          <w:tcPr>
            <w:tcW w:w="1560" w:type="dxa"/>
            <w:vAlign w:val="bottom"/>
            <w:tcBorders>
              <w:bottom w:val="single" w:sz="8" w:color="auto"/>
            </w:tcBorders>
            <w:shd w:val="clear" w:color="auto" w:fill="F2F2F2"/>
          </w:tcPr>
          <w:p>
            <w:pPr>
              <w:jc w:val="right"/>
              <w:ind w:right="158"/>
              <w:spacing w:after="0"/>
              <w:rPr>
                <w:sz w:val="20"/>
                <w:szCs w:val="20"/>
                <w:color w:val="auto"/>
              </w:rPr>
            </w:pPr>
            <w:r>
              <w:rPr>
                <w:rFonts w:ascii="Arial" w:cs="Arial" w:eastAsia="Arial" w:hAnsi="Arial"/>
                <w:sz w:val="12"/>
                <w:szCs w:val="12"/>
                <w:color w:val="auto"/>
              </w:rPr>
              <w:t>$52,246</w:t>
            </w:r>
          </w:p>
        </w:tc>
        <w:tc>
          <w:tcPr>
            <w:tcW w:w="1540" w:type="dxa"/>
            <w:vAlign w:val="bottom"/>
            <w:tcBorders>
              <w:bottom w:val="single" w:sz="8" w:color="auto"/>
            </w:tcBorders>
            <w:shd w:val="clear" w:color="auto" w:fill="F2F2F2"/>
          </w:tcPr>
          <w:p>
            <w:pPr>
              <w:jc w:val="right"/>
              <w:ind w:right="78"/>
              <w:spacing w:after="0"/>
              <w:rPr>
                <w:sz w:val="20"/>
                <w:szCs w:val="20"/>
                <w:color w:val="auto"/>
              </w:rPr>
            </w:pPr>
            <w:r>
              <w:rPr>
                <w:rFonts w:ascii="Arial" w:cs="Arial" w:eastAsia="Arial" w:hAnsi="Arial"/>
                <w:sz w:val="12"/>
                <w:szCs w:val="12"/>
                <w:color w:val="auto"/>
              </w:rPr>
              <w:t>N/A</w:t>
            </w:r>
          </w:p>
        </w:tc>
        <w:tc>
          <w:tcPr>
            <w:tcW w:w="1060" w:type="dxa"/>
            <w:vAlign w:val="bottom"/>
            <w:tcBorders>
              <w:bottom w:val="single" w:sz="8" w:color="auto"/>
            </w:tcBorders>
            <w:shd w:val="clear" w:color="auto" w:fill="F2F2F2"/>
          </w:tcPr>
          <w:p>
            <w:pPr>
              <w:jc w:val="right"/>
              <w:ind w:right="238"/>
              <w:spacing w:after="0"/>
              <w:rPr>
                <w:sz w:val="20"/>
                <w:szCs w:val="20"/>
                <w:color w:val="auto"/>
              </w:rPr>
            </w:pPr>
            <w:r>
              <w:rPr>
                <w:rFonts w:ascii="Arial" w:cs="Arial" w:eastAsia="Arial" w:hAnsi="Arial"/>
                <w:sz w:val="12"/>
                <w:szCs w:val="12"/>
                <w:color w:val="auto"/>
              </w:rPr>
              <w:t>$52,246</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554990</wp:posOffset>
            </wp:positionH>
            <wp:positionV relativeFrom="page">
              <wp:posOffset>519430</wp:posOffset>
            </wp:positionV>
            <wp:extent cx="3701415" cy="762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3701415" cy="7620"/>
                    </a:xfrm>
                    <a:prstGeom prst="rect">
                      <a:avLst/>
                    </a:prstGeom>
                    <a:noFill/>
                  </pic:spPr>
                </pic:pic>
              </a:graphicData>
            </a:graphic>
          </wp:anchor>
        </w:drawing>
      </w:r>
    </w:p>
    <w:p>
      <w:pPr>
        <w:ind w:left="7" w:right="60"/>
        <w:spacing w:after="0" w:line="246" w:lineRule="auto"/>
        <w:rPr>
          <w:sz w:val="20"/>
          <w:szCs w:val="20"/>
          <w:color w:val="auto"/>
        </w:rPr>
      </w:pPr>
      <w:r>
        <w:rPr>
          <w:rFonts w:ascii="Arial" w:cs="Arial" w:eastAsia="Arial" w:hAnsi="Arial"/>
          <w:sz w:val="16"/>
          <w:szCs w:val="16"/>
          <w:color w:val="auto"/>
        </w:rPr>
        <w:t>The Nonqualified Deferred Compensation in 2022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2.3 percent for 2022 and is 5.1 percent for 2023. Participants may elect to receive the funds in a lump sum or in up to 10 annual installments following termination of employment but may not make withdrawals while employed by the company, except in the event of hardship as approved by the Talent and Compensation Committee. All deferral elections and associated distribution schedules are irrevocable. Both plans are unfunded and subject to forfeiture in the event of company bankruptcy.</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Payments upon Termination or Change in Control (as of December 31, 2022)</w:t>
      </w:r>
    </w:p>
    <w:p>
      <w:pPr>
        <w:spacing w:after="0" w:line="57"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The following table describes the potential payments and benefits under the company’s compensation and benefit plans and arrangements to which the named executive officers would be eligible upon qualifying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4984750" cy="762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55"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1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Continuation of</w:t>
            </w: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Acceleration and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Cash</w:t>
            </w: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Medical / Welfare</w:t>
            </w:r>
          </w:p>
        </w:tc>
        <w:tc>
          <w:tcPr>
            <w:tcW w:w="12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Continuation of</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Severance</w:t>
            </w: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Benefits (present</w:t>
            </w:r>
          </w:p>
        </w:tc>
        <w:tc>
          <w:tcPr>
            <w:tcW w:w="1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Equity Awards as</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7"/>
              </w:rPr>
              <w:t xml:space="preserve">Payment </w:t>
            </w:r>
            <w:r>
              <w:rPr>
                <w:rFonts w:ascii="Arial" w:cs="Arial" w:eastAsia="Arial" w:hAnsi="Arial"/>
                <w:sz w:val="16"/>
                <w:szCs w:val="16"/>
                <w:b w:val="1"/>
                <w:bCs w:val="1"/>
                <w:color w:val="auto"/>
                <w:w w:val="97"/>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8"/>
                <w:szCs w:val="8"/>
                <w:b w:val="1"/>
                <w:bCs w:val="1"/>
                <w:color w:val="auto"/>
              </w:rPr>
              <w:t>2</w:t>
            </w:r>
          </w:p>
        </w:tc>
        <w:tc>
          <w:tcPr>
            <w:tcW w:w="1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8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of 12/31/2021</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Benefits</w:t>
            </w:r>
          </w:p>
        </w:tc>
        <w:tc>
          <w:tcPr>
            <w:tcW w:w="0" w:type="dxa"/>
            <w:vAlign w:val="bottom"/>
          </w:tcPr>
          <w:p>
            <w:pPr>
              <w:spacing w:after="0"/>
              <w:rPr>
                <w:sz w:val="1"/>
                <w:szCs w:val="1"/>
                <w:color w:val="auto"/>
              </w:rPr>
            </w:pPr>
          </w:p>
        </w:tc>
      </w:tr>
      <w:tr>
        <w:trPr>
          <w:trHeight w:val="46"/>
        </w:trPr>
        <w:tc>
          <w:tcPr>
            <w:tcW w:w="3680" w:type="dxa"/>
            <w:vAlign w:val="bottom"/>
            <w:tcBorders>
              <w:bottom w:val="single" w:sz="8" w:color="auto"/>
            </w:tcBorders>
            <w:gridSpan w:val="2"/>
            <w:vMerge w:val="continue"/>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680" w:type="dxa"/>
            <w:vAlign w:val="bottom"/>
            <w:gridSpan w:val="2"/>
            <w:shd w:val="clear" w:color="auto" w:fill="F2F2F2"/>
          </w:tcPr>
          <w:p>
            <w:pPr>
              <w:spacing w:after="0"/>
              <w:rPr>
                <w:sz w:val="20"/>
                <w:szCs w:val="20"/>
                <w:color w:val="auto"/>
              </w:rPr>
            </w:pPr>
            <w:r>
              <w:rPr>
                <w:rFonts w:ascii="Arial" w:cs="Arial" w:eastAsia="Arial" w:hAnsi="Arial"/>
                <w:sz w:val="12"/>
                <w:szCs w:val="12"/>
                <w:color w:val="auto"/>
              </w:rPr>
              <w:t>Mr. Ricks</w:t>
            </w:r>
          </w:p>
        </w:tc>
        <w:tc>
          <w:tcPr>
            <w:tcW w:w="860" w:type="dxa"/>
            <w:vAlign w:val="bottom"/>
            <w:shd w:val="clear" w:color="auto" w:fill="F2F2F2"/>
          </w:tcPr>
          <w:p>
            <w:pPr>
              <w:spacing w:after="0"/>
              <w:rPr>
                <w:sz w:val="15"/>
                <w:szCs w:val="15"/>
                <w:color w:val="auto"/>
              </w:rPr>
            </w:pPr>
          </w:p>
        </w:tc>
        <w:tc>
          <w:tcPr>
            <w:tcW w:w="1140" w:type="dxa"/>
            <w:vAlign w:val="bottom"/>
            <w:shd w:val="clear" w:color="auto" w:fill="F2F2F2"/>
          </w:tcPr>
          <w:p>
            <w:pPr>
              <w:spacing w:after="0"/>
              <w:rPr>
                <w:sz w:val="15"/>
                <w:szCs w:val="15"/>
                <w:color w:val="auto"/>
              </w:rPr>
            </w:pPr>
          </w:p>
        </w:tc>
        <w:tc>
          <w:tcPr>
            <w:tcW w:w="122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0" w:type="dxa"/>
            <w:vAlign w:val="bottom"/>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Involuntary retirement or termination</w:t>
            </w:r>
          </w:p>
        </w:tc>
        <w:tc>
          <w:tcPr>
            <w:tcW w:w="8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4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$0</w:t>
            </w:r>
          </w:p>
        </w:tc>
        <w:tc>
          <w:tcPr>
            <w:tcW w:w="1220" w:type="dxa"/>
            <w:vAlign w:val="bottom"/>
            <w:shd w:val="clear" w:color="auto" w:fill="F2F2F2"/>
          </w:tcPr>
          <w:p>
            <w:pPr>
              <w:jc w:val="right"/>
              <w:ind w:right="258"/>
              <w:spacing w:after="0"/>
              <w:rPr>
                <w:sz w:val="20"/>
                <w:szCs w:val="20"/>
                <w:color w:val="auto"/>
              </w:rPr>
            </w:pPr>
            <w:r>
              <w:rPr>
                <w:rFonts w:ascii="Arial" w:cs="Arial" w:eastAsia="Arial" w:hAnsi="Arial"/>
                <w:sz w:val="12"/>
                <w:szCs w:val="12"/>
                <w:color w:val="auto"/>
              </w:rPr>
              <w:t>$28,315,065</w:t>
            </w:r>
          </w:p>
        </w:tc>
        <w:tc>
          <w:tcPr>
            <w:tcW w:w="9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$28,315,065</w:t>
            </w:r>
          </w:p>
        </w:tc>
        <w:tc>
          <w:tcPr>
            <w:tcW w:w="0" w:type="dxa"/>
            <w:vAlign w:val="bottom"/>
          </w:tcPr>
          <w:p>
            <w:pPr>
              <w:spacing w:after="0"/>
              <w:rPr>
                <w:sz w:val="1"/>
                <w:szCs w:val="1"/>
                <w:color w:val="auto"/>
              </w:rPr>
            </w:pPr>
          </w:p>
        </w:tc>
      </w:tr>
      <w:tr>
        <w:trPr>
          <w:trHeight w:val="240"/>
        </w:trPr>
        <w:tc>
          <w:tcPr>
            <w:tcW w:w="180" w:type="dxa"/>
            <w:vAlign w:val="bottom"/>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Involuntary or good-reason termination after change in control</w:t>
            </w:r>
          </w:p>
        </w:tc>
        <w:tc>
          <w:tcPr>
            <w:tcW w:w="8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$7,500,000</w:t>
            </w:r>
          </w:p>
        </w:tc>
        <w:tc>
          <w:tcPr>
            <w:tcW w:w="114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$48,219</w:t>
            </w:r>
          </w:p>
        </w:tc>
        <w:tc>
          <w:tcPr>
            <w:tcW w:w="1220" w:type="dxa"/>
            <w:vAlign w:val="bottom"/>
            <w:shd w:val="clear" w:color="auto" w:fill="F2F2F2"/>
          </w:tcPr>
          <w:p>
            <w:pPr>
              <w:jc w:val="right"/>
              <w:ind w:right="258"/>
              <w:spacing w:after="0"/>
              <w:rPr>
                <w:sz w:val="20"/>
                <w:szCs w:val="20"/>
                <w:color w:val="auto"/>
              </w:rPr>
            </w:pPr>
            <w:r>
              <w:rPr>
                <w:rFonts w:ascii="Arial" w:cs="Arial" w:eastAsia="Arial" w:hAnsi="Arial"/>
                <w:sz w:val="12"/>
                <w:szCs w:val="12"/>
                <w:color w:val="auto"/>
              </w:rPr>
              <w:t>$89,798,117</w:t>
            </w:r>
          </w:p>
        </w:tc>
        <w:tc>
          <w:tcPr>
            <w:tcW w:w="9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$97,346,336</w:t>
            </w:r>
          </w:p>
        </w:tc>
        <w:tc>
          <w:tcPr>
            <w:tcW w:w="0" w:type="dxa"/>
            <w:vAlign w:val="bottom"/>
          </w:tcPr>
          <w:p>
            <w:pPr>
              <w:spacing w:after="0"/>
              <w:rPr>
                <w:sz w:val="1"/>
                <w:szCs w:val="1"/>
                <w:color w:val="auto"/>
              </w:rPr>
            </w:pPr>
          </w:p>
        </w:tc>
      </w:tr>
      <w:tr>
        <w:trPr>
          <w:trHeight w:val="204"/>
        </w:trPr>
        <w:tc>
          <w:tcPr>
            <w:tcW w:w="3680" w:type="dxa"/>
            <w:vAlign w:val="bottom"/>
            <w:gridSpan w:val="2"/>
          </w:tcPr>
          <w:p>
            <w:pPr>
              <w:spacing w:after="0"/>
              <w:rPr>
                <w:sz w:val="20"/>
                <w:szCs w:val="20"/>
                <w:color w:val="auto"/>
              </w:rPr>
            </w:pPr>
            <w:r>
              <w:rPr>
                <w:rFonts w:ascii="Arial" w:cs="Arial" w:eastAsia="Arial" w:hAnsi="Arial"/>
                <w:sz w:val="12"/>
                <w:szCs w:val="12"/>
                <w:color w:val="auto"/>
              </w:rPr>
              <w:t>Ms. Ashkenazi</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2"/>
                <w:szCs w:val="12"/>
                <w:color w:val="auto"/>
              </w:rPr>
              <w:t>•  Involuntary retirement or 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$0</w:t>
            </w:r>
          </w:p>
        </w:tc>
        <w:tc>
          <w:tcPr>
            <w:tcW w:w="1140" w:type="dxa"/>
            <w:vAlign w:val="bottom"/>
          </w:tcPr>
          <w:p>
            <w:pPr>
              <w:jc w:val="right"/>
              <w:ind w:right="178"/>
              <w:spacing w:after="0"/>
              <w:rPr>
                <w:sz w:val="20"/>
                <w:szCs w:val="20"/>
                <w:color w:val="auto"/>
              </w:rPr>
            </w:pPr>
            <w:r>
              <w:rPr>
                <w:rFonts w:ascii="Arial" w:cs="Arial" w:eastAsia="Arial" w:hAnsi="Arial"/>
                <w:sz w:val="12"/>
                <w:szCs w:val="12"/>
                <w:color w:val="auto"/>
              </w:rPr>
              <w:t>$0</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$7,044,249</w:t>
            </w:r>
          </w:p>
        </w:tc>
        <w:tc>
          <w:tcPr>
            <w:tcW w:w="940" w:type="dxa"/>
            <w:vAlign w:val="bottom"/>
          </w:tcPr>
          <w:p>
            <w:pPr>
              <w:jc w:val="right"/>
              <w:spacing w:after="0"/>
              <w:rPr>
                <w:sz w:val="20"/>
                <w:szCs w:val="20"/>
                <w:color w:val="auto"/>
              </w:rPr>
            </w:pPr>
            <w:r>
              <w:rPr>
                <w:rFonts w:ascii="Arial" w:cs="Arial" w:eastAsia="Arial" w:hAnsi="Arial"/>
                <w:sz w:val="12"/>
                <w:szCs w:val="12"/>
                <w:color w:val="auto"/>
              </w:rPr>
              <w:t>$7,044,249</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r>
              <w:rPr>
                <w:rFonts w:ascii="Arial" w:cs="Arial" w:eastAsia="Arial" w:hAnsi="Arial"/>
                <w:sz w:val="12"/>
                <w:szCs w:val="12"/>
                <w:color w:val="auto"/>
              </w:rPr>
              <w:t>•</w:t>
            </w:r>
          </w:p>
        </w:tc>
        <w:tc>
          <w:tcPr>
            <w:tcW w:w="3500" w:type="dxa"/>
            <w:vAlign w:val="bottom"/>
          </w:tcPr>
          <w:p>
            <w:pPr>
              <w:ind w:left="20"/>
              <w:spacing w:after="0"/>
              <w:rPr>
                <w:sz w:val="20"/>
                <w:szCs w:val="20"/>
                <w:color w:val="auto"/>
              </w:rPr>
            </w:pPr>
            <w:r>
              <w:rPr>
                <w:rFonts w:ascii="Arial" w:cs="Arial" w:eastAsia="Arial" w:hAnsi="Arial"/>
                <w:sz w:val="12"/>
                <w:szCs w:val="12"/>
                <w:color w:val="auto"/>
              </w:rPr>
              <w:t>Involuntary or good-reason termination after change in control</w:t>
            </w:r>
          </w:p>
        </w:tc>
        <w:tc>
          <w:tcPr>
            <w:tcW w:w="860" w:type="dxa"/>
            <w:vAlign w:val="bottom"/>
          </w:tcPr>
          <w:p>
            <w:pPr>
              <w:jc w:val="right"/>
              <w:spacing w:after="0"/>
              <w:rPr>
                <w:sz w:val="20"/>
                <w:szCs w:val="20"/>
                <w:color w:val="auto"/>
              </w:rPr>
            </w:pPr>
            <w:r>
              <w:rPr>
                <w:rFonts w:ascii="Arial" w:cs="Arial" w:eastAsia="Arial" w:hAnsi="Arial"/>
                <w:sz w:val="12"/>
                <w:szCs w:val="12"/>
                <w:color w:val="auto"/>
              </w:rPr>
              <w:t>$3,800,000</w:t>
            </w:r>
          </w:p>
        </w:tc>
        <w:tc>
          <w:tcPr>
            <w:tcW w:w="1140" w:type="dxa"/>
            <w:vAlign w:val="bottom"/>
          </w:tcPr>
          <w:p>
            <w:pPr>
              <w:jc w:val="right"/>
              <w:ind w:right="178"/>
              <w:spacing w:after="0"/>
              <w:rPr>
                <w:sz w:val="20"/>
                <w:szCs w:val="20"/>
                <w:color w:val="auto"/>
              </w:rPr>
            </w:pPr>
            <w:r>
              <w:rPr>
                <w:rFonts w:ascii="Arial" w:cs="Arial" w:eastAsia="Arial" w:hAnsi="Arial"/>
                <w:sz w:val="12"/>
                <w:szCs w:val="12"/>
                <w:color w:val="auto"/>
              </w:rPr>
              <w:t>$57,473</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$16,443,648</w:t>
            </w:r>
          </w:p>
        </w:tc>
        <w:tc>
          <w:tcPr>
            <w:tcW w:w="940" w:type="dxa"/>
            <w:vAlign w:val="bottom"/>
          </w:tcPr>
          <w:p>
            <w:pPr>
              <w:jc w:val="right"/>
              <w:spacing w:after="0"/>
              <w:rPr>
                <w:sz w:val="20"/>
                <w:szCs w:val="20"/>
                <w:color w:val="auto"/>
              </w:rPr>
            </w:pPr>
            <w:r>
              <w:rPr>
                <w:rFonts w:ascii="Arial" w:cs="Arial" w:eastAsia="Arial" w:hAnsi="Arial"/>
                <w:sz w:val="12"/>
                <w:szCs w:val="12"/>
                <w:color w:val="auto"/>
              </w:rPr>
              <w:t>$20,301,121</w:t>
            </w:r>
          </w:p>
        </w:tc>
        <w:tc>
          <w:tcPr>
            <w:tcW w:w="0" w:type="dxa"/>
            <w:vAlign w:val="bottom"/>
          </w:tcPr>
          <w:p>
            <w:pPr>
              <w:spacing w:after="0"/>
              <w:rPr>
                <w:sz w:val="1"/>
                <w:szCs w:val="1"/>
                <w:color w:val="auto"/>
              </w:rPr>
            </w:pPr>
          </w:p>
        </w:tc>
      </w:tr>
      <w:tr>
        <w:trPr>
          <w:trHeight w:val="213"/>
        </w:trPr>
        <w:tc>
          <w:tcPr>
            <w:tcW w:w="3680" w:type="dxa"/>
            <w:vAlign w:val="bottom"/>
            <w:gridSpan w:val="2"/>
            <w:shd w:val="clear" w:color="auto" w:fill="F2F2F2"/>
          </w:tcPr>
          <w:p>
            <w:pPr>
              <w:spacing w:after="0"/>
              <w:rPr>
                <w:sz w:val="20"/>
                <w:szCs w:val="20"/>
                <w:color w:val="auto"/>
              </w:rPr>
            </w:pPr>
            <w:r>
              <w:rPr>
                <w:rFonts w:ascii="Arial" w:cs="Arial" w:eastAsia="Arial" w:hAnsi="Arial"/>
                <w:sz w:val="12"/>
                <w:szCs w:val="12"/>
                <w:color w:val="auto"/>
              </w:rPr>
              <w:t>Dr. Skovronsky</w:t>
            </w:r>
          </w:p>
        </w:tc>
        <w:tc>
          <w:tcPr>
            <w:tcW w:w="86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Involuntary retirement or termination</w:t>
            </w:r>
          </w:p>
        </w:tc>
        <w:tc>
          <w:tcPr>
            <w:tcW w:w="8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4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$0</w:t>
            </w:r>
          </w:p>
        </w:tc>
        <w:tc>
          <w:tcPr>
            <w:tcW w:w="122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$9,371,504</w:t>
            </w:r>
          </w:p>
        </w:tc>
        <w:tc>
          <w:tcPr>
            <w:tcW w:w="9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$9,371,504</w:t>
            </w:r>
          </w:p>
        </w:tc>
        <w:tc>
          <w:tcPr>
            <w:tcW w:w="0" w:type="dxa"/>
            <w:vAlign w:val="bottom"/>
          </w:tcPr>
          <w:p>
            <w:pPr>
              <w:spacing w:after="0"/>
              <w:rPr>
                <w:sz w:val="1"/>
                <w:szCs w:val="1"/>
                <w:color w:val="auto"/>
              </w:rPr>
            </w:pPr>
          </w:p>
        </w:tc>
      </w:tr>
      <w:tr>
        <w:trPr>
          <w:trHeight w:val="240"/>
        </w:trPr>
        <w:tc>
          <w:tcPr>
            <w:tcW w:w="180" w:type="dxa"/>
            <w:vAlign w:val="bottom"/>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Involuntary or good-reason termination after change in control</w:t>
            </w:r>
          </w:p>
        </w:tc>
        <w:tc>
          <w:tcPr>
            <w:tcW w:w="8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$5,000,000</w:t>
            </w:r>
          </w:p>
        </w:tc>
        <w:tc>
          <w:tcPr>
            <w:tcW w:w="114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$48,408</w:t>
            </w:r>
          </w:p>
        </w:tc>
        <w:tc>
          <w:tcPr>
            <w:tcW w:w="122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$30,374,451</w:t>
            </w:r>
          </w:p>
        </w:tc>
        <w:tc>
          <w:tcPr>
            <w:tcW w:w="9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$35,422,859</w:t>
            </w:r>
          </w:p>
        </w:tc>
        <w:tc>
          <w:tcPr>
            <w:tcW w:w="0" w:type="dxa"/>
            <w:vAlign w:val="bottom"/>
          </w:tcPr>
          <w:p>
            <w:pPr>
              <w:spacing w:after="0"/>
              <w:rPr>
                <w:sz w:val="1"/>
                <w:szCs w:val="1"/>
                <w:color w:val="auto"/>
              </w:rPr>
            </w:pPr>
          </w:p>
        </w:tc>
      </w:tr>
      <w:tr>
        <w:trPr>
          <w:trHeight w:val="204"/>
        </w:trPr>
        <w:tc>
          <w:tcPr>
            <w:tcW w:w="3680" w:type="dxa"/>
            <w:vAlign w:val="bottom"/>
            <w:gridSpan w:val="2"/>
          </w:tcPr>
          <w:p>
            <w:pPr>
              <w:spacing w:after="0"/>
              <w:rPr>
                <w:sz w:val="20"/>
                <w:szCs w:val="20"/>
                <w:color w:val="auto"/>
              </w:rPr>
            </w:pPr>
            <w:r>
              <w:rPr>
                <w:rFonts w:ascii="Arial" w:cs="Arial" w:eastAsia="Arial" w:hAnsi="Arial"/>
                <w:sz w:val="12"/>
                <w:szCs w:val="12"/>
                <w:color w:val="auto"/>
              </w:rPr>
              <w:t>Ms. Hakim</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2"/>
                <w:szCs w:val="12"/>
                <w:color w:val="auto"/>
              </w:rPr>
              <w:t>•  Involuntary retirement or 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$0</w:t>
            </w:r>
          </w:p>
        </w:tc>
        <w:tc>
          <w:tcPr>
            <w:tcW w:w="1140" w:type="dxa"/>
            <w:vAlign w:val="bottom"/>
          </w:tcPr>
          <w:p>
            <w:pPr>
              <w:jc w:val="right"/>
              <w:ind w:right="118"/>
              <w:spacing w:after="0"/>
              <w:rPr>
                <w:sz w:val="20"/>
                <w:szCs w:val="20"/>
                <w:color w:val="auto"/>
              </w:rPr>
            </w:pPr>
            <w:r>
              <w:rPr>
                <w:rFonts w:ascii="Arial" w:cs="Arial" w:eastAsia="Arial" w:hAnsi="Arial"/>
                <w:sz w:val="12"/>
                <w:szCs w:val="12"/>
                <w:color w:val="auto"/>
              </w:rPr>
              <w:t>$0</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$4,422,347</w:t>
            </w:r>
          </w:p>
        </w:tc>
        <w:tc>
          <w:tcPr>
            <w:tcW w:w="940" w:type="dxa"/>
            <w:vAlign w:val="bottom"/>
          </w:tcPr>
          <w:p>
            <w:pPr>
              <w:jc w:val="right"/>
              <w:spacing w:after="0"/>
              <w:rPr>
                <w:sz w:val="20"/>
                <w:szCs w:val="20"/>
                <w:color w:val="auto"/>
              </w:rPr>
            </w:pPr>
            <w:r>
              <w:rPr>
                <w:rFonts w:ascii="Arial" w:cs="Arial" w:eastAsia="Arial" w:hAnsi="Arial"/>
                <w:sz w:val="12"/>
                <w:szCs w:val="12"/>
                <w:color w:val="auto"/>
              </w:rPr>
              <w:t>$4,422,347</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r>
              <w:rPr>
                <w:rFonts w:ascii="Arial" w:cs="Arial" w:eastAsia="Arial" w:hAnsi="Arial"/>
                <w:sz w:val="12"/>
                <w:szCs w:val="12"/>
                <w:color w:val="auto"/>
              </w:rPr>
              <w:t>•</w:t>
            </w:r>
          </w:p>
        </w:tc>
        <w:tc>
          <w:tcPr>
            <w:tcW w:w="3500" w:type="dxa"/>
            <w:vAlign w:val="bottom"/>
          </w:tcPr>
          <w:p>
            <w:pPr>
              <w:ind w:left="20"/>
              <w:spacing w:after="0"/>
              <w:rPr>
                <w:sz w:val="20"/>
                <w:szCs w:val="20"/>
                <w:color w:val="auto"/>
              </w:rPr>
            </w:pPr>
            <w:r>
              <w:rPr>
                <w:rFonts w:ascii="Arial" w:cs="Arial" w:eastAsia="Arial" w:hAnsi="Arial"/>
                <w:sz w:val="12"/>
                <w:szCs w:val="12"/>
                <w:color w:val="auto"/>
              </w:rPr>
              <w:t>Involuntary or good-reason termination after change in control</w:t>
            </w:r>
          </w:p>
        </w:tc>
        <w:tc>
          <w:tcPr>
            <w:tcW w:w="860" w:type="dxa"/>
            <w:vAlign w:val="bottom"/>
          </w:tcPr>
          <w:p>
            <w:pPr>
              <w:jc w:val="right"/>
              <w:spacing w:after="0"/>
              <w:rPr>
                <w:sz w:val="20"/>
                <w:szCs w:val="20"/>
                <w:color w:val="auto"/>
              </w:rPr>
            </w:pPr>
            <w:r>
              <w:rPr>
                <w:rFonts w:ascii="Arial" w:cs="Arial" w:eastAsia="Arial" w:hAnsi="Arial"/>
                <w:sz w:val="12"/>
                <w:szCs w:val="12"/>
                <w:color w:val="auto"/>
              </w:rPr>
              <w:t>$3,600,000</w:t>
            </w:r>
          </w:p>
        </w:tc>
        <w:tc>
          <w:tcPr>
            <w:tcW w:w="1140" w:type="dxa"/>
            <w:vAlign w:val="bottom"/>
          </w:tcPr>
          <w:p>
            <w:pPr>
              <w:jc w:val="right"/>
              <w:ind w:right="118"/>
              <w:spacing w:after="0"/>
              <w:rPr>
                <w:sz w:val="20"/>
                <w:szCs w:val="20"/>
                <w:color w:val="auto"/>
              </w:rPr>
            </w:pPr>
            <w:r>
              <w:rPr>
                <w:rFonts w:ascii="Arial" w:cs="Arial" w:eastAsia="Arial" w:hAnsi="Arial"/>
                <w:sz w:val="12"/>
                <w:szCs w:val="12"/>
                <w:color w:val="auto"/>
              </w:rPr>
              <w:t>$57,638</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$14,894,755</w:t>
            </w:r>
          </w:p>
        </w:tc>
        <w:tc>
          <w:tcPr>
            <w:tcW w:w="940" w:type="dxa"/>
            <w:vAlign w:val="bottom"/>
          </w:tcPr>
          <w:p>
            <w:pPr>
              <w:jc w:val="right"/>
              <w:spacing w:after="0"/>
              <w:rPr>
                <w:sz w:val="20"/>
                <w:szCs w:val="20"/>
                <w:color w:val="auto"/>
              </w:rPr>
            </w:pPr>
            <w:r>
              <w:rPr>
                <w:rFonts w:ascii="Arial" w:cs="Arial" w:eastAsia="Arial" w:hAnsi="Arial"/>
                <w:sz w:val="12"/>
                <w:szCs w:val="12"/>
                <w:color w:val="auto"/>
              </w:rPr>
              <w:t>$18,552,393</w:t>
            </w:r>
          </w:p>
        </w:tc>
        <w:tc>
          <w:tcPr>
            <w:tcW w:w="0" w:type="dxa"/>
            <w:vAlign w:val="bottom"/>
          </w:tcPr>
          <w:p>
            <w:pPr>
              <w:spacing w:after="0"/>
              <w:rPr>
                <w:sz w:val="1"/>
                <w:szCs w:val="1"/>
                <w:color w:val="auto"/>
              </w:rPr>
            </w:pPr>
          </w:p>
        </w:tc>
      </w:tr>
      <w:tr>
        <w:trPr>
          <w:trHeight w:val="213"/>
        </w:trPr>
        <w:tc>
          <w:tcPr>
            <w:tcW w:w="3680" w:type="dxa"/>
            <w:vAlign w:val="bottom"/>
            <w:gridSpan w:val="2"/>
            <w:shd w:val="clear" w:color="auto" w:fill="F2F2F2"/>
          </w:tcPr>
          <w:p>
            <w:pPr>
              <w:spacing w:after="0"/>
              <w:rPr>
                <w:sz w:val="20"/>
                <w:szCs w:val="20"/>
                <w:color w:val="auto"/>
              </w:rPr>
            </w:pPr>
            <w:r>
              <w:rPr>
                <w:rFonts w:ascii="Arial" w:cs="Arial" w:eastAsia="Arial" w:hAnsi="Arial"/>
                <w:sz w:val="12"/>
                <w:szCs w:val="12"/>
                <w:color w:val="auto"/>
              </w:rPr>
              <w:t>Mr. Jonsson</w:t>
            </w:r>
          </w:p>
        </w:tc>
        <w:tc>
          <w:tcPr>
            <w:tcW w:w="86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shd w:val="clear" w:color="auto" w:fill="F2F2F2"/>
          </w:tcPr>
          <w:p>
            <w:pPr>
              <w:ind w:left="20"/>
              <w:spacing w:after="0"/>
              <w:rPr>
                <w:sz w:val="20"/>
                <w:szCs w:val="20"/>
                <w:color w:val="auto"/>
              </w:rPr>
            </w:pPr>
            <w:r>
              <w:rPr>
                <w:rFonts w:ascii="Arial" w:cs="Arial" w:eastAsia="Arial" w:hAnsi="Arial"/>
                <w:sz w:val="12"/>
                <w:szCs w:val="12"/>
                <w:color w:val="auto"/>
              </w:rPr>
              <w:t>Involuntary retirement or termination</w:t>
            </w:r>
          </w:p>
        </w:tc>
        <w:tc>
          <w:tcPr>
            <w:tcW w:w="8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w:t>
            </w:r>
          </w:p>
        </w:tc>
        <w:tc>
          <w:tcPr>
            <w:tcW w:w="114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$0</w:t>
            </w:r>
          </w:p>
        </w:tc>
        <w:tc>
          <w:tcPr>
            <w:tcW w:w="122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$3,956,340</w:t>
            </w:r>
          </w:p>
        </w:tc>
        <w:tc>
          <w:tcPr>
            <w:tcW w:w="9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$3,956,340</w:t>
            </w:r>
          </w:p>
        </w:tc>
        <w:tc>
          <w:tcPr>
            <w:tcW w:w="0" w:type="dxa"/>
            <w:vAlign w:val="bottom"/>
          </w:tcPr>
          <w:p>
            <w:pPr>
              <w:spacing w:after="0"/>
              <w:rPr>
                <w:sz w:val="1"/>
                <w:szCs w:val="1"/>
                <w:color w:val="auto"/>
              </w:rPr>
            </w:pPr>
          </w:p>
        </w:tc>
      </w:tr>
      <w:tr>
        <w:trPr>
          <w:trHeight w:val="244"/>
        </w:trPr>
        <w:tc>
          <w:tcPr>
            <w:tcW w:w="1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w:t>
            </w:r>
          </w:p>
        </w:tc>
        <w:tc>
          <w:tcPr>
            <w:tcW w:w="350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2"/>
                <w:szCs w:val="12"/>
                <w:color w:val="auto"/>
              </w:rPr>
              <w:t>Involuntary or good-reason termination after change in control</w:t>
            </w:r>
          </w:p>
        </w:tc>
        <w:tc>
          <w:tcPr>
            <w:tcW w:w="8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$3,000,000</w:t>
            </w:r>
          </w:p>
        </w:tc>
        <w:tc>
          <w:tcPr>
            <w:tcW w:w="1140" w:type="dxa"/>
            <w:vAlign w:val="bottom"/>
            <w:tcBorders>
              <w:bottom w:val="single" w:sz="8" w:color="auto"/>
            </w:tcBorders>
            <w:shd w:val="clear" w:color="auto" w:fill="F2F2F2"/>
          </w:tcPr>
          <w:p>
            <w:pPr>
              <w:jc w:val="right"/>
              <w:ind w:right="118"/>
              <w:spacing w:after="0"/>
              <w:rPr>
                <w:sz w:val="20"/>
                <w:szCs w:val="20"/>
                <w:color w:val="auto"/>
              </w:rPr>
            </w:pPr>
            <w:r>
              <w:rPr>
                <w:rFonts w:ascii="Arial" w:cs="Arial" w:eastAsia="Arial" w:hAnsi="Arial"/>
                <w:sz w:val="12"/>
                <w:szCs w:val="12"/>
                <w:color w:val="auto"/>
              </w:rPr>
              <w:t>$59,558</w:t>
            </w:r>
          </w:p>
        </w:tc>
        <w:tc>
          <w:tcPr>
            <w:tcW w:w="1220" w:type="dxa"/>
            <w:vAlign w:val="bottom"/>
            <w:tcBorders>
              <w:bottom w:val="single" w:sz="8" w:color="auto"/>
            </w:tcBorders>
            <w:shd w:val="clear" w:color="auto" w:fill="F2F2F2"/>
          </w:tcPr>
          <w:p>
            <w:pPr>
              <w:jc w:val="right"/>
              <w:ind w:right="218"/>
              <w:spacing w:after="0"/>
              <w:rPr>
                <w:sz w:val="20"/>
                <w:szCs w:val="20"/>
                <w:color w:val="auto"/>
              </w:rPr>
            </w:pPr>
            <w:r>
              <w:rPr>
                <w:rFonts w:ascii="Arial" w:cs="Arial" w:eastAsia="Arial" w:hAnsi="Arial"/>
                <w:sz w:val="12"/>
                <w:szCs w:val="12"/>
                <w:color w:val="auto"/>
              </w:rPr>
              <w:t>$12,157,522</w:t>
            </w:r>
          </w:p>
        </w:tc>
        <w:tc>
          <w:tcPr>
            <w:tcW w:w="9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$15,217,080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7" w:hanging="87"/>
        <w:spacing w:after="0"/>
        <w:tabs>
          <w:tab w:leader="none" w:pos="87" w:val="left"/>
        </w:tabs>
        <w:numPr>
          <w:ilvl w:val="0"/>
          <w:numId w:val="173"/>
        </w:numPr>
        <w:rPr>
          <w:rFonts w:ascii="Arial" w:cs="Arial" w:eastAsia="Arial" w:hAnsi="Arial"/>
          <w:sz w:val="16"/>
          <w:szCs w:val="16"/>
          <w:color w:val="auto"/>
          <w:vertAlign w:val="superscript"/>
        </w:rPr>
      </w:pPr>
      <w:r>
        <w:rPr>
          <w:rFonts w:ascii="Arial" w:cs="Arial" w:eastAsia="Arial" w:hAnsi="Arial"/>
          <w:sz w:val="12"/>
          <w:szCs w:val="12"/>
          <w:color w:val="auto"/>
        </w:rPr>
        <w:t>See “</w:t>
      </w:r>
      <w:r>
        <w:rPr>
          <w:rFonts w:ascii="Arial" w:cs="Arial" w:eastAsia="Arial" w:hAnsi="Arial"/>
          <w:sz w:val="12"/>
          <w:szCs w:val="12"/>
          <w:u w:val="single" w:color="auto"/>
          <w:color w:val="0000FF"/>
        </w:rPr>
        <w:t>Change-in-Control Severance Pay Plan—Cash Severance Payment</w:t>
      </w:r>
      <w:r>
        <w:rPr>
          <w:rFonts w:ascii="Arial" w:cs="Arial" w:eastAsia="Arial" w:hAnsi="Arial"/>
          <w:sz w:val="12"/>
          <w:szCs w:val="12"/>
          <w:color w:val="auto"/>
        </w:rPr>
        <w:t>” below.</w:t>
      </w:r>
    </w:p>
    <w:p>
      <w:pPr>
        <w:spacing w:after="0" w:line="15" w:lineRule="exact"/>
        <w:rPr>
          <w:sz w:val="20"/>
          <w:szCs w:val="20"/>
          <w:color w:val="auto"/>
        </w:rPr>
      </w:pPr>
    </w:p>
    <w:p>
      <w:pPr>
        <w:ind w:left="87" w:hanging="87"/>
        <w:spacing w:after="0"/>
        <w:tabs>
          <w:tab w:leader="none" w:pos="87" w:val="left"/>
        </w:tabs>
        <w:numPr>
          <w:ilvl w:val="0"/>
          <w:numId w:val="174"/>
        </w:numPr>
        <w:rPr>
          <w:rFonts w:ascii="Arial" w:cs="Arial" w:eastAsia="Arial" w:hAnsi="Arial"/>
          <w:sz w:val="16"/>
          <w:szCs w:val="16"/>
          <w:color w:val="auto"/>
          <w:vertAlign w:val="superscript"/>
        </w:rPr>
      </w:pPr>
      <w:r>
        <w:rPr>
          <w:rFonts w:ascii="Arial" w:cs="Arial" w:eastAsia="Arial" w:hAnsi="Arial"/>
          <w:sz w:val="12"/>
          <w:szCs w:val="12"/>
          <w:color w:val="auto"/>
        </w:rPr>
        <w:t>See “</w:t>
      </w:r>
      <w:r>
        <w:rPr>
          <w:rFonts w:ascii="Arial" w:cs="Arial" w:eastAsia="Arial" w:hAnsi="Arial"/>
          <w:sz w:val="12"/>
          <w:szCs w:val="12"/>
          <w:u w:val="single" w:color="auto"/>
          <w:color w:val="0000FF"/>
        </w:rPr>
        <w:t>Accrued Pay and Regular Retirement Benefits</w:t>
      </w:r>
      <w:r>
        <w:rPr>
          <w:rFonts w:ascii="Arial" w:cs="Arial" w:eastAsia="Arial" w:hAnsi="Arial"/>
          <w:sz w:val="12"/>
          <w:szCs w:val="12"/>
          <w:color w:val="auto"/>
        </w:rPr>
        <w:t>” and “</w:t>
      </w:r>
      <w:r>
        <w:rPr>
          <w:rFonts w:ascii="Arial" w:cs="Arial" w:eastAsia="Arial" w:hAnsi="Arial"/>
          <w:sz w:val="12"/>
          <w:szCs w:val="12"/>
          <w:u w:val="single" w:color="auto"/>
          <w:color w:val="0000FF"/>
        </w:rPr>
        <w:t>Change-in-Control Severance Pay Plan—Continuation of Medical and Welfare Benefits</w:t>
      </w:r>
      <w:r>
        <w:rPr>
          <w:rFonts w:ascii="Arial" w:cs="Arial" w:eastAsia="Arial" w:hAnsi="Arial"/>
          <w:sz w:val="12"/>
          <w:szCs w:val="12"/>
          <w:color w:val="auto"/>
        </w:rPr>
        <w:t>” below.</w:t>
      </w:r>
    </w:p>
    <w:p>
      <w:pPr>
        <w:spacing w:after="0" w:line="322"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856" w:right="359" w:bottom="1440" w:gutter="0" w:footer="0" w:header="0"/>
        </w:sectPr>
      </w:pPr>
    </w:p>
    <w:bookmarkStart w:id="81" w:name="page82"/>
    <w:bookmarkEnd w:id="81"/>
    <w:p>
      <w:pPr>
        <w:ind w:left="7"/>
        <w:spacing w:after="0" w:line="239" w:lineRule="auto"/>
        <w:rPr>
          <w:sz w:val="20"/>
          <w:szCs w:val="20"/>
          <w:color w:val="auto"/>
        </w:rPr>
      </w:pPr>
      <w:r>
        <w:rPr>
          <w:rFonts w:ascii="Arial" w:cs="Arial" w:eastAsia="Arial" w:hAnsi="Arial"/>
          <w:sz w:val="19"/>
          <w:szCs w:val="19"/>
          <w:b w:val="1"/>
          <w:bCs w:val="1"/>
          <w:color w:val="auto"/>
        </w:rPr>
        <w:t xml:space="preserve">Accrued Pay and Regular Retirement Benefits: </w:t>
      </w:r>
      <w:r>
        <w:rPr>
          <w:rFonts w:ascii="Arial" w:cs="Arial" w:eastAsia="Arial" w:hAnsi="Arial"/>
          <w:sz w:val="15"/>
          <w:szCs w:val="15"/>
          <w:color w:val="auto"/>
        </w:rPr>
        <w:t>The amounts shown in the table above do not include certain payments and benefits to the extent they</w:t>
      </w:r>
      <w:r>
        <w:rPr>
          <w:rFonts w:ascii="Arial" w:cs="Arial" w:eastAsia="Arial" w:hAnsi="Arial"/>
          <w:sz w:val="19"/>
          <w:szCs w:val="19"/>
          <w:b w:val="1"/>
          <w:bCs w:val="1"/>
          <w:color w:val="auto"/>
        </w:rPr>
        <w:t xml:space="preserve"> </w:t>
      </w:r>
      <w:r>
        <w:rPr>
          <w:rFonts w:ascii="Arial" w:cs="Arial" w:eastAsia="Arial" w:hAnsi="Arial"/>
          <w:sz w:val="15"/>
          <w:szCs w:val="15"/>
          <w:color w:val="auto"/>
        </w:rPr>
        <w:t>are provided on a non-discriminatory basis to salaried employees generally upon termination of employment. These include:</w:t>
      </w:r>
    </w:p>
    <w:p>
      <w:pPr>
        <w:spacing w:after="0" w:line="76" w:lineRule="exact"/>
        <w:rPr>
          <w:sz w:val="20"/>
          <w:szCs w:val="20"/>
          <w:color w:val="auto"/>
        </w:rPr>
      </w:pPr>
    </w:p>
    <w:p>
      <w:pPr>
        <w:ind w:left="847" w:right="740" w:hanging="286"/>
        <w:spacing w:after="0" w:line="271" w:lineRule="auto"/>
        <w:tabs>
          <w:tab w:leader="none" w:pos="837" w:val="left"/>
        </w:tabs>
        <w:numPr>
          <w:ilvl w:val="0"/>
          <w:numId w:val="175"/>
        </w:numPr>
        <w:rPr>
          <w:rFonts w:ascii="Arial" w:cs="Arial" w:eastAsia="Arial" w:hAnsi="Arial"/>
          <w:sz w:val="14"/>
          <w:szCs w:val="14"/>
          <w:color w:val="auto"/>
        </w:rPr>
      </w:pPr>
      <w:r>
        <w:rPr>
          <w:rFonts w:ascii="Arial" w:cs="Arial" w:eastAsia="Arial" w:hAnsi="Arial"/>
          <w:sz w:val="16"/>
          <w:szCs w:val="16"/>
          <w:color w:val="auto"/>
        </w:rPr>
        <w:t>accrued salary, vacation pay, and, if applicable, equity payouts prorated for time worked in the performance period and adjusted for company performance;</w:t>
      </w:r>
    </w:p>
    <w:p>
      <w:pPr>
        <w:spacing w:after="0" w:line="51" w:lineRule="exact"/>
        <w:rPr>
          <w:rFonts w:ascii="Arial" w:cs="Arial" w:eastAsia="Arial" w:hAnsi="Arial"/>
          <w:sz w:val="14"/>
          <w:szCs w:val="14"/>
          <w:color w:val="auto"/>
        </w:rPr>
      </w:pPr>
    </w:p>
    <w:p>
      <w:pPr>
        <w:ind w:left="827" w:hanging="266"/>
        <w:spacing w:after="0"/>
        <w:tabs>
          <w:tab w:leader="none" w:pos="827" w:val="left"/>
        </w:tabs>
        <w:numPr>
          <w:ilvl w:val="0"/>
          <w:numId w:val="175"/>
        </w:numPr>
        <w:rPr>
          <w:rFonts w:ascii="Arial" w:cs="Arial" w:eastAsia="Arial" w:hAnsi="Arial"/>
          <w:sz w:val="14"/>
          <w:szCs w:val="14"/>
          <w:color w:val="auto"/>
        </w:rPr>
      </w:pPr>
      <w:r>
        <w:rPr>
          <w:rFonts w:ascii="Arial" w:cs="Arial" w:eastAsia="Arial" w:hAnsi="Arial"/>
          <w:sz w:val="16"/>
          <w:szCs w:val="16"/>
          <w:color w:val="auto"/>
        </w:rPr>
        <w:t>regular pension benefits under the Retirement Plan and the nonqualified pension plan. See “</w:t>
      </w:r>
      <w:r>
        <w:rPr>
          <w:rFonts w:ascii="Arial" w:cs="Arial" w:eastAsia="Arial" w:hAnsi="Arial"/>
          <w:sz w:val="16"/>
          <w:szCs w:val="16"/>
          <w:u w:val="single" w:color="auto"/>
          <w:color w:val="0000FF"/>
        </w:rPr>
        <w:t>Retirement Benefits</w:t>
      </w:r>
      <w:r>
        <w:rPr>
          <w:rFonts w:ascii="Arial" w:cs="Arial" w:eastAsia="Arial" w:hAnsi="Arial"/>
          <w:sz w:val="16"/>
          <w:szCs w:val="16"/>
          <w:color w:val="auto"/>
        </w:rPr>
        <w:t>” above;</w:t>
      </w:r>
    </w:p>
    <w:p>
      <w:pPr>
        <w:spacing w:after="0" w:line="96" w:lineRule="exact"/>
        <w:rPr>
          <w:rFonts w:ascii="Arial" w:cs="Arial" w:eastAsia="Arial" w:hAnsi="Arial"/>
          <w:sz w:val="14"/>
          <w:szCs w:val="14"/>
          <w:color w:val="auto"/>
        </w:rPr>
      </w:pPr>
    </w:p>
    <w:p>
      <w:pPr>
        <w:ind w:left="847" w:right="860" w:hanging="286"/>
        <w:spacing w:after="0" w:line="271" w:lineRule="auto"/>
        <w:tabs>
          <w:tab w:leader="none" w:pos="837" w:val="left"/>
        </w:tabs>
        <w:numPr>
          <w:ilvl w:val="0"/>
          <w:numId w:val="175"/>
        </w:numPr>
        <w:rPr>
          <w:rFonts w:ascii="Arial" w:cs="Arial" w:eastAsia="Arial" w:hAnsi="Arial"/>
          <w:sz w:val="14"/>
          <w:szCs w:val="14"/>
          <w:color w:val="auto"/>
        </w:rPr>
      </w:pPr>
      <w:r>
        <w:rPr>
          <w:rFonts w:ascii="Arial" w:cs="Arial" w:eastAsia="Arial" w:hAnsi="Arial"/>
          <w:sz w:val="16"/>
          <w:szCs w:val="16"/>
          <w:color w:val="auto"/>
        </w:rPr>
        <w:t>welfare benefits provided to eligible U.S. retirees, including retiree medical and dental insurance. The amounts shown in the table above as “Continuation of Medical/Welfare Benefits” are explained below; and</w:t>
      </w:r>
    </w:p>
    <w:p>
      <w:pPr>
        <w:spacing w:after="0" w:line="51" w:lineRule="exact"/>
        <w:rPr>
          <w:rFonts w:ascii="Arial" w:cs="Arial" w:eastAsia="Arial" w:hAnsi="Arial"/>
          <w:sz w:val="14"/>
          <w:szCs w:val="14"/>
          <w:color w:val="auto"/>
        </w:rPr>
      </w:pPr>
    </w:p>
    <w:p>
      <w:pPr>
        <w:ind w:left="847" w:right="200" w:hanging="286"/>
        <w:spacing w:after="0" w:line="271" w:lineRule="auto"/>
        <w:tabs>
          <w:tab w:leader="none" w:pos="837" w:val="left"/>
        </w:tabs>
        <w:numPr>
          <w:ilvl w:val="0"/>
          <w:numId w:val="175"/>
        </w:numPr>
        <w:rPr>
          <w:rFonts w:ascii="Arial" w:cs="Arial" w:eastAsia="Arial" w:hAnsi="Arial"/>
          <w:sz w:val="14"/>
          <w:szCs w:val="14"/>
          <w:color w:val="auto"/>
        </w:rPr>
      </w:pPr>
      <w:r>
        <w:rPr>
          <w:rFonts w:ascii="Arial" w:cs="Arial" w:eastAsia="Arial" w:hAnsi="Arial"/>
          <w:sz w:val="16"/>
          <w:szCs w:val="16"/>
          <w:color w:val="auto"/>
        </w:rPr>
        <w:t>distributions of plan balances under the 401(k) Plan, the nonqualified savings plan, and the Deferred Compensation Plan. See the narrative following the Nonqualified Deferred Compensation in 2022 table for information about these plans.</w:t>
      </w:r>
    </w:p>
    <w:p>
      <w:pPr>
        <w:spacing w:after="0" w:line="148" w:lineRule="exact"/>
        <w:rPr>
          <w:sz w:val="20"/>
          <w:szCs w:val="20"/>
          <w:color w:val="auto"/>
        </w:rPr>
      </w:pPr>
    </w:p>
    <w:p>
      <w:pPr>
        <w:ind w:left="7" w:right="240"/>
        <w:spacing w:after="0" w:line="302" w:lineRule="auto"/>
        <w:rPr>
          <w:sz w:val="20"/>
          <w:szCs w:val="20"/>
          <w:color w:val="auto"/>
        </w:rPr>
      </w:pPr>
      <w:r>
        <w:rPr>
          <w:rFonts w:ascii="Arial" w:cs="Arial" w:eastAsia="Arial" w:hAnsi="Arial"/>
          <w:sz w:val="19"/>
          <w:szCs w:val="19"/>
          <w:b w:val="1"/>
          <w:bCs w:val="1"/>
          <w:color w:val="auto"/>
        </w:rPr>
        <w:t xml:space="preserve">Death and Disability: </w:t>
      </w:r>
      <w:r>
        <w:rPr>
          <w:rFonts w:ascii="Arial" w:cs="Arial" w:eastAsia="Arial" w:hAnsi="Arial"/>
          <w:sz w:val="15"/>
          <w:szCs w:val="15"/>
          <w:color w:val="auto"/>
        </w:rPr>
        <w:t>A termination of employment due to death or disability does not entitle named executive officers to any payments or benefits that are</w:t>
      </w:r>
      <w:r>
        <w:rPr>
          <w:rFonts w:ascii="Arial" w:cs="Arial" w:eastAsia="Arial" w:hAnsi="Arial"/>
          <w:sz w:val="19"/>
          <w:szCs w:val="19"/>
          <w:b w:val="1"/>
          <w:bCs w:val="1"/>
          <w:color w:val="auto"/>
        </w:rPr>
        <w:t xml:space="preserve"> </w:t>
      </w:r>
      <w:r>
        <w:rPr>
          <w:rFonts w:ascii="Arial" w:cs="Arial" w:eastAsia="Arial" w:hAnsi="Arial"/>
          <w:sz w:val="15"/>
          <w:szCs w:val="15"/>
          <w:color w:val="auto"/>
        </w:rPr>
        <w:t>not available to U.S. employees generally.</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 xml:space="preserve">Termination for Cause: </w:t>
      </w:r>
      <w:r>
        <w:rPr>
          <w:rFonts w:ascii="Arial" w:cs="Arial" w:eastAsia="Arial" w:hAnsi="Arial"/>
          <w:sz w:val="15"/>
          <w:szCs w:val="15"/>
          <w:color w:val="auto"/>
        </w:rPr>
        <w:t>Executives terminated for cause receive no severance or enhanced benefits and forfeit any unvested equity grants.</w:t>
      </w:r>
    </w:p>
    <w:p>
      <w:pPr>
        <w:spacing w:after="0" w:line="190" w:lineRule="exact"/>
        <w:rPr>
          <w:sz w:val="20"/>
          <w:szCs w:val="20"/>
          <w:color w:val="auto"/>
        </w:rPr>
      </w:pPr>
    </w:p>
    <w:p>
      <w:pPr>
        <w:ind w:left="7" w:right="240"/>
        <w:spacing w:after="0" w:line="239" w:lineRule="auto"/>
        <w:rPr>
          <w:sz w:val="20"/>
          <w:szCs w:val="20"/>
          <w:color w:val="auto"/>
        </w:rPr>
      </w:pPr>
      <w:r>
        <w:rPr>
          <w:rFonts w:ascii="Arial" w:cs="Arial" w:eastAsia="Arial" w:hAnsi="Arial"/>
          <w:sz w:val="19"/>
          <w:szCs w:val="19"/>
          <w:b w:val="1"/>
          <w:bCs w:val="1"/>
          <w:color w:val="auto"/>
        </w:rPr>
        <w:t xml:space="preserve">Change-in-Control Severance Pay Plan: </w:t>
      </w:r>
      <w:r>
        <w:rPr>
          <w:rFonts w:ascii="Arial" w:cs="Arial" w:eastAsia="Arial" w:hAnsi="Arial"/>
          <w:sz w:val="15"/>
          <w:szCs w:val="15"/>
          <w:color w:val="auto"/>
        </w:rPr>
        <w:t>As described in the CD&amp;A under “</w:t>
      </w:r>
      <w:r>
        <w:rPr>
          <w:rFonts w:ascii="Arial" w:cs="Arial" w:eastAsia="Arial" w:hAnsi="Arial"/>
          <w:sz w:val="15"/>
          <w:szCs w:val="15"/>
          <w:u w:val="single" w:color="auto"/>
          <w:color w:val="0000FF"/>
        </w:rPr>
        <w:t>Other Compensation Practices and Information—Severance Benefits</w:t>
      </w:r>
      <w:r>
        <w:rPr>
          <w:rFonts w:ascii="Arial" w:cs="Arial" w:eastAsia="Arial" w:hAnsi="Arial"/>
          <w:sz w:val="15"/>
          <w:szCs w:val="15"/>
          <w:color w:val="auto"/>
        </w:rPr>
        <w:t>,” the</w:t>
      </w:r>
      <w:r>
        <w:rPr>
          <w:rFonts w:ascii="Arial" w:cs="Arial" w:eastAsia="Arial" w:hAnsi="Arial"/>
          <w:sz w:val="19"/>
          <w:szCs w:val="19"/>
          <w:b w:val="1"/>
          <w:bCs w:val="1"/>
          <w:color w:val="auto"/>
        </w:rPr>
        <w:t xml:space="preserve"> </w:t>
      </w:r>
      <w:r>
        <w:rPr>
          <w:rFonts w:ascii="Arial" w:cs="Arial" w:eastAsia="Arial" w:hAnsi="Arial"/>
          <w:sz w:val="15"/>
          <w:szCs w:val="15"/>
          <w:color w:val="auto"/>
        </w:rPr>
        <w:t>company maintains a change-in-control severance pay plan for nearly all employees, including the named executive officers. The change-in-control plan for executive officers defines a change in control specifically, but generally the terms include the occurrence of one of the following: (i) acquisition by any person of</w:t>
      </w:r>
    </w:p>
    <w:p>
      <w:pPr>
        <w:ind w:left="7" w:right="40"/>
        <w:spacing w:after="0" w:line="293" w:lineRule="auto"/>
        <w:rPr>
          <w:sz w:val="20"/>
          <w:szCs w:val="20"/>
          <w:color w:val="auto"/>
        </w:rPr>
      </w:pPr>
      <w:r>
        <w:rPr>
          <w:rFonts w:ascii="Arial" w:cs="Arial" w:eastAsia="Arial" w:hAnsi="Arial"/>
          <w:sz w:val="14"/>
          <w:szCs w:val="14"/>
          <w:color w:val="auto"/>
        </w:rPr>
        <w:t>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60" w:lineRule="exact"/>
        <w:rPr>
          <w:sz w:val="20"/>
          <w:szCs w:val="20"/>
          <w:color w:val="auto"/>
        </w:rPr>
      </w:pPr>
    </w:p>
    <w:p>
      <w:pPr>
        <w:ind w:left="287" w:right="180" w:hanging="287"/>
        <w:spacing w:after="0" w:line="268" w:lineRule="auto"/>
        <w:tabs>
          <w:tab w:leader="none" w:pos="277" w:val="left"/>
        </w:tabs>
        <w:numPr>
          <w:ilvl w:val="0"/>
          <w:numId w:val="176"/>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Covered terminations. </w:t>
      </w:r>
      <w:r>
        <w:rPr>
          <w:rFonts w:ascii="Arial" w:cs="Arial" w:eastAsia="Arial" w:hAnsi="Arial"/>
          <w:sz w:val="15"/>
          <w:szCs w:val="15"/>
          <w:color w:val="000000"/>
        </w:rPr>
        <w:t>The table assumes a termination of employment that is eligible for severance under the terms of the plan, based on the named</w:t>
      </w:r>
      <w:r>
        <w:rPr>
          <w:rFonts w:ascii="Arial" w:cs="Arial" w:eastAsia="Arial" w:hAnsi="Arial"/>
          <w:sz w:val="17"/>
          <w:szCs w:val="17"/>
          <w:b w:val="1"/>
          <w:bCs w:val="1"/>
          <w:color w:val="D52B1E"/>
        </w:rPr>
        <w:t xml:space="preserve"> </w:t>
      </w:r>
      <w:r>
        <w:rPr>
          <w:rFonts w:ascii="Arial" w:cs="Arial" w:eastAsia="Arial" w:hAnsi="Arial"/>
          <w:sz w:val="15"/>
          <w:szCs w:val="15"/>
          <w:color w:val="000000"/>
        </w:rPr>
        <w:t>executive officer’s compensation, benefits, age, and service credit at December 31, 2022. Eligible terminations include an involuntary termination for reasons other than “cause” or a voluntary termination by the executive for “good reason,” each as defined in the plan, within two years following the change in control.</w:t>
      </w:r>
    </w:p>
    <w:p>
      <w:pPr>
        <w:spacing w:after="0" w:line="52" w:lineRule="exact"/>
        <w:rPr>
          <w:rFonts w:ascii="Arial" w:cs="Arial" w:eastAsia="Arial" w:hAnsi="Arial"/>
          <w:sz w:val="14"/>
          <w:szCs w:val="14"/>
          <w:b w:val="1"/>
          <w:bCs w:val="1"/>
          <w:color w:val="D52B1E"/>
        </w:rPr>
      </w:pPr>
    </w:p>
    <w:p>
      <w:pPr>
        <w:ind w:left="567" w:right="100" w:hanging="146"/>
        <w:spacing w:after="0" w:line="250" w:lineRule="auto"/>
        <w:tabs>
          <w:tab w:leader="none" w:pos="557" w:val="left"/>
        </w:tabs>
        <w:numPr>
          <w:ilvl w:val="1"/>
          <w:numId w:val="176"/>
        </w:numPr>
        <w:rPr>
          <w:rFonts w:ascii="Arial" w:cs="Arial" w:eastAsia="Arial" w:hAnsi="Arial"/>
          <w:sz w:val="14"/>
          <w:szCs w:val="14"/>
          <w:color w:val="auto"/>
        </w:rPr>
      </w:pPr>
      <w:r>
        <w:rPr>
          <w:rFonts w:ascii="Arial" w:cs="Arial" w:eastAsia="Arial" w:hAnsi="Arial"/>
          <w:sz w:val="16"/>
          <w:szCs w:val="16"/>
          <w:color w:val="auto"/>
        </w:rPr>
        <w:t>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69" w:lineRule="exact"/>
        <w:rPr>
          <w:rFonts w:ascii="Arial" w:cs="Arial" w:eastAsia="Arial" w:hAnsi="Arial"/>
          <w:sz w:val="14"/>
          <w:szCs w:val="14"/>
          <w:color w:val="auto"/>
        </w:rPr>
      </w:pPr>
    </w:p>
    <w:p>
      <w:pPr>
        <w:ind w:left="567" w:hanging="146"/>
        <w:spacing w:after="0" w:line="287" w:lineRule="auto"/>
        <w:tabs>
          <w:tab w:leader="none" w:pos="557" w:val="left"/>
        </w:tabs>
        <w:numPr>
          <w:ilvl w:val="1"/>
          <w:numId w:val="176"/>
        </w:numPr>
        <w:rPr>
          <w:rFonts w:ascii="Arial" w:cs="Arial" w:eastAsia="Arial" w:hAnsi="Arial"/>
          <w:sz w:val="13"/>
          <w:szCs w:val="13"/>
          <w:color w:val="auto"/>
        </w:rPr>
      </w:pPr>
      <w:r>
        <w:rPr>
          <w:rFonts w:ascii="Arial" w:cs="Arial" w:eastAsia="Arial" w:hAnsi="Arial"/>
          <w:sz w:val="14"/>
          <w:szCs w:val="14"/>
          <w:color w:val="auto"/>
        </w:rPr>
        <w:t>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w:t>
      </w: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898" w:right="339" w:bottom="1440" w:gutter="0" w:footer="0" w:header="0"/>
        </w:sectPr>
      </w:pPr>
    </w:p>
    <w:bookmarkStart w:id="82" w:name="page83"/>
    <w:bookmarkEnd w:id="82"/>
    <w:p>
      <w:pPr>
        <w:ind w:left="567"/>
        <w:spacing w:after="0"/>
        <w:rPr>
          <w:sz w:val="20"/>
          <w:szCs w:val="20"/>
          <w:color w:val="auto"/>
        </w:rPr>
      </w:pPr>
      <w:r>
        <w:rPr>
          <w:rFonts w:ascii="Arial" w:cs="Arial" w:eastAsia="Arial" w:hAnsi="Arial"/>
          <w:sz w:val="16"/>
          <w:szCs w:val="16"/>
          <w:color w:val="auto"/>
        </w:rPr>
        <w:t>the obligations of the company under the plan, or any attempted amendment, termination or repudiation of the plan by such successor entity.</w:t>
      </w:r>
    </w:p>
    <w:p>
      <w:pPr>
        <w:spacing w:after="0" w:line="115" w:lineRule="exact"/>
        <w:rPr>
          <w:sz w:val="20"/>
          <w:szCs w:val="20"/>
          <w:color w:val="auto"/>
        </w:rPr>
      </w:pPr>
    </w:p>
    <w:p>
      <w:pPr>
        <w:ind w:left="287" w:right="280" w:hanging="287"/>
        <w:spacing w:after="0" w:line="275" w:lineRule="auto"/>
        <w:tabs>
          <w:tab w:leader="none" w:pos="277" w:val="left"/>
        </w:tabs>
        <w:numPr>
          <w:ilvl w:val="0"/>
          <w:numId w:val="177"/>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Cash severance payment. </w:t>
      </w:r>
      <w:r>
        <w:rPr>
          <w:rFonts w:ascii="Arial" w:cs="Arial" w:eastAsia="Arial" w:hAnsi="Arial"/>
          <w:sz w:val="15"/>
          <w:szCs w:val="15"/>
          <w:color w:val="000000"/>
        </w:rPr>
        <w:t>The cash severance payment amounts, in general, to two times the executive officer's annual base salary plus two times the</w:t>
      </w:r>
      <w:r>
        <w:rPr>
          <w:rFonts w:ascii="Arial" w:cs="Arial" w:eastAsia="Arial" w:hAnsi="Arial"/>
          <w:sz w:val="17"/>
          <w:szCs w:val="17"/>
          <w:b w:val="1"/>
          <w:bCs w:val="1"/>
          <w:color w:val="D52B1E"/>
        </w:rPr>
        <w:t xml:space="preserve"> </w:t>
      </w:r>
      <w:r>
        <w:rPr>
          <w:rFonts w:ascii="Arial" w:cs="Arial" w:eastAsia="Arial" w:hAnsi="Arial"/>
          <w:sz w:val="15"/>
          <w:szCs w:val="15"/>
          <w:color w:val="000000"/>
        </w:rPr>
        <w:t>executive officer’s bonus target for that year under the Bonus Plan, to be paid in a lump sum.</w:t>
      </w:r>
    </w:p>
    <w:p>
      <w:pPr>
        <w:spacing w:after="0" w:line="42" w:lineRule="exact"/>
        <w:rPr>
          <w:rFonts w:ascii="Arial" w:cs="Arial" w:eastAsia="Arial" w:hAnsi="Arial"/>
          <w:sz w:val="14"/>
          <w:szCs w:val="14"/>
          <w:b w:val="1"/>
          <w:bCs w:val="1"/>
          <w:color w:val="D52B1E"/>
        </w:rPr>
      </w:pPr>
    </w:p>
    <w:p>
      <w:pPr>
        <w:ind w:left="287" w:right="160" w:hanging="287"/>
        <w:spacing w:after="0" w:line="259" w:lineRule="auto"/>
        <w:tabs>
          <w:tab w:leader="none" w:pos="277" w:val="left"/>
        </w:tabs>
        <w:numPr>
          <w:ilvl w:val="0"/>
          <w:numId w:val="177"/>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Continuation of medical and welfare benefits. </w:t>
      </w:r>
      <w:r>
        <w:rPr>
          <w:rFonts w:ascii="Arial" w:cs="Arial" w:eastAsia="Arial" w:hAnsi="Arial"/>
          <w:sz w:val="15"/>
          <w:szCs w:val="15"/>
          <w:color w:val="000000"/>
        </w:rPr>
        <w:t>This amount represents the present value of the change-in-control plan’s provision, following a covered</w:t>
      </w:r>
      <w:r>
        <w:rPr>
          <w:rFonts w:ascii="Arial" w:cs="Arial" w:eastAsia="Arial" w:hAnsi="Arial"/>
          <w:sz w:val="17"/>
          <w:szCs w:val="17"/>
          <w:b w:val="1"/>
          <w:bCs w:val="1"/>
          <w:color w:val="D52B1E"/>
        </w:rPr>
        <w:t xml:space="preserve"> </w:t>
      </w:r>
      <w:r>
        <w:rPr>
          <w:rFonts w:ascii="Arial" w:cs="Arial" w:eastAsia="Arial" w:hAnsi="Arial"/>
          <w:sz w:val="15"/>
          <w:szCs w:val="15"/>
          <w:color w:val="000000"/>
        </w:rPr>
        <w:t>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58" w:lineRule="exact"/>
        <w:rPr>
          <w:rFonts w:ascii="Arial" w:cs="Arial" w:eastAsia="Arial" w:hAnsi="Arial"/>
          <w:sz w:val="14"/>
          <w:szCs w:val="14"/>
          <w:b w:val="1"/>
          <w:bCs w:val="1"/>
          <w:color w:val="D52B1E"/>
        </w:rPr>
      </w:pPr>
    </w:p>
    <w:p>
      <w:pPr>
        <w:ind w:left="287" w:right="300" w:hanging="287"/>
        <w:spacing w:after="0" w:line="263" w:lineRule="auto"/>
        <w:tabs>
          <w:tab w:leader="none" w:pos="277" w:val="left"/>
        </w:tabs>
        <w:numPr>
          <w:ilvl w:val="0"/>
          <w:numId w:val="177"/>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Acceleration of equity awards. </w:t>
      </w:r>
      <w:r>
        <w:rPr>
          <w:rFonts w:ascii="Arial" w:cs="Arial" w:eastAsia="Arial" w:hAnsi="Arial"/>
          <w:sz w:val="15"/>
          <w:szCs w:val="15"/>
          <w:color w:val="000000"/>
        </w:rPr>
        <w:t>Upon a covered termination, any unvested equity awards would convert into restricted stock units of the new company,</w:t>
      </w:r>
      <w:r>
        <w:rPr>
          <w:rFonts w:ascii="Arial" w:cs="Arial" w:eastAsia="Arial" w:hAnsi="Arial"/>
          <w:sz w:val="17"/>
          <w:szCs w:val="17"/>
          <w:b w:val="1"/>
          <w:bCs w:val="1"/>
          <w:color w:val="D52B1E"/>
        </w:rPr>
        <w:t xml:space="preserve"> </w:t>
      </w:r>
      <w:r>
        <w:rPr>
          <w:rFonts w:ascii="Arial" w:cs="Arial" w:eastAsia="Arial" w:hAnsi="Arial"/>
          <w:sz w:val="15"/>
          <w:szCs w:val="15"/>
          <w:color w:val="000000"/>
        </w:rPr>
        <w:t>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2022.</w:t>
      </w:r>
    </w:p>
    <w:p>
      <w:pPr>
        <w:spacing w:after="0" w:line="55" w:lineRule="exact"/>
        <w:rPr>
          <w:rFonts w:ascii="Arial" w:cs="Arial" w:eastAsia="Arial" w:hAnsi="Arial"/>
          <w:sz w:val="14"/>
          <w:szCs w:val="14"/>
          <w:b w:val="1"/>
          <w:bCs w:val="1"/>
          <w:color w:val="D52B1E"/>
        </w:rPr>
      </w:pPr>
    </w:p>
    <w:p>
      <w:pPr>
        <w:ind w:left="287" w:right="80" w:hanging="287"/>
        <w:spacing w:after="0" w:line="260" w:lineRule="auto"/>
        <w:tabs>
          <w:tab w:leader="none" w:pos="277" w:val="left"/>
        </w:tabs>
        <w:numPr>
          <w:ilvl w:val="0"/>
          <w:numId w:val="177"/>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Excise taxes. </w:t>
      </w:r>
      <w:r>
        <w:rPr>
          <w:rFonts w:ascii="Arial" w:cs="Arial" w:eastAsia="Arial" w:hAnsi="Arial"/>
          <w:sz w:val="15"/>
          <w:szCs w:val="15"/>
          <w:color w:val="000000"/>
        </w:rPr>
        <w:t>Upon a change in control, employees may be subject to certain excise taxes under Section 280G of the Internal Revenue Code. The company</w:t>
      </w:r>
      <w:r>
        <w:rPr>
          <w:rFonts w:ascii="Arial" w:cs="Arial" w:eastAsia="Arial" w:hAnsi="Arial"/>
          <w:sz w:val="17"/>
          <w:szCs w:val="17"/>
          <w:b w:val="1"/>
          <w:bCs w:val="1"/>
          <w:color w:val="D52B1E"/>
        </w:rPr>
        <w:t xml:space="preserve"> </w:t>
      </w:r>
      <w:r>
        <w:rPr>
          <w:rFonts w:ascii="Arial" w:cs="Arial" w:eastAsia="Arial" w:hAnsi="Arial"/>
          <w:sz w:val="15"/>
          <w:szCs w:val="15"/>
          <w:color w:val="000000"/>
        </w:rPr>
        <w:t>does not reimburse the affected employees for those excise taxes or any income taxes payable by the employee. To reduce the employee’s exposure to potential excise taxes, the employee’s change-in-control benefit will be decreased to maximize the after-tax benefit to the individual.</w:t>
      </w:r>
    </w:p>
    <w:p>
      <w:pPr>
        <w:spacing w:after="0" w:line="55" w:lineRule="exact"/>
        <w:rPr>
          <w:rFonts w:ascii="Arial" w:cs="Arial" w:eastAsia="Arial" w:hAnsi="Arial"/>
          <w:sz w:val="14"/>
          <w:szCs w:val="14"/>
          <w:b w:val="1"/>
          <w:bCs w:val="1"/>
          <w:color w:val="D52B1E"/>
        </w:rPr>
      </w:pPr>
    </w:p>
    <w:p>
      <w:pPr>
        <w:ind w:left="287" w:right="180" w:hanging="287"/>
        <w:spacing w:after="0" w:line="283" w:lineRule="auto"/>
        <w:tabs>
          <w:tab w:leader="none" w:pos="277" w:val="left"/>
        </w:tabs>
        <w:numPr>
          <w:ilvl w:val="0"/>
          <w:numId w:val="177"/>
        </w:numPr>
        <w:rPr>
          <w:rFonts w:ascii="Arial" w:cs="Arial" w:eastAsia="Arial" w:hAnsi="Arial"/>
          <w:sz w:val="14"/>
          <w:szCs w:val="14"/>
          <w:b w:val="1"/>
          <w:bCs w:val="1"/>
          <w:color w:val="D52B1E"/>
        </w:rPr>
      </w:pPr>
      <w:r>
        <w:rPr>
          <w:rFonts w:ascii="Arial" w:cs="Arial" w:eastAsia="Arial" w:hAnsi="Arial"/>
          <w:sz w:val="17"/>
          <w:szCs w:val="17"/>
          <w:b w:val="1"/>
          <w:bCs w:val="1"/>
          <w:color w:val="D52B1E"/>
        </w:rPr>
        <w:t xml:space="preserve">Payments upon Change in Control Alone. </w:t>
      </w:r>
      <w:r>
        <w:rPr>
          <w:rFonts w:ascii="Arial" w:cs="Arial" w:eastAsia="Arial" w:hAnsi="Arial"/>
          <w:sz w:val="15"/>
          <w:szCs w:val="15"/>
          <w:color w:val="000000"/>
        </w:rPr>
        <w:t>The change-in-control plan is a “double trigger” plan, meaning payments are made only if the employee</w:t>
      </w:r>
      <w:r>
        <w:rPr>
          <w:rFonts w:ascii="Arial" w:cs="Arial" w:eastAsia="Arial" w:hAnsi="Arial"/>
          <w:sz w:val="17"/>
          <w:szCs w:val="17"/>
          <w:b w:val="1"/>
          <w:bCs w:val="1"/>
          <w:color w:val="D52B1E"/>
        </w:rPr>
        <w:t xml:space="preserve"> </w:t>
      </w:r>
      <w:r>
        <w:rPr>
          <w:rFonts w:ascii="Arial" w:cs="Arial" w:eastAsia="Arial" w:hAnsi="Arial"/>
          <w:sz w:val="15"/>
          <w:szCs w:val="15"/>
          <w:color w:val="000000"/>
        </w:rPr>
        <w:t>suffers a covered termination of employment within two years following the change in control, or in the case of equity awards, if the successor entity does not assume, substitute, or otherwise replace the awards.</w:t>
      </w:r>
    </w:p>
    <w:p>
      <w:pPr>
        <w:spacing w:after="0" w:line="268"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CEO Pay Ratio</w:t>
      </w:r>
    </w:p>
    <w:p>
      <w:pPr>
        <w:spacing w:after="0" w:line="73" w:lineRule="exact"/>
        <w:rPr>
          <w:sz w:val="20"/>
          <w:szCs w:val="20"/>
          <w:color w:val="auto"/>
        </w:rPr>
      </w:pPr>
    </w:p>
    <w:p>
      <w:pPr>
        <w:jc w:val="both"/>
        <w:ind w:left="7" w:right="80"/>
        <w:spacing w:after="0" w:line="257" w:lineRule="auto"/>
        <w:rPr>
          <w:sz w:val="20"/>
          <w:szCs w:val="20"/>
          <w:color w:val="auto"/>
        </w:rPr>
      </w:pPr>
      <w:r>
        <w:rPr>
          <w:rFonts w:ascii="Arial" w:cs="Arial" w:eastAsia="Arial" w:hAnsi="Arial"/>
          <w:sz w:val="16"/>
          <w:szCs w:val="16"/>
          <w:color w:val="auto"/>
        </w:rPr>
        <w:t>Lilly’s compensation and benefits philosophy across the organization is to encourage and reward all employees who contribute to our success. We strive to ensure that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spacing w:after="0" w:line="110" w:lineRule="exact"/>
        <w:rPr>
          <w:sz w:val="20"/>
          <w:szCs w:val="20"/>
          <w:color w:val="auto"/>
        </w:rPr>
      </w:pPr>
    </w:p>
    <w:p>
      <w:pPr>
        <w:ind w:left="7"/>
        <w:spacing w:after="0" w:line="271" w:lineRule="auto"/>
        <w:rPr>
          <w:sz w:val="20"/>
          <w:szCs w:val="20"/>
          <w:color w:val="auto"/>
        </w:rPr>
      </w:pPr>
      <w:r>
        <w:rPr>
          <w:rFonts w:ascii="Arial" w:cs="Arial" w:eastAsia="Arial" w:hAnsi="Arial"/>
          <w:sz w:val="16"/>
          <w:szCs w:val="16"/>
          <w:color w:val="auto"/>
        </w:rPr>
        <w:t>Below is the 2022 annual total compensation of our CEO and our median employee and the ratio of the annual total compensation of our CEO to that of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3234055" cy="762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3234055" cy="7620"/>
                    </a:xfrm>
                    <a:prstGeom prst="rect">
                      <a:avLst/>
                    </a:prstGeom>
                    <a:noFill/>
                  </pic:spPr>
                </pic:pic>
              </a:graphicData>
            </a:graphic>
          </wp:anchor>
        </w:drawing>
      </w:r>
    </w:p>
    <w:p>
      <w:pPr>
        <w:spacing w:after="0" w:line="13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CEO Pay Ratio:</w:t>
      </w:r>
    </w:p>
    <w:p>
      <w:pPr>
        <w:spacing w:after="0" w:line="40" w:lineRule="exact"/>
        <w:rPr>
          <w:sz w:val="20"/>
          <w:szCs w:val="20"/>
          <w:color w:val="auto"/>
        </w:rPr>
      </w:pPr>
    </w:p>
    <w:tbl>
      <w:tblPr>
        <w:tblLayout w:type="fixed"/>
        <w:tblInd w:w="7" w:type="dxa"/>
        <w:tblCellMar>
          <w:top w:w="0" w:type="dxa"/>
          <w:left w:w="0" w:type="dxa"/>
          <w:bottom w:w="0" w:type="dxa"/>
          <w:right w:w="0" w:type="dxa"/>
        </w:tblCellMar>
      </w:tblPr>
      <w:tr>
        <w:trPr>
          <w:trHeight w:val="212"/>
        </w:trPr>
        <w:tc>
          <w:tcPr>
            <w:tcW w:w="348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2"/>
                <w:szCs w:val="12"/>
                <w:color w:val="auto"/>
              </w:rPr>
              <w:t>CEO Annual Total Compensation*</w:t>
            </w:r>
          </w:p>
        </w:tc>
        <w:tc>
          <w:tcPr>
            <w:tcW w:w="16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$21,398,135</w:t>
            </w:r>
          </w:p>
        </w:tc>
      </w:tr>
      <w:tr>
        <w:trPr>
          <w:trHeight w:val="189"/>
        </w:trPr>
        <w:tc>
          <w:tcPr>
            <w:tcW w:w="3480" w:type="dxa"/>
            <w:vAlign w:val="bottom"/>
          </w:tcPr>
          <w:p>
            <w:pPr>
              <w:spacing w:after="0"/>
              <w:rPr>
                <w:sz w:val="20"/>
                <w:szCs w:val="20"/>
                <w:color w:val="auto"/>
              </w:rPr>
            </w:pPr>
            <w:r>
              <w:rPr>
                <w:rFonts w:ascii="Arial" w:cs="Arial" w:eastAsia="Arial" w:hAnsi="Arial"/>
                <w:sz w:val="12"/>
                <w:szCs w:val="12"/>
                <w:color w:val="auto"/>
              </w:rPr>
              <w:t>Median Employee Annual Total Compensation</w:t>
            </w:r>
          </w:p>
        </w:tc>
        <w:tc>
          <w:tcPr>
            <w:tcW w:w="1600" w:type="dxa"/>
            <w:vAlign w:val="bottom"/>
          </w:tcPr>
          <w:p>
            <w:pPr>
              <w:jc w:val="right"/>
              <w:spacing w:after="0"/>
              <w:rPr>
                <w:sz w:val="20"/>
                <w:szCs w:val="20"/>
                <w:color w:val="auto"/>
              </w:rPr>
            </w:pPr>
            <w:r>
              <w:rPr>
                <w:rFonts w:ascii="Arial" w:cs="Arial" w:eastAsia="Arial" w:hAnsi="Arial"/>
                <w:sz w:val="12"/>
                <w:szCs w:val="12"/>
                <w:color w:val="auto"/>
              </w:rPr>
              <w:t>$124,103</w:t>
            </w:r>
          </w:p>
        </w:tc>
      </w:tr>
      <w:tr>
        <w:trPr>
          <w:trHeight w:val="223"/>
        </w:trPr>
        <w:tc>
          <w:tcPr>
            <w:tcW w:w="34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CEO to Median Employee Pay Ratio</w:t>
            </w:r>
          </w:p>
        </w:tc>
        <w:tc>
          <w:tcPr>
            <w:tcW w:w="16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color w:val="auto"/>
              </w:rPr>
              <w:t>172:1</w:t>
            </w:r>
          </w:p>
        </w:tc>
      </w:tr>
    </w:tbl>
    <w:p>
      <w:pPr>
        <w:spacing w:after="0" w:line="27" w:lineRule="exact"/>
        <w:rPr>
          <w:sz w:val="20"/>
          <w:szCs w:val="20"/>
          <w:color w:val="auto"/>
        </w:rPr>
      </w:pPr>
    </w:p>
    <w:p>
      <w:pPr>
        <w:ind w:left="7"/>
        <w:spacing w:after="0"/>
        <w:rPr>
          <w:sz w:val="20"/>
          <w:szCs w:val="20"/>
          <w:color w:val="auto"/>
        </w:rPr>
      </w:pPr>
      <w:r>
        <w:rPr>
          <w:rFonts w:ascii="Arial" w:cs="Arial" w:eastAsia="Arial" w:hAnsi="Arial"/>
          <w:sz w:val="12"/>
          <w:szCs w:val="12"/>
          <w:color w:val="auto"/>
        </w:rPr>
        <w:t>*This annual total compensation is the “Summary Compensation Table” amount.</w:t>
      </w:r>
    </w:p>
    <w:p>
      <w:pPr>
        <w:spacing w:after="0" w:line="23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Methodology:</w:t>
      </w:r>
    </w:p>
    <w:p>
      <w:pPr>
        <w:spacing w:after="0" w:line="68" w:lineRule="exact"/>
        <w:rPr>
          <w:sz w:val="20"/>
          <w:szCs w:val="20"/>
          <w:color w:val="auto"/>
        </w:rPr>
      </w:pPr>
    </w:p>
    <w:p>
      <w:pPr>
        <w:ind w:left="147" w:right="200" w:hanging="147"/>
        <w:spacing w:after="0" w:line="257" w:lineRule="auto"/>
        <w:tabs>
          <w:tab w:leader="none" w:pos="137" w:val="left"/>
        </w:tabs>
        <w:numPr>
          <w:ilvl w:val="0"/>
          <w:numId w:val="178"/>
        </w:numPr>
        <w:rPr>
          <w:rFonts w:ascii="Arial" w:cs="Arial" w:eastAsia="Arial" w:hAnsi="Arial"/>
          <w:sz w:val="14"/>
          <w:szCs w:val="14"/>
          <w:color w:val="auto"/>
        </w:rPr>
      </w:pPr>
      <w:r>
        <w:rPr>
          <w:rFonts w:ascii="Arial" w:cs="Arial" w:eastAsia="Arial" w:hAnsi="Arial"/>
          <w:sz w:val="16"/>
          <w:szCs w:val="16"/>
          <w:color w:val="auto"/>
        </w:rPr>
        <w:t>Measurement Date: We identified the median employee using our employee population (excluding the CEO) on October 31, 2022. On this date, Lilly employed approximately 39,500 people, with approximately 17,900 members of our workforce located in the United States and approximately 21,600 members of our workforce located outside of the United States.</w:t>
      </w:r>
    </w:p>
    <w:p>
      <w:pPr>
        <w:spacing w:after="0" w:line="109" w:lineRule="exact"/>
        <w:rPr>
          <w:rFonts w:ascii="Arial" w:cs="Arial" w:eastAsia="Arial" w:hAnsi="Arial"/>
          <w:sz w:val="14"/>
          <w:szCs w:val="14"/>
          <w:color w:val="auto"/>
        </w:rPr>
      </w:pPr>
    </w:p>
    <w:p>
      <w:pPr>
        <w:ind w:left="147" w:right="100" w:hanging="147"/>
        <w:spacing w:after="0" w:line="257" w:lineRule="auto"/>
        <w:tabs>
          <w:tab w:leader="none" w:pos="137" w:val="left"/>
        </w:tabs>
        <w:numPr>
          <w:ilvl w:val="0"/>
          <w:numId w:val="178"/>
        </w:numPr>
        <w:rPr>
          <w:rFonts w:ascii="Arial" w:cs="Arial" w:eastAsia="Arial" w:hAnsi="Arial"/>
          <w:sz w:val="14"/>
          <w:szCs w:val="14"/>
          <w:color w:val="auto"/>
        </w:rPr>
      </w:pPr>
      <w:r>
        <w:rPr>
          <w:rFonts w:ascii="Arial" w:cs="Arial" w:eastAsia="Arial" w:hAnsi="Arial"/>
          <w:sz w:val="16"/>
          <w:szCs w:val="16"/>
          <w:color w:val="auto"/>
        </w:rPr>
        <w:t>Identification of Median Employee: In a manner consistent with SEC rules, we identified the median employee by use of a “consistently applied compensation measure,” or CACM. Specifically, we identified the median employee by looking at annual base pay, bonus opportunity at target, and the grant date fair value for annual equity awards. We did not adjust the compensation paid to part-time employees to calculate what they would</w:t>
      </w: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779" w:right="339" w:bottom="1440" w:gutter="0" w:footer="0" w:header="0"/>
        </w:sectPr>
      </w:pPr>
    </w:p>
    <w:bookmarkStart w:id="83" w:name="page84"/>
    <w:bookmarkEnd w:id="83"/>
    <w:p>
      <w:pPr>
        <w:ind w:left="147"/>
        <w:spacing w:after="0"/>
        <w:rPr>
          <w:sz w:val="20"/>
          <w:szCs w:val="20"/>
          <w:color w:val="auto"/>
        </w:rPr>
      </w:pPr>
      <w:r>
        <w:rPr>
          <w:rFonts w:ascii="Arial" w:cs="Arial" w:eastAsia="Arial" w:hAnsi="Arial"/>
          <w:sz w:val="16"/>
          <w:szCs w:val="16"/>
          <w:color w:val="auto"/>
        </w:rPr>
        <w:t>have been paid on a full-time basis.</w:t>
      </w:r>
    </w:p>
    <w:p>
      <w:pPr>
        <w:spacing w:after="0" w:line="143" w:lineRule="exact"/>
        <w:rPr>
          <w:sz w:val="20"/>
          <w:szCs w:val="20"/>
          <w:color w:val="auto"/>
        </w:rPr>
      </w:pPr>
    </w:p>
    <w:p>
      <w:pPr>
        <w:ind w:left="127" w:hanging="127"/>
        <w:spacing w:after="0"/>
        <w:tabs>
          <w:tab w:leader="none" w:pos="127" w:val="left"/>
        </w:tabs>
        <w:numPr>
          <w:ilvl w:val="0"/>
          <w:numId w:val="179"/>
        </w:numPr>
        <w:rPr>
          <w:rFonts w:ascii="Arial" w:cs="Arial" w:eastAsia="Arial" w:hAnsi="Arial"/>
          <w:sz w:val="13"/>
          <w:szCs w:val="13"/>
          <w:color w:val="auto"/>
        </w:rPr>
      </w:pPr>
      <w:r>
        <w:rPr>
          <w:rFonts w:ascii="Arial" w:cs="Arial" w:eastAsia="Arial" w:hAnsi="Arial"/>
          <w:sz w:val="14"/>
          <w:szCs w:val="14"/>
          <w:color w:val="auto"/>
        </w:rPr>
        <w:t>De Minimis Exception: Lilly has employees in 68 countries. In identifying the median employee, we excluded 466 workers in the following 11 countries, which</w:t>
      </w:r>
    </w:p>
    <w:p>
      <w:pPr>
        <w:spacing w:after="0" w:line="39" w:lineRule="exact"/>
        <w:rPr>
          <w:rFonts w:ascii="Arial" w:cs="Arial" w:eastAsia="Arial" w:hAnsi="Arial"/>
          <w:sz w:val="13"/>
          <w:szCs w:val="13"/>
          <w:color w:val="auto"/>
        </w:rPr>
      </w:pPr>
    </w:p>
    <w:p>
      <w:pPr>
        <w:ind w:left="147" w:right="40"/>
        <w:spacing w:after="0" w:line="248" w:lineRule="auto"/>
        <w:rPr>
          <w:rFonts w:ascii="Arial" w:cs="Arial" w:eastAsia="Arial" w:hAnsi="Arial"/>
          <w:sz w:val="13"/>
          <w:szCs w:val="13"/>
          <w:color w:val="auto"/>
        </w:rPr>
      </w:pPr>
      <w:r>
        <w:rPr>
          <w:rFonts w:ascii="Arial" w:cs="Arial" w:eastAsia="Arial" w:hAnsi="Arial"/>
          <w:sz w:val="16"/>
          <w:szCs w:val="16"/>
          <w:color w:val="auto"/>
        </w:rPr>
        <w:t>represent approximately one percent of our workforce: Bahrain, Costa Rica, Ecuador, Egypt, Greece, Kuwait, Pakistan, Panama, Qatar, Russia and United Arab Emirates. We excluded these employees because they are affiliated with joint ventures, third-party distributors or currently undergoing a change in operating model.</w:t>
      </w:r>
    </w:p>
    <w:p>
      <w:pPr>
        <w:spacing w:after="0" w:line="116" w:lineRule="exact"/>
        <w:rPr>
          <w:rFonts w:ascii="Arial" w:cs="Arial" w:eastAsia="Arial" w:hAnsi="Arial"/>
          <w:sz w:val="13"/>
          <w:szCs w:val="13"/>
          <w:color w:val="auto"/>
        </w:rPr>
      </w:pPr>
    </w:p>
    <w:p>
      <w:pPr>
        <w:ind w:left="147" w:hanging="147"/>
        <w:spacing w:after="0" w:line="344" w:lineRule="auto"/>
        <w:tabs>
          <w:tab w:leader="none" w:pos="137" w:val="left"/>
        </w:tabs>
        <w:numPr>
          <w:ilvl w:val="0"/>
          <w:numId w:val="179"/>
        </w:numPr>
        <w:rPr>
          <w:rFonts w:ascii="Arial" w:cs="Arial" w:eastAsia="Arial" w:hAnsi="Arial"/>
          <w:sz w:val="13"/>
          <w:szCs w:val="13"/>
          <w:color w:val="auto"/>
        </w:rPr>
      </w:pPr>
      <w:r>
        <w:rPr>
          <w:rFonts w:ascii="Arial" w:cs="Arial" w:eastAsia="Arial" w:hAnsi="Arial"/>
          <w:sz w:val="14"/>
          <w:szCs w:val="14"/>
          <w:color w:val="auto"/>
        </w:rPr>
        <w:t>Calculated CEO Pay Ratio: After applying our CACM and excluding the employees listed above, we identified the median employee. Once the median employee was identified, we calculated the median employee’s total annual compensation in accordance with the requirements of the Summary Compensation Table.</w:t>
      </w:r>
    </w:p>
    <w:p>
      <w:pPr>
        <w:spacing w:after="0" w:line="229"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Pay versus Performance</w:t>
      </w:r>
    </w:p>
    <w:p>
      <w:pPr>
        <w:spacing w:after="0" w:line="73" w:lineRule="exact"/>
        <w:rPr>
          <w:sz w:val="20"/>
          <w:szCs w:val="20"/>
          <w:color w:val="auto"/>
        </w:rPr>
      </w:pPr>
    </w:p>
    <w:p>
      <w:pPr>
        <w:ind w:left="7" w:right="120"/>
        <w:spacing w:after="0" w:line="249" w:lineRule="auto"/>
        <w:rPr>
          <w:sz w:val="20"/>
          <w:szCs w:val="20"/>
          <w:color w:val="auto"/>
        </w:rPr>
      </w:pPr>
      <w:r>
        <w:rPr>
          <w:rFonts w:ascii="Arial" w:cs="Arial" w:eastAsia="Arial" w:hAnsi="Arial"/>
          <w:sz w:val="16"/>
          <w:szCs w:val="16"/>
          <w:color w:val="auto"/>
        </w:rPr>
        <w:t>The Talent and Compensation Committee approves and administers compensation programs that are designed to attract, retain, engage, and incentivize our workforce to deliver medicines that make life better for people around the world. Our program aligns executive pay with shareholder interests and links pay to performance through a blend of short-, mid- and long-term performance measures. In 2022, incentive pay made up 92 percent of our CEO’s target compensation and, on average, 82 percent of our other named executive officers’ target compensation. The high utilization of incentive compensation results in higher total realized pay when leadership exceeds the Talent and Compensation Committee-approved performance targets. Conversely, failure to achieve approved targets results in lower realized pay including the possibility that some awards pay zero at the end of their performance period.</w:t>
      </w:r>
    </w:p>
    <w:p>
      <w:pPr>
        <w:spacing w:after="0" w:line="116" w:lineRule="exact"/>
        <w:rPr>
          <w:sz w:val="20"/>
          <w:szCs w:val="20"/>
          <w:color w:val="auto"/>
        </w:rPr>
      </w:pPr>
    </w:p>
    <w:p>
      <w:pPr>
        <w:ind w:left="7" w:right="100"/>
        <w:spacing w:after="0" w:line="295" w:lineRule="auto"/>
        <w:rPr>
          <w:sz w:val="20"/>
          <w:szCs w:val="20"/>
          <w:color w:val="auto"/>
        </w:rPr>
      </w:pPr>
      <w:r>
        <w:rPr>
          <w:rFonts w:ascii="Arial" w:cs="Arial" w:eastAsia="Arial" w:hAnsi="Arial"/>
          <w:sz w:val="14"/>
          <w:szCs w:val="14"/>
          <w:color w:val="auto"/>
        </w:rPr>
        <w:t>The compensation actually paid (CAP) for the Principal Executive Officer (PEO) and the average non-PEO named executive officers is calculated by taking the Summary Compensation Table values: a) less the grant value of equity granted during the year; b) less the change in pension value for the year; c) plus the year-end fair value of unvested equity awards granted during the year; d) plus, for awards granted in prior years that are outstanding and unvested at the end of the year, the difference between the year-end fair value and the immediately prior year-end fair value; e) plus, for awards granted in prior years that vested during the year, the difference between the fair value as of the vesting date and the immediately prior year-end fair value; f) plus the pension service cost for that year.</w:t>
      </w:r>
    </w:p>
    <w:p>
      <w:pPr>
        <w:spacing w:after="0" w:line="7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Pay versus Performance CAP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90170</wp:posOffset>
            </wp:positionV>
            <wp:extent cx="1112520" cy="2222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112520" cy="22225"/>
                    </a:xfrm>
                    <a:prstGeom prst="rect">
                      <a:avLst/>
                    </a:prstGeom>
                    <a:noFill/>
                  </pic:spPr>
                </pic:pic>
              </a:graphicData>
            </a:graphic>
          </wp:anchor>
        </w:drawing>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Value of initial fixed $100</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7"/>
        </w:trPr>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investment based on:</w:t>
            </w: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5"/>
        </w:trPr>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Company</w:t>
            </w:r>
          </w:p>
        </w:tc>
      </w:tr>
      <w:tr>
        <w:trPr>
          <w:trHeight w:val="152"/>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Selected</w:t>
            </w:r>
          </w:p>
        </w:tc>
      </w:tr>
      <w:tr>
        <w:trPr>
          <w:trHeight w:val="152"/>
        </w:trPr>
        <w:tc>
          <w:tcPr>
            <w:tcW w:w="3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10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Average Summary</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8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Peer Group</w:t>
            </w:r>
          </w:p>
        </w:tc>
        <w:tc>
          <w:tcPr>
            <w:tcW w:w="7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Measure</w:t>
            </w:r>
          </w:p>
        </w:tc>
      </w:tr>
      <w:tr>
        <w:trPr>
          <w:trHeight w:val="140"/>
        </w:trPr>
        <w:tc>
          <w:tcPr>
            <w:tcW w:w="3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7"/>
              </w:rPr>
              <w:t>Total</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Total</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Net</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(CSM) –</w:t>
            </w:r>
          </w:p>
        </w:tc>
      </w:tr>
      <w:tr>
        <w:trPr>
          <w:trHeight w:val="149"/>
        </w:trPr>
        <w:tc>
          <w:tcPr>
            <w:tcW w:w="3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Table Total for</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Actually Paid to</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Table Total for</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Actually Paid to</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Shareholder</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Shareholder</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Income ($</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Adjusted Non-</w:t>
            </w:r>
          </w:p>
        </w:tc>
      </w:tr>
      <w:tr>
        <w:trPr>
          <w:trHeight w:val="164"/>
        </w:trPr>
        <w:tc>
          <w:tcPr>
            <w:tcW w:w="36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980" w:type="dxa"/>
            <w:vAlign w:val="bottom"/>
          </w:tcPr>
          <w:p>
            <w:pPr>
              <w:jc w:val="center"/>
              <w:spacing w:after="0" w:line="164" w:lineRule="exact"/>
              <w:rPr>
                <w:sz w:val="20"/>
                <w:szCs w:val="20"/>
                <w:color w:val="auto"/>
              </w:rPr>
            </w:pPr>
            <w:r>
              <w:rPr>
                <w:rFonts w:ascii="Arial" w:cs="Arial" w:eastAsia="Arial" w:hAnsi="Arial"/>
                <w:sz w:val="12"/>
                <w:szCs w:val="12"/>
                <w:b w:val="1"/>
                <w:bCs w:val="1"/>
                <w:color w:val="auto"/>
              </w:rPr>
              <w:t>PEO</w:t>
            </w:r>
            <w:r>
              <w:rPr>
                <w:rFonts w:ascii="Arial" w:cs="Arial" w:eastAsia="Arial" w:hAnsi="Arial"/>
                <w:sz w:val="16"/>
                <w:szCs w:val="16"/>
                <w:b w:val="1"/>
                <w:bCs w:val="1"/>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PEO</w:t>
            </w:r>
          </w:p>
        </w:tc>
        <w:tc>
          <w:tcPr>
            <w:tcW w:w="1160" w:type="dxa"/>
            <w:vAlign w:val="bottom"/>
          </w:tcPr>
          <w:p>
            <w:pPr>
              <w:jc w:val="center"/>
              <w:spacing w:after="0" w:line="164" w:lineRule="exact"/>
              <w:rPr>
                <w:sz w:val="20"/>
                <w:szCs w:val="20"/>
                <w:color w:val="auto"/>
              </w:rPr>
            </w:pPr>
            <w:r>
              <w:rPr>
                <w:rFonts w:ascii="Arial" w:cs="Arial" w:eastAsia="Arial" w:hAnsi="Arial"/>
                <w:sz w:val="12"/>
                <w:szCs w:val="12"/>
                <w:b w:val="1"/>
                <w:bCs w:val="1"/>
                <w:color w:val="auto"/>
              </w:rPr>
              <w:t>Non-PEO NEOs</w:t>
            </w:r>
            <w:r>
              <w:rPr>
                <w:rFonts w:ascii="Arial" w:cs="Arial" w:eastAsia="Arial" w:hAnsi="Arial"/>
                <w:sz w:val="16"/>
                <w:szCs w:val="16"/>
                <w:b w:val="1"/>
                <w:bCs w:val="1"/>
                <w:color w:val="auto"/>
                <w:vertAlign w:val="superscript"/>
              </w:rPr>
              <w:t>2</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Non-PEO NEOs</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Return</w:t>
            </w:r>
          </w:p>
        </w:tc>
        <w:tc>
          <w:tcPr>
            <w:tcW w:w="860" w:type="dxa"/>
            <w:vAlign w:val="bottom"/>
          </w:tcPr>
          <w:p>
            <w:pPr>
              <w:jc w:val="center"/>
              <w:spacing w:after="0" w:line="164"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16"/>
                <w:szCs w:val="16"/>
                <w:b w:val="1"/>
                <w:bCs w:val="1"/>
                <w:color w:val="auto"/>
                <w:vertAlign w:val="superscript"/>
              </w:rPr>
              <w:t>3</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millions)</w:t>
            </w:r>
          </w:p>
        </w:tc>
        <w:tc>
          <w:tcPr>
            <w:tcW w:w="920" w:type="dxa"/>
            <w:vAlign w:val="bottom"/>
          </w:tcPr>
          <w:p>
            <w:pPr>
              <w:jc w:val="center"/>
              <w:spacing w:after="0" w:line="164" w:lineRule="exact"/>
              <w:rPr>
                <w:sz w:val="20"/>
                <w:szCs w:val="20"/>
                <w:color w:val="auto"/>
              </w:rPr>
            </w:pPr>
            <w:r>
              <w:rPr>
                <w:rFonts w:ascii="Arial" w:cs="Arial" w:eastAsia="Arial" w:hAnsi="Arial"/>
                <w:sz w:val="12"/>
                <w:szCs w:val="12"/>
                <w:b w:val="1"/>
                <w:bCs w:val="1"/>
                <w:color w:val="auto"/>
              </w:rPr>
              <w:t>GAAP EPS</w:t>
            </w:r>
            <w:r>
              <w:rPr>
                <w:rFonts w:ascii="Arial" w:cs="Arial" w:eastAsia="Arial" w:hAnsi="Arial"/>
                <w:sz w:val="16"/>
                <w:szCs w:val="16"/>
                <w:b w:val="1"/>
                <w:bCs w:val="1"/>
                <w:color w:val="auto"/>
                <w:vertAlign w:val="superscript"/>
              </w:rPr>
              <w:t>4</w:t>
            </w:r>
          </w:p>
        </w:tc>
      </w:tr>
      <w:tr>
        <w:trPr>
          <w:trHeight w:val="217"/>
        </w:trPr>
        <w:tc>
          <w:tcPr>
            <w:tcW w:w="360" w:type="dxa"/>
            <w:vAlign w:val="bottom"/>
          </w:tcPr>
          <w:p>
            <w:pPr>
              <w:spacing w:after="0"/>
              <w:rPr>
                <w:sz w:val="20"/>
                <w:szCs w:val="20"/>
                <w:color w:val="auto"/>
              </w:rPr>
            </w:pPr>
            <w:r>
              <w:rPr>
                <w:rFonts w:ascii="Arial" w:cs="Arial" w:eastAsia="Arial" w:hAnsi="Arial"/>
                <w:sz w:val="12"/>
                <w:szCs w:val="12"/>
                <w:color w:val="auto"/>
              </w:rPr>
              <w:t>2022</w:t>
            </w:r>
          </w:p>
        </w:tc>
        <w:tc>
          <w:tcPr>
            <w:tcW w:w="980" w:type="dxa"/>
            <w:vAlign w:val="bottom"/>
          </w:tcPr>
          <w:p>
            <w:pPr>
              <w:jc w:val="center"/>
              <w:spacing w:after="0"/>
              <w:rPr>
                <w:sz w:val="20"/>
                <w:szCs w:val="20"/>
                <w:color w:val="auto"/>
              </w:rPr>
            </w:pPr>
            <w:r>
              <w:rPr>
                <w:rFonts w:ascii="Arial" w:cs="Arial" w:eastAsia="Arial" w:hAnsi="Arial"/>
                <w:sz w:val="12"/>
                <w:szCs w:val="12"/>
                <w:color w:val="auto"/>
              </w:rPr>
              <w:t>$21,398,135</w:t>
            </w:r>
          </w:p>
        </w:tc>
        <w:tc>
          <w:tcPr>
            <w:tcW w:w="1000" w:type="dxa"/>
            <w:vAlign w:val="bottom"/>
          </w:tcPr>
          <w:p>
            <w:pPr>
              <w:jc w:val="center"/>
              <w:spacing w:after="0"/>
              <w:rPr>
                <w:sz w:val="20"/>
                <w:szCs w:val="20"/>
                <w:color w:val="auto"/>
              </w:rPr>
            </w:pPr>
            <w:r>
              <w:rPr>
                <w:rFonts w:ascii="Arial" w:cs="Arial" w:eastAsia="Arial" w:hAnsi="Arial"/>
                <w:sz w:val="12"/>
                <w:szCs w:val="12"/>
                <w:color w:val="auto"/>
              </w:rPr>
              <w:t>$64,088,705</w:t>
            </w:r>
          </w:p>
        </w:tc>
        <w:tc>
          <w:tcPr>
            <w:tcW w:w="1160" w:type="dxa"/>
            <w:vAlign w:val="bottom"/>
          </w:tcPr>
          <w:p>
            <w:pPr>
              <w:jc w:val="right"/>
              <w:ind w:right="198"/>
              <w:spacing w:after="0"/>
              <w:rPr>
                <w:sz w:val="20"/>
                <w:szCs w:val="20"/>
                <w:color w:val="auto"/>
              </w:rPr>
            </w:pPr>
            <w:r>
              <w:rPr>
                <w:rFonts w:ascii="Arial" w:cs="Arial" w:eastAsia="Arial" w:hAnsi="Arial"/>
                <w:sz w:val="12"/>
                <w:szCs w:val="12"/>
                <w:color w:val="auto"/>
              </w:rPr>
              <w:t xml:space="preserve">$5,769,810 </w:t>
            </w:r>
            <w:r>
              <w:rPr>
                <w:rFonts w:ascii="Arial" w:cs="Arial" w:eastAsia="Arial" w:hAnsi="Arial"/>
                <w:sz w:val="16"/>
                <w:szCs w:val="16"/>
                <w:color w:val="auto"/>
                <w:vertAlign w:val="superscript"/>
              </w:rPr>
              <w:t>5</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$13,893,269</w:t>
            </w:r>
          </w:p>
        </w:tc>
        <w:tc>
          <w:tcPr>
            <w:tcW w:w="840" w:type="dxa"/>
            <w:vAlign w:val="bottom"/>
          </w:tcPr>
          <w:p>
            <w:pPr>
              <w:jc w:val="center"/>
              <w:spacing w:after="0"/>
              <w:rPr>
                <w:sz w:val="20"/>
                <w:szCs w:val="20"/>
                <w:color w:val="auto"/>
              </w:rPr>
            </w:pPr>
            <w:r>
              <w:rPr>
                <w:rFonts w:ascii="Arial" w:cs="Arial" w:eastAsia="Arial" w:hAnsi="Arial"/>
                <w:sz w:val="12"/>
                <w:szCs w:val="12"/>
                <w:color w:val="auto"/>
              </w:rPr>
              <w:t>$292.18</w:t>
            </w:r>
          </w:p>
        </w:tc>
        <w:tc>
          <w:tcPr>
            <w:tcW w:w="860" w:type="dxa"/>
            <w:vAlign w:val="bottom"/>
          </w:tcPr>
          <w:p>
            <w:pPr>
              <w:jc w:val="center"/>
              <w:spacing w:after="0"/>
              <w:rPr>
                <w:sz w:val="20"/>
                <w:szCs w:val="20"/>
                <w:color w:val="auto"/>
              </w:rPr>
            </w:pPr>
            <w:r>
              <w:rPr>
                <w:rFonts w:ascii="Arial" w:cs="Arial" w:eastAsia="Arial" w:hAnsi="Arial"/>
                <w:sz w:val="12"/>
                <w:szCs w:val="12"/>
                <w:color w:val="auto"/>
              </w:rPr>
              <w:t>$133.61</w:t>
            </w:r>
          </w:p>
        </w:tc>
        <w:tc>
          <w:tcPr>
            <w:tcW w:w="700" w:type="dxa"/>
            <w:vAlign w:val="bottom"/>
          </w:tcPr>
          <w:p>
            <w:pPr>
              <w:jc w:val="center"/>
              <w:spacing w:after="0"/>
              <w:rPr>
                <w:sz w:val="20"/>
                <w:szCs w:val="20"/>
                <w:color w:val="auto"/>
              </w:rPr>
            </w:pPr>
            <w:r>
              <w:rPr>
                <w:rFonts w:ascii="Arial" w:cs="Arial" w:eastAsia="Arial" w:hAnsi="Arial"/>
                <w:sz w:val="12"/>
                <w:szCs w:val="12"/>
                <w:color w:val="auto"/>
              </w:rPr>
              <w:t>$6,245</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$8.84</w:t>
            </w:r>
          </w:p>
        </w:tc>
      </w:tr>
      <w:tr>
        <w:trPr>
          <w:trHeight w:val="222"/>
        </w:trPr>
        <w:tc>
          <w:tcPr>
            <w:tcW w:w="360" w:type="dxa"/>
            <w:vAlign w:val="bottom"/>
          </w:tcPr>
          <w:p>
            <w:pPr>
              <w:spacing w:after="0"/>
              <w:rPr>
                <w:sz w:val="20"/>
                <w:szCs w:val="20"/>
                <w:color w:val="auto"/>
              </w:rPr>
            </w:pPr>
            <w:r>
              <w:rPr>
                <w:rFonts w:ascii="Arial" w:cs="Arial" w:eastAsia="Arial" w:hAnsi="Arial"/>
                <w:sz w:val="12"/>
                <w:szCs w:val="12"/>
                <w:color w:val="auto"/>
              </w:rPr>
              <w:t>2021</w:t>
            </w:r>
          </w:p>
        </w:tc>
        <w:tc>
          <w:tcPr>
            <w:tcW w:w="980" w:type="dxa"/>
            <w:vAlign w:val="bottom"/>
          </w:tcPr>
          <w:p>
            <w:pPr>
              <w:jc w:val="center"/>
              <w:spacing w:after="0"/>
              <w:rPr>
                <w:sz w:val="20"/>
                <w:szCs w:val="20"/>
                <w:color w:val="auto"/>
              </w:rPr>
            </w:pPr>
            <w:r>
              <w:rPr>
                <w:rFonts w:ascii="Arial" w:cs="Arial" w:eastAsia="Arial" w:hAnsi="Arial"/>
                <w:sz w:val="12"/>
                <w:szCs w:val="12"/>
                <w:color w:val="auto"/>
              </w:rPr>
              <w:t>$21,509,985</w:t>
            </w:r>
          </w:p>
        </w:tc>
        <w:tc>
          <w:tcPr>
            <w:tcW w:w="1000" w:type="dxa"/>
            <w:vAlign w:val="bottom"/>
          </w:tcPr>
          <w:p>
            <w:pPr>
              <w:jc w:val="center"/>
              <w:spacing w:after="0"/>
              <w:rPr>
                <w:sz w:val="20"/>
                <w:szCs w:val="20"/>
                <w:color w:val="auto"/>
              </w:rPr>
            </w:pPr>
            <w:r>
              <w:rPr>
                <w:rFonts w:ascii="Arial" w:cs="Arial" w:eastAsia="Arial" w:hAnsi="Arial"/>
                <w:sz w:val="12"/>
                <w:szCs w:val="12"/>
                <w:color w:val="auto"/>
              </w:rPr>
              <w:t>$75,705,116</w:t>
            </w:r>
          </w:p>
        </w:tc>
        <w:tc>
          <w:tcPr>
            <w:tcW w:w="1160" w:type="dxa"/>
            <w:vAlign w:val="bottom"/>
          </w:tcPr>
          <w:p>
            <w:pPr>
              <w:jc w:val="right"/>
              <w:ind w:right="198"/>
              <w:spacing w:after="0"/>
              <w:rPr>
                <w:sz w:val="20"/>
                <w:szCs w:val="20"/>
                <w:color w:val="auto"/>
              </w:rPr>
            </w:pPr>
            <w:r>
              <w:rPr>
                <w:rFonts w:ascii="Arial" w:cs="Arial" w:eastAsia="Arial" w:hAnsi="Arial"/>
                <w:sz w:val="12"/>
                <w:szCs w:val="12"/>
                <w:color w:val="auto"/>
              </w:rPr>
              <w:t xml:space="preserve">$4,730,690 </w:t>
            </w:r>
            <w:r>
              <w:rPr>
                <w:rFonts w:ascii="Arial" w:cs="Arial" w:eastAsia="Arial" w:hAnsi="Arial"/>
                <w:sz w:val="16"/>
                <w:szCs w:val="16"/>
                <w:color w:val="auto"/>
                <w:vertAlign w:val="superscript"/>
              </w:rPr>
              <w:t>6</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$4,563,545</w:t>
            </w:r>
          </w:p>
        </w:tc>
        <w:tc>
          <w:tcPr>
            <w:tcW w:w="840" w:type="dxa"/>
            <w:vAlign w:val="bottom"/>
          </w:tcPr>
          <w:p>
            <w:pPr>
              <w:jc w:val="center"/>
              <w:spacing w:after="0"/>
              <w:rPr>
                <w:sz w:val="20"/>
                <w:szCs w:val="20"/>
                <w:color w:val="auto"/>
              </w:rPr>
            </w:pPr>
            <w:r>
              <w:rPr>
                <w:rFonts w:ascii="Arial" w:cs="Arial" w:eastAsia="Arial" w:hAnsi="Arial"/>
                <w:sz w:val="12"/>
                <w:szCs w:val="12"/>
                <w:color w:val="auto"/>
              </w:rPr>
              <w:t>$217.66</w:t>
            </w:r>
          </w:p>
        </w:tc>
        <w:tc>
          <w:tcPr>
            <w:tcW w:w="860" w:type="dxa"/>
            <w:vAlign w:val="bottom"/>
          </w:tcPr>
          <w:p>
            <w:pPr>
              <w:jc w:val="center"/>
              <w:spacing w:after="0"/>
              <w:rPr>
                <w:sz w:val="20"/>
                <w:szCs w:val="20"/>
                <w:color w:val="auto"/>
              </w:rPr>
            </w:pPr>
            <w:r>
              <w:rPr>
                <w:rFonts w:ascii="Arial" w:cs="Arial" w:eastAsia="Arial" w:hAnsi="Arial"/>
                <w:sz w:val="12"/>
                <w:szCs w:val="12"/>
                <w:color w:val="auto"/>
              </w:rPr>
              <w:t>$121.90</w:t>
            </w:r>
          </w:p>
        </w:tc>
        <w:tc>
          <w:tcPr>
            <w:tcW w:w="700" w:type="dxa"/>
            <w:vAlign w:val="bottom"/>
          </w:tcPr>
          <w:p>
            <w:pPr>
              <w:jc w:val="center"/>
              <w:spacing w:after="0"/>
              <w:rPr>
                <w:sz w:val="20"/>
                <w:szCs w:val="20"/>
                <w:color w:val="auto"/>
              </w:rPr>
            </w:pPr>
            <w:r>
              <w:rPr>
                <w:rFonts w:ascii="Arial" w:cs="Arial" w:eastAsia="Arial" w:hAnsi="Arial"/>
                <w:sz w:val="12"/>
                <w:szCs w:val="12"/>
                <w:color w:val="auto"/>
              </w:rPr>
              <w:t>$5,582</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$8.25</w:t>
            </w:r>
          </w:p>
        </w:tc>
      </w:tr>
      <w:tr>
        <w:trPr>
          <w:trHeight w:val="234"/>
        </w:trPr>
        <w:tc>
          <w:tcPr>
            <w:tcW w:w="360" w:type="dxa"/>
            <w:vAlign w:val="bottom"/>
          </w:tcPr>
          <w:p>
            <w:pPr>
              <w:spacing w:after="0"/>
              <w:rPr>
                <w:sz w:val="20"/>
                <w:szCs w:val="20"/>
                <w:color w:val="auto"/>
              </w:rPr>
            </w:pPr>
            <w:r>
              <w:rPr>
                <w:rFonts w:ascii="Arial" w:cs="Arial" w:eastAsia="Arial" w:hAnsi="Arial"/>
                <w:sz w:val="12"/>
                <w:szCs w:val="12"/>
                <w:color w:val="auto"/>
              </w:rPr>
              <w:t>2020</w:t>
            </w:r>
          </w:p>
        </w:tc>
        <w:tc>
          <w:tcPr>
            <w:tcW w:w="980" w:type="dxa"/>
            <w:vAlign w:val="bottom"/>
          </w:tcPr>
          <w:p>
            <w:pPr>
              <w:jc w:val="center"/>
              <w:spacing w:after="0"/>
              <w:rPr>
                <w:sz w:val="20"/>
                <w:szCs w:val="20"/>
                <w:color w:val="auto"/>
              </w:rPr>
            </w:pPr>
            <w:r>
              <w:rPr>
                <w:rFonts w:ascii="Arial" w:cs="Arial" w:eastAsia="Arial" w:hAnsi="Arial"/>
                <w:sz w:val="12"/>
                <w:szCs w:val="12"/>
                <w:color w:val="auto"/>
              </w:rPr>
              <w:t>$23,708,629</w:t>
            </w:r>
          </w:p>
        </w:tc>
        <w:tc>
          <w:tcPr>
            <w:tcW w:w="1000" w:type="dxa"/>
            <w:vAlign w:val="bottom"/>
          </w:tcPr>
          <w:p>
            <w:pPr>
              <w:jc w:val="center"/>
              <w:spacing w:after="0"/>
              <w:rPr>
                <w:sz w:val="20"/>
                <w:szCs w:val="20"/>
                <w:color w:val="auto"/>
              </w:rPr>
            </w:pPr>
            <w:r>
              <w:rPr>
                <w:rFonts w:ascii="Arial" w:cs="Arial" w:eastAsia="Arial" w:hAnsi="Arial"/>
                <w:sz w:val="12"/>
                <w:szCs w:val="12"/>
                <w:color w:val="auto"/>
              </w:rPr>
              <w:t>$51,253,831</w:t>
            </w:r>
          </w:p>
        </w:tc>
        <w:tc>
          <w:tcPr>
            <w:tcW w:w="1160" w:type="dxa"/>
            <w:vAlign w:val="bottom"/>
          </w:tcPr>
          <w:p>
            <w:pPr>
              <w:jc w:val="right"/>
              <w:ind w:right="198"/>
              <w:spacing w:after="0"/>
              <w:rPr>
                <w:sz w:val="20"/>
                <w:szCs w:val="20"/>
                <w:color w:val="auto"/>
              </w:rPr>
            </w:pPr>
            <w:r>
              <w:rPr>
                <w:rFonts w:ascii="Arial" w:cs="Arial" w:eastAsia="Arial" w:hAnsi="Arial"/>
                <w:sz w:val="12"/>
                <w:szCs w:val="12"/>
                <w:color w:val="auto"/>
              </w:rPr>
              <w:t xml:space="preserve">$6,787,934 </w:t>
            </w:r>
            <w:r>
              <w:rPr>
                <w:rFonts w:ascii="Arial" w:cs="Arial" w:eastAsia="Arial" w:hAnsi="Arial"/>
                <w:sz w:val="16"/>
                <w:szCs w:val="16"/>
                <w:color w:val="auto"/>
                <w:vertAlign w:val="superscript"/>
              </w:rPr>
              <w:t>7</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$10,732,708</w:t>
            </w:r>
          </w:p>
        </w:tc>
        <w:tc>
          <w:tcPr>
            <w:tcW w:w="840" w:type="dxa"/>
            <w:vAlign w:val="bottom"/>
          </w:tcPr>
          <w:p>
            <w:pPr>
              <w:jc w:val="center"/>
              <w:spacing w:after="0"/>
              <w:rPr>
                <w:sz w:val="20"/>
                <w:szCs w:val="20"/>
                <w:color w:val="auto"/>
              </w:rPr>
            </w:pPr>
            <w:r>
              <w:rPr>
                <w:rFonts w:ascii="Arial" w:cs="Arial" w:eastAsia="Arial" w:hAnsi="Arial"/>
                <w:sz w:val="12"/>
                <w:szCs w:val="12"/>
                <w:color w:val="auto"/>
              </w:rPr>
              <w:t>$131.06</w:t>
            </w:r>
          </w:p>
        </w:tc>
        <w:tc>
          <w:tcPr>
            <w:tcW w:w="860" w:type="dxa"/>
            <w:vAlign w:val="bottom"/>
          </w:tcPr>
          <w:p>
            <w:pPr>
              <w:jc w:val="center"/>
              <w:spacing w:after="0"/>
              <w:rPr>
                <w:sz w:val="20"/>
                <w:szCs w:val="20"/>
                <w:color w:val="auto"/>
              </w:rPr>
            </w:pPr>
            <w:r>
              <w:rPr>
                <w:rFonts w:ascii="Arial" w:cs="Arial" w:eastAsia="Arial" w:hAnsi="Arial"/>
                <w:sz w:val="12"/>
                <w:szCs w:val="12"/>
                <w:color w:val="auto"/>
              </w:rPr>
              <w:t>$102.07</w:t>
            </w:r>
          </w:p>
        </w:tc>
        <w:tc>
          <w:tcPr>
            <w:tcW w:w="700" w:type="dxa"/>
            <w:vAlign w:val="bottom"/>
          </w:tcPr>
          <w:p>
            <w:pPr>
              <w:jc w:val="center"/>
              <w:spacing w:after="0"/>
              <w:rPr>
                <w:sz w:val="20"/>
                <w:szCs w:val="20"/>
                <w:color w:val="auto"/>
              </w:rPr>
            </w:pPr>
            <w:r>
              <w:rPr>
                <w:rFonts w:ascii="Arial" w:cs="Arial" w:eastAsia="Arial" w:hAnsi="Arial"/>
                <w:sz w:val="12"/>
                <w:szCs w:val="12"/>
                <w:color w:val="auto"/>
              </w:rPr>
              <w:t>$6,194</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$6.89</w:t>
            </w:r>
          </w:p>
        </w:tc>
      </w:tr>
      <w:tr>
        <w:trPr>
          <w:trHeight w:val="51"/>
        </w:trPr>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-1260475</wp:posOffset>
            </wp:positionV>
            <wp:extent cx="4984750" cy="12534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4984750" cy="1253490"/>
                    </a:xfrm>
                    <a:prstGeom prst="rect">
                      <a:avLst/>
                    </a:prstGeom>
                    <a:noFill/>
                  </pic:spPr>
                </pic:pic>
              </a:graphicData>
            </a:graphic>
          </wp:anchor>
        </w:drawing>
      </w:r>
    </w:p>
    <w:p>
      <w:pPr>
        <w:spacing w:after="0" w:line="128" w:lineRule="exact"/>
        <w:rPr>
          <w:sz w:val="20"/>
          <w:szCs w:val="20"/>
          <w:color w:val="auto"/>
        </w:rPr>
      </w:pPr>
    </w:p>
    <w:p>
      <w:pPr>
        <w:ind w:left="87" w:hanging="87"/>
        <w:spacing w:after="0"/>
        <w:tabs>
          <w:tab w:leader="none" w:pos="87" w:val="left"/>
        </w:tabs>
        <w:numPr>
          <w:ilvl w:val="0"/>
          <w:numId w:val="180"/>
        </w:numPr>
        <w:rPr>
          <w:rFonts w:ascii="Arial" w:cs="Arial" w:eastAsia="Arial" w:hAnsi="Arial"/>
          <w:sz w:val="16"/>
          <w:szCs w:val="16"/>
          <w:color w:val="auto"/>
          <w:vertAlign w:val="superscript"/>
        </w:rPr>
      </w:pPr>
      <w:r>
        <w:rPr>
          <w:rFonts w:ascii="Arial" w:cs="Arial" w:eastAsia="Arial" w:hAnsi="Arial"/>
          <w:sz w:val="12"/>
          <w:szCs w:val="12"/>
          <w:color w:val="auto"/>
        </w:rPr>
        <w:t>The PEO Summary Compensation Table to compensation actually paid reconciliation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11430</wp:posOffset>
            </wp:positionV>
            <wp:extent cx="4918075" cy="762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4918075" cy="7620"/>
                    </a:xfrm>
                    <a:prstGeom prst="rect">
                      <a:avLst/>
                    </a:prstGeom>
                    <a:noFill/>
                  </pic:spPr>
                </pic:pic>
              </a:graphicData>
            </a:graphic>
          </wp:anchor>
        </w:drawing>
      </w:r>
    </w:p>
    <w:p>
      <w:pPr>
        <w:spacing w:after="0" w:line="28" w:lineRule="exact"/>
        <w:rPr>
          <w:sz w:val="20"/>
          <w:szCs w:val="20"/>
          <w:color w:val="auto"/>
        </w:rPr>
      </w:pPr>
    </w:p>
    <w:tbl>
      <w:tblPr>
        <w:tblLayout w:type="fixed"/>
        <w:tblInd w:w="147"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auto"/>
              </w:rPr>
              <w:t>Change in year-end value of prior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840" w:type="dxa"/>
            <w:vAlign w:val="bottom"/>
          </w:tcPr>
          <w:p>
            <w:pPr>
              <w:spacing w:after="0"/>
              <w:rPr>
                <w:sz w:val="12"/>
                <w:szCs w:val="12"/>
                <w:color w:val="auto"/>
              </w:rPr>
            </w:pPr>
          </w:p>
        </w:tc>
      </w:tr>
      <w:tr>
        <w:trPr>
          <w:trHeight w:val="152"/>
        </w:trPr>
        <w:tc>
          <w:tcPr>
            <w:tcW w:w="3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Compensation Table</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auto"/>
              </w:rPr>
              <w:t>years’ awards unvested on 31-Dec-</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Service Cost</w:t>
            </w:r>
          </w:p>
        </w:tc>
        <w:tc>
          <w:tcPr>
            <w:tcW w:w="840" w:type="dxa"/>
            <w:vAlign w:val="bottom"/>
          </w:tcPr>
          <w:p>
            <w:pPr>
              <w:spacing w:after="0"/>
              <w:rPr>
                <w:sz w:val="13"/>
                <w:szCs w:val="13"/>
                <w:color w:val="auto"/>
              </w:rPr>
            </w:pPr>
          </w:p>
        </w:tc>
      </w:tr>
      <w:tr>
        <w:trPr>
          <w:trHeight w:val="152"/>
        </w:trPr>
        <w:tc>
          <w:tcPr>
            <w:tcW w:w="3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Change in Pension</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auto"/>
              </w:rPr>
              <w:t>2022 plus change in value of prior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for each</w:t>
            </w:r>
          </w:p>
        </w:tc>
        <w:tc>
          <w:tcPr>
            <w:tcW w:w="840" w:type="dxa"/>
            <w:vAlign w:val="bottom"/>
          </w:tcPr>
          <w:p>
            <w:pPr>
              <w:spacing w:after="0"/>
              <w:rPr>
                <w:sz w:val="13"/>
                <w:szCs w:val="13"/>
                <w:color w:val="auto"/>
              </w:rPr>
            </w:pPr>
          </w:p>
        </w:tc>
      </w:tr>
      <w:tr>
        <w:trPr>
          <w:trHeight w:val="171"/>
        </w:trPr>
        <w:tc>
          <w:tcPr>
            <w:tcW w:w="38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Table Total</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Table Equity</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9"/>
              </w:rPr>
              <w:t>Value</w:t>
            </w:r>
          </w:p>
        </w:tc>
        <w:tc>
          <w:tcPr>
            <w:tcW w:w="2200" w:type="dxa"/>
            <w:vAlign w:val="bottom"/>
          </w:tcPr>
          <w:p>
            <w:pPr>
              <w:jc w:val="center"/>
              <w:spacing w:after="0"/>
              <w:rPr>
                <w:sz w:val="20"/>
                <w:szCs w:val="20"/>
                <w:color w:val="auto"/>
              </w:rPr>
            </w:pPr>
            <w:r>
              <w:rPr>
                <w:rFonts w:ascii="Arial" w:cs="Arial" w:eastAsia="Arial" w:hAnsi="Arial"/>
                <w:sz w:val="12"/>
                <w:szCs w:val="12"/>
                <w:b w:val="1"/>
                <w:bCs w:val="1"/>
                <w:color w:val="auto"/>
              </w:rPr>
              <w:t>year’s awards that vested in 2022</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calendar year</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PEO CAP</w:t>
            </w:r>
          </w:p>
        </w:tc>
      </w:tr>
      <w:tr>
        <w:trPr>
          <w:trHeight w:val="226"/>
        </w:trPr>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rPr>
              <w:t>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w w:val="89"/>
              </w:rPr>
              <w:t>b</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w w:val="99"/>
              </w:rPr>
              <w:t>c</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rPr>
              <w:t>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rPr>
              <w: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i w:val="1"/>
                <w:iCs w:val="1"/>
                <w:color w:val="D52B1E"/>
              </w:rPr>
              <w:t>a-b-c+d+e</w:t>
            </w:r>
          </w:p>
        </w:tc>
      </w:tr>
      <w:tr>
        <w:trPr>
          <w:trHeight w:val="210"/>
        </w:trPr>
        <w:tc>
          <w:tcPr>
            <w:tcW w:w="380" w:type="dxa"/>
            <w:vAlign w:val="bottom"/>
            <w:shd w:val="clear" w:color="auto" w:fill="F2F2F2"/>
          </w:tcPr>
          <w:p>
            <w:pPr>
              <w:spacing w:after="0"/>
              <w:rPr>
                <w:sz w:val="20"/>
                <w:szCs w:val="20"/>
                <w:color w:val="auto"/>
              </w:rPr>
            </w:pPr>
            <w:r>
              <w:rPr>
                <w:rFonts w:ascii="Arial" w:cs="Arial" w:eastAsia="Arial" w:hAnsi="Arial"/>
                <w:sz w:val="12"/>
                <w:szCs w:val="12"/>
                <w:color w:val="auto"/>
              </w:rPr>
              <w:t>2022</w:t>
            </w:r>
          </w:p>
        </w:tc>
        <w:tc>
          <w:tcPr>
            <w:tcW w:w="10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$21,398,135</w:t>
            </w:r>
          </w:p>
        </w:tc>
        <w:tc>
          <w:tcPr>
            <w:tcW w:w="100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$16,981,250</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$0</w:t>
            </w:r>
          </w:p>
        </w:tc>
        <w:tc>
          <w:tcPr>
            <w:tcW w:w="220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$59,048,474</w:t>
            </w:r>
          </w:p>
        </w:tc>
        <w:tc>
          <w:tcPr>
            <w:tcW w:w="9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$623,346</w:t>
            </w:r>
          </w:p>
        </w:tc>
        <w:tc>
          <w:tcPr>
            <w:tcW w:w="84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$64,088,705</w:t>
            </w:r>
          </w:p>
        </w:tc>
      </w:tr>
      <w:tr>
        <w:trPr>
          <w:trHeight w:val="213"/>
        </w:trPr>
        <w:tc>
          <w:tcPr>
            <w:tcW w:w="380" w:type="dxa"/>
            <w:vAlign w:val="bottom"/>
          </w:tcPr>
          <w:p>
            <w:pPr>
              <w:spacing w:after="0"/>
              <w:rPr>
                <w:sz w:val="20"/>
                <w:szCs w:val="20"/>
                <w:color w:val="auto"/>
              </w:rPr>
            </w:pPr>
            <w:r>
              <w:rPr>
                <w:rFonts w:ascii="Arial" w:cs="Arial" w:eastAsia="Arial" w:hAnsi="Arial"/>
                <w:sz w:val="12"/>
                <w:szCs w:val="12"/>
                <w:color w:val="auto"/>
              </w:rPr>
              <w:t>2021</w:t>
            </w:r>
          </w:p>
        </w:tc>
        <w:tc>
          <w:tcPr>
            <w:tcW w:w="1040" w:type="dxa"/>
            <w:vAlign w:val="bottom"/>
          </w:tcPr>
          <w:p>
            <w:pPr>
              <w:jc w:val="center"/>
              <w:spacing w:after="0"/>
              <w:rPr>
                <w:sz w:val="20"/>
                <w:szCs w:val="20"/>
                <w:color w:val="auto"/>
              </w:rPr>
            </w:pPr>
            <w:r>
              <w:rPr>
                <w:rFonts w:ascii="Arial" w:cs="Arial" w:eastAsia="Arial" w:hAnsi="Arial"/>
                <w:sz w:val="12"/>
                <w:szCs w:val="12"/>
                <w:color w:val="auto"/>
              </w:rPr>
              <w:t>$21,509,985</w:t>
            </w:r>
          </w:p>
        </w:tc>
        <w:tc>
          <w:tcPr>
            <w:tcW w:w="1000" w:type="dxa"/>
            <w:vAlign w:val="bottom"/>
          </w:tcPr>
          <w:p>
            <w:pPr>
              <w:jc w:val="center"/>
              <w:spacing w:after="0"/>
              <w:rPr>
                <w:sz w:val="20"/>
                <w:szCs w:val="20"/>
                <w:color w:val="auto"/>
              </w:rPr>
            </w:pPr>
            <w:r>
              <w:rPr>
                <w:rFonts w:ascii="Arial" w:cs="Arial" w:eastAsia="Arial" w:hAnsi="Arial"/>
                <w:sz w:val="12"/>
                <w:szCs w:val="12"/>
                <w:color w:val="auto"/>
              </w:rPr>
              <w:t>$14,966,000</w:t>
            </w:r>
          </w:p>
        </w:tc>
        <w:tc>
          <w:tcPr>
            <w:tcW w:w="1340" w:type="dxa"/>
            <w:vAlign w:val="bottom"/>
          </w:tcPr>
          <w:p>
            <w:pPr>
              <w:jc w:val="center"/>
              <w:spacing w:after="0"/>
              <w:rPr>
                <w:sz w:val="20"/>
                <w:szCs w:val="20"/>
                <w:color w:val="auto"/>
              </w:rPr>
            </w:pPr>
            <w:r>
              <w:rPr>
                <w:rFonts w:ascii="Arial" w:cs="Arial" w:eastAsia="Arial" w:hAnsi="Arial"/>
                <w:sz w:val="12"/>
                <w:szCs w:val="12"/>
                <w:color w:val="auto"/>
              </w:rPr>
              <w:t>$2,442,235</w:t>
            </w:r>
          </w:p>
        </w:tc>
        <w:tc>
          <w:tcPr>
            <w:tcW w:w="2200" w:type="dxa"/>
            <w:vAlign w:val="bottom"/>
          </w:tcPr>
          <w:p>
            <w:pPr>
              <w:jc w:val="center"/>
              <w:spacing w:after="0"/>
              <w:rPr>
                <w:sz w:val="20"/>
                <w:szCs w:val="20"/>
                <w:color w:val="auto"/>
              </w:rPr>
            </w:pPr>
            <w:r>
              <w:rPr>
                <w:rFonts w:ascii="Arial" w:cs="Arial" w:eastAsia="Arial" w:hAnsi="Arial"/>
                <w:sz w:val="12"/>
                <w:szCs w:val="12"/>
                <w:color w:val="auto"/>
              </w:rPr>
              <w:t>$70,922,494</w:t>
            </w:r>
          </w:p>
        </w:tc>
        <w:tc>
          <w:tcPr>
            <w:tcW w:w="940" w:type="dxa"/>
            <w:vAlign w:val="bottom"/>
          </w:tcPr>
          <w:p>
            <w:pPr>
              <w:jc w:val="center"/>
              <w:spacing w:after="0"/>
              <w:rPr>
                <w:sz w:val="20"/>
                <w:szCs w:val="20"/>
                <w:color w:val="auto"/>
              </w:rPr>
            </w:pPr>
            <w:r>
              <w:rPr>
                <w:rFonts w:ascii="Arial" w:cs="Arial" w:eastAsia="Arial" w:hAnsi="Arial"/>
                <w:sz w:val="12"/>
                <w:szCs w:val="12"/>
                <w:color w:val="auto"/>
              </w:rPr>
              <w:t>$680,872</w:t>
            </w:r>
          </w:p>
        </w:tc>
        <w:tc>
          <w:tcPr>
            <w:tcW w:w="840" w:type="dxa"/>
            <w:vAlign w:val="bottom"/>
          </w:tcPr>
          <w:p>
            <w:pPr>
              <w:jc w:val="center"/>
              <w:spacing w:after="0"/>
              <w:rPr>
                <w:sz w:val="20"/>
                <w:szCs w:val="20"/>
                <w:color w:val="auto"/>
              </w:rPr>
            </w:pPr>
            <w:r>
              <w:rPr>
                <w:rFonts w:ascii="Arial" w:cs="Arial" w:eastAsia="Arial" w:hAnsi="Arial"/>
                <w:sz w:val="12"/>
                <w:szCs w:val="12"/>
                <w:color w:val="auto"/>
              </w:rPr>
              <w:t>$75,705,116</w:t>
            </w:r>
          </w:p>
        </w:tc>
      </w:tr>
      <w:tr>
        <w:trPr>
          <w:trHeight w:val="223"/>
        </w:trPr>
        <w:tc>
          <w:tcPr>
            <w:tcW w:w="38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2"/>
                <w:szCs w:val="12"/>
                <w:color w:val="auto"/>
              </w:rPr>
              <w:t>2020</w:t>
            </w:r>
          </w:p>
        </w:tc>
        <w:tc>
          <w:tcPr>
            <w:tcW w:w="10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$23,708,629</w:t>
            </w:r>
          </w:p>
        </w:tc>
        <w:tc>
          <w:tcPr>
            <w:tcW w:w="10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$13,587,500</w:t>
            </w:r>
          </w:p>
        </w:tc>
        <w:tc>
          <w:tcPr>
            <w:tcW w:w="13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$5,883,924</w:t>
            </w:r>
          </w:p>
        </w:tc>
        <w:tc>
          <w:tcPr>
            <w:tcW w:w="22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$46,356,324</w:t>
            </w:r>
          </w:p>
        </w:tc>
        <w:tc>
          <w:tcPr>
            <w:tcW w:w="9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$660,302</w:t>
            </w:r>
          </w:p>
        </w:tc>
        <w:tc>
          <w:tcPr>
            <w:tcW w:w="8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$51,253,831</w:t>
            </w:r>
          </w:p>
        </w:tc>
      </w:tr>
    </w:tbl>
    <w:p>
      <w:pPr>
        <w:spacing w:after="0" w:line="62" w:lineRule="exact"/>
        <w:rPr>
          <w:sz w:val="20"/>
          <w:szCs w:val="20"/>
          <w:color w:val="auto"/>
        </w:rPr>
      </w:pPr>
    </w:p>
    <w:p>
      <w:pPr>
        <w:ind w:left="67" w:hanging="67"/>
        <w:spacing w:after="0"/>
        <w:tabs>
          <w:tab w:leader="none" w:pos="67" w:val="left"/>
        </w:tabs>
        <w:numPr>
          <w:ilvl w:val="0"/>
          <w:numId w:val="181"/>
        </w:numPr>
        <w:rPr>
          <w:rFonts w:ascii="Arial" w:cs="Arial" w:eastAsia="Arial" w:hAnsi="Arial"/>
          <w:sz w:val="8"/>
          <w:szCs w:val="8"/>
          <w:color w:val="auto"/>
        </w:rPr>
      </w:pPr>
      <w:r>
        <w:rPr>
          <w:rFonts w:ascii="Arial" w:cs="Arial" w:eastAsia="Arial" w:hAnsi="Arial"/>
          <w:sz w:val="12"/>
          <w:szCs w:val="12"/>
          <w:color w:val="auto"/>
        </w:rPr>
        <w:t>The average non-PEO NEO Summary Compensation Table to CAP reconciliation is summarized in the following table:</w:t>
      </w:r>
    </w:p>
    <w:p>
      <w:pPr>
        <w:spacing w:after="0" w:line="360"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7"/>
          </w:cols>
          <w:pgMar w:left="313" w:top="686" w:right="399" w:bottom="1440" w:gutter="0" w:footer="0" w:header="0"/>
        </w:sectPr>
      </w:pPr>
    </w:p>
    <w:bookmarkStart w:id="84" w:name="page85"/>
    <w:bookmarkEnd w:id="84"/>
    <w:tbl>
      <w:tblPr>
        <w:tblLayout w:type="fixed"/>
        <w:tblInd w:w="147" w:type="dxa"/>
        <w:tblCellMar>
          <w:top w:w="0" w:type="dxa"/>
          <w:left w:w="0" w:type="dxa"/>
          <w:bottom w:w="0" w:type="dxa"/>
          <w:right w:w="0" w:type="dxa"/>
        </w:tblCellMar>
      </w:tblPr>
      <w:tr>
        <w:trPr>
          <w:trHeight w:val="152"/>
        </w:trPr>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Change in value of prior year’s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Summary</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Compensation Table</w:t>
            </w: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awards unvested on 31-Dec-2022</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Service Cost</w:t>
            </w:r>
          </w:p>
        </w:tc>
        <w:tc>
          <w:tcPr>
            <w:tcW w:w="84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Non-PEO</w:t>
            </w: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Change in Pension</w:t>
            </w: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plus change in value of prior year’s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for each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Table Total</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Table Equity</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rPr>
              <w:t>Value</w:t>
            </w: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awards that vested in FY 2022</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calendar year</w:t>
            </w:r>
          </w:p>
        </w:tc>
        <w:tc>
          <w:tcPr>
            <w:tcW w:w="840" w:type="dxa"/>
            <w:vAlign w:val="bottom"/>
          </w:tcPr>
          <w:p>
            <w:pPr>
              <w:jc w:val="right"/>
              <w:ind w:right="78"/>
              <w:spacing w:after="0"/>
              <w:rPr>
                <w:sz w:val="20"/>
                <w:szCs w:val="20"/>
                <w:color w:val="auto"/>
              </w:rPr>
            </w:pPr>
            <w:r>
              <w:rPr>
                <w:rFonts w:ascii="Arial" w:cs="Arial" w:eastAsia="Arial" w:hAnsi="Arial"/>
                <w:sz w:val="12"/>
                <w:szCs w:val="12"/>
                <w:b w:val="1"/>
                <w:bCs w:val="1"/>
                <w:color w:val="auto"/>
              </w:rPr>
              <w:t>NEO CAP</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2"/>
                <w:szCs w:val="12"/>
                <w:i w:val="1"/>
                <w:iCs w:val="1"/>
                <w:color w:val="D52B1E"/>
                <w:w w:val="89"/>
              </w:rPr>
              <w:t>a</w:t>
            </w:r>
          </w:p>
        </w:tc>
        <w:tc>
          <w:tcPr>
            <w:tcW w:w="980" w:type="dxa"/>
            <w:vAlign w:val="bottom"/>
          </w:tcPr>
          <w:p>
            <w:pPr>
              <w:jc w:val="center"/>
              <w:spacing w:after="0"/>
              <w:rPr>
                <w:sz w:val="20"/>
                <w:szCs w:val="20"/>
                <w:color w:val="auto"/>
              </w:rPr>
            </w:pPr>
            <w:r>
              <w:rPr>
                <w:rFonts w:ascii="Arial" w:cs="Arial" w:eastAsia="Arial" w:hAnsi="Arial"/>
                <w:sz w:val="12"/>
                <w:szCs w:val="12"/>
                <w:i w:val="1"/>
                <w:iCs w:val="1"/>
                <w:color w:val="D52B1E"/>
              </w:rPr>
              <w:t>b</w:t>
            </w:r>
          </w:p>
        </w:tc>
        <w:tc>
          <w:tcPr>
            <w:tcW w:w="1340" w:type="dxa"/>
            <w:vAlign w:val="bottom"/>
          </w:tcPr>
          <w:p>
            <w:pPr>
              <w:jc w:val="center"/>
              <w:spacing w:after="0"/>
              <w:rPr>
                <w:sz w:val="20"/>
                <w:szCs w:val="20"/>
                <w:color w:val="auto"/>
              </w:rPr>
            </w:pPr>
            <w:r>
              <w:rPr>
                <w:rFonts w:ascii="Arial" w:cs="Arial" w:eastAsia="Arial" w:hAnsi="Arial"/>
                <w:sz w:val="12"/>
                <w:szCs w:val="12"/>
                <w:i w:val="1"/>
                <w:iCs w:val="1"/>
                <w:color w:val="D52B1E"/>
                <w:w w:val="99"/>
              </w:rPr>
              <w:t>c</w:t>
            </w:r>
          </w:p>
        </w:tc>
        <w:tc>
          <w:tcPr>
            <w:tcW w:w="2220" w:type="dxa"/>
            <w:vAlign w:val="bottom"/>
          </w:tcPr>
          <w:p>
            <w:pPr>
              <w:jc w:val="center"/>
              <w:spacing w:after="0"/>
              <w:rPr>
                <w:sz w:val="20"/>
                <w:szCs w:val="20"/>
                <w:color w:val="auto"/>
              </w:rPr>
            </w:pPr>
            <w:r>
              <w:rPr>
                <w:rFonts w:ascii="Arial" w:cs="Arial" w:eastAsia="Arial" w:hAnsi="Arial"/>
                <w:sz w:val="12"/>
                <w:szCs w:val="12"/>
                <w:i w:val="1"/>
                <w:iCs w:val="1"/>
                <w:color w:val="D52B1E"/>
                <w:w w:val="89"/>
              </w:rPr>
              <w:t>d</w:t>
            </w:r>
          </w:p>
        </w:tc>
        <w:tc>
          <w:tcPr>
            <w:tcW w:w="940" w:type="dxa"/>
            <w:vAlign w:val="bottom"/>
          </w:tcPr>
          <w:p>
            <w:pPr>
              <w:jc w:val="center"/>
              <w:spacing w:after="0"/>
              <w:rPr>
                <w:sz w:val="20"/>
                <w:szCs w:val="20"/>
                <w:color w:val="auto"/>
              </w:rPr>
            </w:pPr>
            <w:r>
              <w:rPr>
                <w:rFonts w:ascii="Arial" w:cs="Arial" w:eastAsia="Arial" w:hAnsi="Arial"/>
                <w:sz w:val="12"/>
                <w:szCs w:val="12"/>
                <w:i w:val="1"/>
                <w:iCs w:val="1"/>
                <w:color w:val="D52B1E"/>
                <w:w w:val="89"/>
              </w:rPr>
              <w:t>e</w:t>
            </w:r>
          </w:p>
        </w:tc>
        <w:tc>
          <w:tcPr>
            <w:tcW w:w="840" w:type="dxa"/>
            <w:vAlign w:val="bottom"/>
          </w:tcPr>
          <w:p>
            <w:pPr>
              <w:jc w:val="right"/>
              <w:ind w:right="78"/>
              <w:spacing w:after="0"/>
              <w:rPr>
                <w:sz w:val="20"/>
                <w:szCs w:val="20"/>
                <w:color w:val="auto"/>
              </w:rPr>
            </w:pPr>
            <w:r>
              <w:rPr>
                <w:rFonts w:ascii="Arial" w:cs="Arial" w:eastAsia="Arial" w:hAnsi="Arial"/>
                <w:sz w:val="12"/>
                <w:szCs w:val="12"/>
                <w:i w:val="1"/>
                <w:iCs w:val="1"/>
                <w:color w:val="D52B1E"/>
              </w:rPr>
              <w:t>a-b-c+d+e</w:t>
            </w:r>
          </w:p>
        </w:tc>
        <w:tc>
          <w:tcPr>
            <w:tcW w:w="0" w:type="dxa"/>
            <w:vAlign w:val="bottom"/>
          </w:tcPr>
          <w:p>
            <w:pPr>
              <w:spacing w:after="0"/>
              <w:rPr>
                <w:sz w:val="1"/>
                <w:szCs w:val="1"/>
                <w:color w:val="auto"/>
              </w:rPr>
            </w:pPr>
          </w:p>
        </w:tc>
      </w:tr>
      <w:tr>
        <w:trPr>
          <w:trHeight w:val="30"/>
        </w:trPr>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2022</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$5,769,810</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$3,553,000</w:t>
            </w:r>
          </w:p>
        </w:tc>
        <w:tc>
          <w:tcPr>
            <w:tcW w:w="13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$93,171</w:t>
            </w:r>
          </w:p>
        </w:tc>
        <w:tc>
          <w:tcPr>
            <w:tcW w:w="2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$11,584,337</w:t>
            </w:r>
          </w:p>
        </w:tc>
        <w:tc>
          <w:tcPr>
            <w:tcW w:w="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$185,293</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$13,893,269</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20"/>
                <w:szCs w:val="20"/>
                <w:color w:val="auto"/>
              </w:rPr>
            </w:pPr>
            <w:r>
              <w:rPr>
                <w:rFonts w:ascii="Arial" w:cs="Arial" w:eastAsia="Arial" w:hAnsi="Arial"/>
                <w:sz w:val="12"/>
                <w:szCs w:val="12"/>
                <w:color w:val="auto"/>
              </w:rPr>
              <w:t>2021</w:t>
            </w:r>
          </w:p>
        </w:tc>
        <w:tc>
          <w:tcPr>
            <w:tcW w:w="1040" w:type="dxa"/>
            <w:vAlign w:val="bottom"/>
          </w:tcPr>
          <w:p>
            <w:pPr>
              <w:jc w:val="center"/>
              <w:spacing w:after="0"/>
              <w:rPr>
                <w:sz w:val="20"/>
                <w:szCs w:val="20"/>
                <w:color w:val="auto"/>
              </w:rPr>
            </w:pPr>
            <w:r>
              <w:rPr>
                <w:rFonts w:ascii="Arial" w:cs="Arial" w:eastAsia="Arial" w:hAnsi="Arial"/>
                <w:sz w:val="12"/>
                <w:szCs w:val="12"/>
                <w:color w:val="auto"/>
              </w:rPr>
              <w:t>$4,730,690</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$3,115,360</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$159,911</w:t>
            </w:r>
          </w:p>
        </w:tc>
        <w:tc>
          <w:tcPr>
            <w:tcW w:w="2220" w:type="dxa"/>
            <w:vAlign w:val="bottom"/>
          </w:tcPr>
          <w:p>
            <w:pPr>
              <w:jc w:val="center"/>
              <w:spacing w:after="0"/>
              <w:rPr>
                <w:sz w:val="20"/>
                <w:szCs w:val="20"/>
                <w:color w:val="auto"/>
              </w:rPr>
            </w:pPr>
            <w:r>
              <w:rPr>
                <w:rFonts w:ascii="Arial" w:cs="Arial" w:eastAsia="Arial" w:hAnsi="Arial"/>
                <w:sz w:val="12"/>
                <w:szCs w:val="12"/>
                <w:color w:val="auto"/>
              </w:rPr>
              <w:t>$2,972,681</w:t>
            </w:r>
          </w:p>
        </w:tc>
        <w:tc>
          <w:tcPr>
            <w:tcW w:w="940" w:type="dxa"/>
            <w:vAlign w:val="bottom"/>
          </w:tcPr>
          <w:p>
            <w:pPr>
              <w:jc w:val="center"/>
              <w:spacing w:after="0"/>
              <w:rPr>
                <w:sz w:val="20"/>
                <w:szCs w:val="20"/>
                <w:color w:val="auto"/>
              </w:rPr>
            </w:pPr>
            <w:r>
              <w:rPr>
                <w:rFonts w:ascii="Arial" w:cs="Arial" w:eastAsia="Arial" w:hAnsi="Arial"/>
                <w:sz w:val="12"/>
                <w:szCs w:val="12"/>
                <w:color w:val="auto"/>
              </w:rPr>
              <w:t>$135,445</w:t>
            </w:r>
          </w:p>
        </w:tc>
        <w:tc>
          <w:tcPr>
            <w:tcW w:w="840" w:type="dxa"/>
            <w:vAlign w:val="bottom"/>
          </w:tcPr>
          <w:p>
            <w:pPr>
              <w:jc w:val="right"/>
              <w:spacing w:after="0"/>
              <w:rPr>
                <w:sz w:val="20"/>
                <w:szCs w:val="20"/>
                <w:color w:val="auto"/>
              </w:rPr>
            </w:pPr>
            <w:r>
              <w:rPr>
                <w:rFonts w:ascii="Arial" w:cs="Arial" w:eastAsia="Arial" w:hAnsi="Arial"/>
                <w:sz w:val="12"/>
                <w:szCs w:val="12"/>
                <w:color w:val="auto"/>
              </w:rPr>
              <w:t>$4,563,545</w:t>
            </w:r>
          </w:p>
        </w:tc>
        <w:tc>
          <w:tcPr>
            <w:tcW w:w="0" w:type="dxa"/>
            <w:vAlign w:val="bottom"/>
          </w:tcPr>
          <w:p>
            <w:pPr>
              <w:spacing w:after="0"/>
              <w:rPr>
                <w:sz w:val="1"/>
                <w:szCs w:val="1"/>
                <w:color w:val="auto"/>
              </w:rPr>
            </w:pPr>
          </w:p>
        </w:tc>
      </w:tr>
      <w:tr>
        <w:trPr>
          <w:trHeight w:val="42"/>
        </w:trPr>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2"/>
                <w:szCs w:val="12"/>
                <w:color w:val="auto"/>
              </w:rPr>
              <w:t>2020</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$6,787,934</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$3,665,898</w:t>
            </w:r>
          </w:p>
        </w:tc>
        <w:tc>
          <w:tcPr>
            <w:tcW w:w="13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$1,448,154</w:t>
            </w:r>
          </w:p>
        </w:tc>
        <w:tc>
          <w:tcPr>
            <w:tcW w:w="2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$8,871,572</w:t>
            </w:r>
          </w:p>
        </w:tc>
        <w:tc>
          <w:tcPr>
            <w:tcW w:w="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color w:val="auto"/>
              </w:rPr>
              <w:t>$187,254</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$10,732,708</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wp:posOffset>
            </wp:positionH>
            <wp:positionV relativeFrom="page">
              <wp:posOffset>459740</wp:posOffset>
            </wp:positionV>
            <wp:extent cx="4932680" cy="762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4932680" cy="7620"/>
                    </a:xfrm>
                    <a:prstGeom prst="rect">
                      <a:avLst/>
                    </a:prstGeom>
                    <a:noFill/>
                  </pic:spPr>
                </pic:pic>
              </a:graphicData>
            </a:graphic>
          </wp:anchor>
        </w:drawing>
      </w:r>
    </w:p>
    <w:p>
      <w:pPr>
        <w:ind w:left="147" w:right="180" w:hanging="147"/>
        <w:spacing w:after="0" w:line="227" w:lineRule="auto"/>
        <w:tabs>
          <w:tab w:leader="none" w:pos="86" w:val="left"/>
        </w:tabs>
        <w:numPr>
          <w:ilvl w:val="0"/>
          <w:numId w:val="182"/>
        </w:numPr>
        <w:rPr>
          <w:rFonts w:ascii="Arial" w:cs="Arial" w:eastAsia="Arial" w:hAnsi="Arial"/>
          <w:sz w:val="16"/>
          <w:szCs w:val="16"/>
          <w:color w:val="auto"/>
          <w:vertAlign w:val="superscript"/>
        </w:rPr>
      </w:pPr>
      <w:r>
        <w:rPr>
          <w:rFonts w:ascii="Arial" w:cs="Arial" w:eastAsia="Arial" w:hAnsi="Arial"/>
          <w:sz w:val="12"/>
          <w:szCs w:val="12"/>
          <w:color w:val="auto"/>
        </w:rPr>
        <w:t>The peer group used for calculating Peer Group Total Shareholder Return is the same peer group used by the company for benchmarking compensation, setting the growth goals for the performance award and for determining relative total shareholder return performance for the relative value award.</w:t>
      </w:r>
    </w:p>
    <w:p>
      <w:pPr>
        <w:spacing w:after="0" w:line="34" w:lineRule="exact"/>
        <w:rPr>
          <w:sz w:val="20"/>
          <w:szCs w:val="20"/>
          <w:color w:val="auto"/>
        </w:rPr>
      </w:pPr>
    </w:p>
    <w:p>
      <w:pPr>
        <w:ind w:left="147" w:right="60" w:hanging="147"/>
        <w:spacing w:after="0" w:line="301" w:lineRule="auto"/>
        <w:tabs>
          <w:tab w:leader="none" w:pos="86" w:val="left"/>
        </w:tabs>
        <w:numPr>
          <w:ilvl w:val="0"/>
          <w:numId w:val="183"/>
        </w:numPr>
        <w:rPr>
          <w:rFonts w:ascii="Arial" w:cs="Arial" w:eastAsia="Arial" w:hAnsi="Arial"/>
          <w:sz w:val="8"/>
          <w:szCs w:val="8"/>
          <w:color w:val="auto"/>
        </w:rPr>
      </w:pPr>
      <w:r>
        <w:rPr>
          <w:rFonts w:ascii="Arial" w:cs="Arial" w:eastAsia="Arial" w:hAnsi="Arial"/>
          <w:sz w:val="12"/>
          <w:szCs w:val="12"/>
          <w:color w:val="auto"/>
        </w:rPr>
        <w:t xml:space="preserve">For pay versus performance analysis, adjusted non-GAAP EPS aligns with the adjusted non-GAAP EPS values for performance awards in </w:t>
      </w:r>
      <w:r>
        <w:rPr>
          <w:rFonts w:ascii="Arial" w:cs="Arial" w:eastAsia="Arial" w:hAnsi="Arial"/>
          <w:sz w:val="12"/>
          <w:szCs w:val="12"/>
          <w:u w:val="single" w:color="auto"/>
          <w:color w:val="0000FF"/>
        </w:rPr>
        <w:t>Appendix A, “Summary of Adjustments Related to the Annual</w:t>
      </w:r>
      <w:r>
        <w:rPr>
          <w:rFonts w:ascii="Arial" w:cs="Arial" w:eastAsia="Arial" w:hAnsi="Arial"/>
          <w:sz w:val="12"/>
          <w:szCs w:val="12"/>
          <w:color w:val="auto"/>
        </w:rPr>
        <w:t xml:space="preserve"> </w:t>
      </w:r>
      <w:r>
        <w:rPr>
          <w:rFonts w:ascii="Arial" w:cs="Arial" w:eastAsia="Arial" w:hAnsi="Arial"/>
          <w:sz w:val="12"/>
          <w:szCs w:val="12"/>
          <w:u w:val="single" w:color="auto"/>
          <w:color w:val="0000FF"/>
        </w:rPr>
        <w:t>Cash Bonus and Performance Award</w:t>
      </w:r>
      <w:r>
        <w:rPr>
          <w:rFonts w:ascii="Arial" w:cs="Arial" w:eastAsia="Arial" w:hAnsi="Arial"/>
          <w:sz w:val="12"/>
          <w:szCs w:val="12"/>
          <w:color w:val="000000"/>
        </w:rPr>
        <w:t>.”</w:t>
      </w:r>
    </w:p>
    <w:p>
      <w:pPr>
        <w:ind w:left="87" w:hanging="87"/>
        <w:spacing w:after="0" w:line="220" w:lineRule="auto"/>
        <w:tabs>
          <w:tab w:leader="none" w:pos="87" w:val="left"/>
        </w:tabs>
        <w:numPr>
          <w:ilvl w:val="0"/>
          <w:numId w:val="184"/>
        </w:numPr>
        <w:rPr>
          <w:rFonts w:ascii="Arial" w:cs="Arial" w:eastAsia="Arial" w:hAnsi="Arial"/>
          <w:sz w:val="16"/>
          <w:szCs w:val="16"/>
          <w:color w:val="auto"/>
          <w:vertAlign w:val="superscript"/>
        </w:rPr>
      </w:pPr>
      <w:r>
        <w:rPr>
          <w:rFonts w:ascii="Arial" w:cs="Arial" w:eastAsia="Arial" w:hAnsi="Arial"/>
          <w:sz w:val="12"/>
          <w:szCs w:val="12"/>
          <w:color w:val="auto"/>
        </w:rPr>
        <w:t>The average CAP for 2022 comprised compensation for Ms. Ashkenazi, Dr. Skovronsky, Ms. Hakim and Mr. Jonsson.</w:t>
      </w:r>
    </w:p>
    <w:p>
      <w:pPr>
        <w:spacing w:after="0" w:line="39" w:lineRule="exact"/>
        <w:rPr>
          <w:sz w:val="20"/>
          <w:szCs w:val="20"/>
          <w:color w:val="auto"/>
        </w:rPr>
      </w:pPr>
    </w:p>
    <w:p>
      <w:pPr>
        <w:ind w:left="147" w:right="100" w:hanging="147"/>
        <w:spacing w:after="0" w:line="223" w:lineRule="auto"/>
        <w:tabs>
          <w:tab w:leader="none" w:pos="86" w:val="left"/>
        </w:tabs>
        <w:numPr>
          <w:ilvl w:val="0"/>
          <w:numId w:val="185"/>
        </w:numPr>
        <w:rPr>
          <w:rFonts w:ascii="Arial" w:cs="Arial" w:eastAsia="Arial" w:hAnsi="Arial"/>
          <w:sz w:val="16"/>
          <w:szCs w:val="16"/>
          <w:color w:val="auto"/>
          <w:vertAlign w:val="superscript"/>
        </w:rPr>
      </w:pPr>
      <w:r>
        <w:rPr>
          <w:rFonts w:ascii="Arial" w:cs="Arial" w:eastAsia="Arial" w:hAnsi="Arial"/>
          <w:sz w:val="12"/>
          <w:szCs w:val="12"/>
          <w:color w:val="auto"/>
        </w:rPr>
        <w:t>The average CAP for 2021 comprised compensation for Ms. Ashkenazi, Dr. Skovronsky, Mr. Van Naarden, Mr. Rau, and Mr. Smiley. Ms. Ashkenazi succeeded Mr. Smiley as CFO on February 9, 2021 when Mr. Smiley resigned his position.</w:t>
      </w:r>
    </w:p>
    <w:p>
      <w:pPr>
        <w:spacing w:after="0" w:line="35" w:lineRule="exact"/>
        <w:rPr>
          <w:sz w:val="20"/>
          <w:szCs w:val="20"/>
          <w:color w:val="auto"/>
        </w:rPr>
      </w:pPr>
    </w:p>
    <w:p>
      <w:pPr>
        <w:ind w:left="87" w:hanging="87"/>
        <w:spacing w:after="0"/>
        <w:tabs>
          <w:tab w:leader="none" w:pos="87" w:val="left"/>
        </w:tabs>
        <w:numPr>
          <w:ilvl w:val="0"/>
          <w:numId w:val="186"/>
        </w:numPr>
        <w:rPr>
          <w:rFonts w:ascii="Arial" w:cs="Arial" w:eastAsia="Arial" w:hAnsi="Arial"/>
          <w:sz w:val="8"/>
          <w:szCs w:val="8"/>
          <w:color w:val="auto"/>
        </w:rPr>
      </w:pPr>
      <w:r>
        <w:rPr>
          <w:rFonts w:ascii="Arial" w:cs="Arial" w:eastAsia="Arial" w:hAnsi="Arial"/>
          <w:sz w:val="12"/>
          <w:szCs w:val="12"/>
          <w:color w:val="auto"/>
        </w:rPr>
        <w:t>The average CAP for 2020 comprised compensation for Mr. Smiley, Dr. Skovronsky, Ms. Hakim and Mr. Zulueta.</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Pay versus Performance: Most Important Measures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measures most important in determining pay during 2022 were those most heavily weighted in our long-term incentive and annual bonus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114935</wp:posOffset>
            </wp:positionV>
            <wp:extent cx="1995170" cy="762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995170" cy="7620"/>
                    </a:xfrm>
                    <a:prstGeom prst="rect">
                      <a:avLst/>
                    </a:prstGeom>
                    <a:noFill/>
                  </pic:spPr>
                </pic:pic>
              </a:graphicData>
            </a:graphic>
          </wp:anchor>
        </w:drawing>
      </w:r>
    </w:p>
    <w:p>
      <w:pPr>
        <w:spacing w:after="0" w:line="180" w:lineRule="exact"/>
        <w:rPr>
          <w:sz w:val="20"/>
          <w:szCs w:val="20"/>
          <w:color w:val="auto"/>
        </w:rPr>
      </w:pPr>
    </w:p>
    <w:p>
      <w:pPr>
        <w:jc w:val="center"/>
        <w:ind w:right="3313"/>
        <w:spacing w:after="0"/>
        <w:rPr>
          <w:sz w:val="20"/>
          <w:szCs w:val="20"/>
          <w:color w:val="auto"/>
        </w:rPr>
      </w:pPr>
      <w:r>
        <w:rPr>
          <w:rFonts w:ascii="Arial" w:cs="Arial" w:eastAsia="Arial" w:hAnsi="Arial"/>
          <w:sz w:val="16"/>
          <w:szCs w:val="16"/>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27305</wp:posOffset>
            </wp:positionV>
            <wp:extent cx="1995170" cy="4527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995170" cy="452755"/>
                    </a:xfrm>
                    <a:prstGeom prst="rect">
                      <a:avLst/>
                    </a:prstGeom>
                    <a:noFill/>
                  </pic:spPr>
                </pic:pic>
              </a:graphicData>
            </a:graphic>
          </wp:anchor>
        </w:drawing>
      </w:r>
    </w:p>
    <w:p>
      <w:pPr>
        <w:spacing w:after="0" w:line="43" w:lineRule="exact"/>
        <w:rPr>
          <w:sz w:val="20"/>
          <w:szCs w:val="20"/>
          <w:color w:val="auto"/>
        </w:rPr>
      </w:pPr>
    </w:p>
    <w:p>
      <w:pPr>
        <w:jc w:val="center"/>
        <w:ind w:right="3313"/>
        <w:spacing w:after="0"/>
        <w:rPr>
          <w:sz w:val="20"/>
          <w:szCs w:val="20"/>
          <w:color w:val="auto"/>
        </w:rPr>
      </w:pPr>
      <w:r>
        <w:rPr>
          <w:rFonts w:ascii="Arial" w:cs="Arial" w:eastAsia="Arial" w:hAnsi="Arial"/>
          <w:sz w:val="16"/>
          <w:szCs w:val="16"/>
          <w:color w:val="auto"/>
        </w:rPr>
        <w:t>Adjusted non-GAAP EPS</w:t>
      </w:r>
      <w:r>
        <w:rPr>
          <w:rFonts w:ascii="Arial" w:cs="Arial" w:eastAsia="Arial" w:hAnsi="Arial"/>
          <w:sz w:val="20"/>
          <w:szCs w:val="20"/>
          <w:color w:val="auto"/>
          <w:vertAlign w:val="superscript"/>
        </w:rPr>
        <w:t>1</w:t>
      </w:r>
    </w:p>
    <w:p>
      <w:pPr>
        <w:spacing w:after="0" w:line="18" w:lineRule="exact"/>
        <w:rPr>
          <w:sz w:val="20"/>
          <w:szCs w:val="20"/>
          <w:color w:val="auto"/>
        </w:rPr>
      </w:pPr>
    </w:p>
    <w:p>
      <w:pPr>
        <w:jc w:val="center"/>
        <w:ind w:right="3313"/>
        <w:spacing w:after="0"/>
        <w:rPr>
          <w:sz w:val="20"/>
          <w:szCs w:val="20"/>
          <w:color w:val="auto"/>
        </w:rPr>
      </w:pPr>
      <w:r>
        <w:rPr>
          <w:rFonts w:ascii="Arial" w:cs="Arial" w:eastAsia="Arial" w:hAnsi="Arial"/>
          <w:sz w:val="16"/>
          <w:szCs w:val="16"/>
          <w:color w:val="auto"/>
        </w:rPr>
        <w:t>Total Shareholder Return</w:t>
      </w:r>
    </w:p>
    <w:p>
      <w:pPr>
        <w:spacing w:after="0" w:line="36" w:lineRule="exact"/>
        <w:rPr>
          <w:sz w:val="20"/>
          <w:szCs w:val="20"/>
          <w:color w:val="auto"/>
        </w:rPr>
      </w:pPr>
    </w:p>
    <w:p>
      <w:pPr>
        <w:jc w:val="center"/>
        <w:ind w:right="3313"/>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26035</wp:posOffset>
            </wp:positionV>
            <wp:extent cx="1995170" cy="762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995170" cy="7620"/>
                    </a:xfrm>
                    <a:prstGeom prst="rect">
                      <a:avLst/>
                    </a:prstGeom>
                    <a:noFill/>
                  </pic:spPr>
                </pic:pic>
              </a:graphicData>
            </a:graphic>
          </wp:anchor>
        </w:drawing>
      </w:r>
    </w:p>
    <w:p>
      <w:pPr>
        <w:spacing w:after="0" w:line="247" w:lineRule="exact"/>
        <w:rPr>
          <w:sz w:val="20"/>
          <w:szCs w:val="20"/>
          <w:color w:val="auto"/>
        </w:rPr>
      </w:pPr>
    </w:p>
    <w:p>
      <w:pPr>
        <w:ind w:left="147" w:right="60" w:hanging="147"/>
        <w:spacing w:after="0" w:line="235" w:lineRule="auto"/>
        <w:tabs>
          <w:tab w:leader="none" w:pos="74" w:val="left"/>
        </w:tabs>
        <w:numPr>
          <w:ilvl w:val="0"/>
          <w:numId w:val="187"/>
        </w:numPr>
        <w:rPr>
          <w:rFonts w:ascii="Arial" w:cs="Arial" w:eastAsia="Arial" w:hAnsi="Arial"/>
          <w:sz w:val="16"/>
          <w:szCs w:val="16"/>
          <w:color w:val="auto"/>
          <w:vertAlign w:val="superscript"/>
        </w:rPr>
      </w:pPr>
      <w:r>
        <w:rPr>
          <w:rFonts w:ascii="Arial" w:cs="Arial" w:eastAsia="Arial" w:hAnsi="Arial"/>
          <w:sz w:val="12"/>
          <w:szCs w:val="12"/>
          <w:color w:val="auto"/>
        </w:rPr>
        <w:t xml:space="preserve">For pay versus performance analysis, adjusted non-GAAP EPS aligns with the adjusted non-GAAP EPS values for performance awards in </w:t>
      </w:r>
      <w:r>
        <w:rPr>
          <w:rFonts w:ascii="Arial" w:cs="Arial" w:eastAsia="Arial" w:hAnsi="Arial"/>
          <w:sz w:val="12"/>
          <w:szCs w:val="12"/>
          <w:u w:val="single" w:color="auto"/>
          <w:color w:val="0000FF"/>
        </w:rPr>
        <w:t>Appendix A, “Summary of Adjustments Related to the Annual</w:t>
      </w:r>
      <w:r>
        <w:rPr>
          <w:rFonts w:ascii="Arial" w:cs="Arial" w:eastAsia="Arial" w:hAnsi="Arial"/>
          <w:sz w:val="12"/>
          <w:szCs w:val="12"/>
          <w:color w:val="auto"/>
        </w:rPr>
        <w:t xml:space="preserve"> </w:t>
      </w:r>
      <w:r>
        <w:rPr>
          <w:rFonts w:ascii="Arial" w:cs="Arial" w:eastAsia="Arial" w:hAnsi="Arial"/>
          <w:sz w:val="12"/>
          <w:szCs w:val="12"/>
          <w:u w:val="single" w:color="auto"/>
          <w:color w:val="0000FF"/>
        </w:rPr>
        <w:t>Cash Bonus and Performance Award.</w:t>
      </w:r>
      <w:r>
        <w:rPr>
          <w:rFonts w:ascii="Arial" w:cs="Arial" w:eastAsia="Arial" w:hAnsi="Arial"/>
          <w:sz w:val="12"/>
          <w:szCs w:val="12"/>
          <w:color w:val="000000"/>
        </w:rPr>
        <w:t>”</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Pay versus Performance: Total Shareholder Return</w:t>
      </w:r>
    </w:p>
    <w:p>
      <w:pPr>
        <w:spacing w:after="0" w:line="57" w:lineRule="exact"/>
        <w:rPr>
          <w:sz w:val="20"/>
          <w:szCs w:val="20"/>
          <w:color w:val="auto"/>
        </w:rPr>
      </w:pPr>
    </w:p>
    <w:p>
      <w:pPr>
        <w:ind w:left="7" w:right="180"/>
        <w:spacing w:after="0" w:line="257" w:lineRule="auto"/>
        <w:rPr>
          <w:sz w:val="20"/>
          <w:szCs w:val="20"/>
          <w:color w:val="auto"/>
        </w:rPr>
      </w:pPr>
      <w:r>
        <w:rPr>
          <w:rFonts w:ascii="Arial" w:cs="Arial" w:eastAsia="Arial" w:hAnsi="Arial"/>
          <w:sz w:val="16"/>
          <w:szCs w:val="16"/>
          <w:color w:val="auto"/>
        </w:rPr>
        <w:t>Over the immediately preceding three-year period, the company’s total shareholder return (TSR) significantly exceeded the peer group’s TSR. The company’s chosen peer group is the same as the group used for benchmarking compensation, setting growth goals for the performance award and for determining relative TSR performance for the relative value award, which will pay out for the first time in early 2023.</w:t>
      </w:r>
    </w:p>
    <w:p>
      <w:pPr>
        <w:spacing w:after="0" w:line="98" w:lineRule="exact"/>
        <w:rPr>
          <w:sz w:val="20"/>
          <w:szCs w:val="20"/>
          <w:color w:val="auto"/>
        </w:rPr>
      </w:pPr>
    </w:p>
    <w:p>
      <w:pPr>
        <w:ind w:left="7"/>
        <w:spacing w:after="0" w:line="236" w:lineRule="auto"/>
        <w:rPr>
          <w:sz w:val="20"/>
          <w:szCs w:val="20"/>
          <w:color w:val="auto"/>
        </w:rPr>
      </w:pPr>
      <w:r>
        <w:rPr>
          <w:rFonts w:ascii="Arial" w:cs="Arial" w:eastAsia="Arial" w:hAnsi="Arial"/>
          <w:sz w:val="16"/>
          <w:szCs w:val="16"/>
          <w:color w:val="auto"/>
        </w:rPr>
        <w:t>Lilly’s relative TSR outperformance was likely substantially attributable to strong developments in our product pipeline and was a significant contributor to the PEO and non-PEOs’ compensation over the three-year period. While the PEO CAP grew with each successive year of TSR outperformance, the highest growth occurred during 2021 when Lilly’s TSR was 66 percent compared to 19 percent for the peer group. Non-PEO average CAP was impacted by the shifting of non-PEO membership by at least three members each year and the cancellation of compensation for the company's former CFO, who departed during the 2021 reporting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6"/>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7"/>
          </w:cols>
          <w:pgMar w:left="313" w:top="751" w:right="4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504190</wp:posOffset>
            </wp:positionV>
            <wp:extent cx="4984750" cy="256667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clrChange>
                        <a:clrFrom>
                          <a:srgbClr val="FFFFFF"/>
                        </a:clrFrom>
                        <a:clrTo>
                          <a:srgbClr val="FFFFFF">
                            <a:alpha val="0"/>
                          </a:srgbClr>
                        </a:clrTo>
                      </a:clrChange>
                      <a:extLst>
                        <a:ext uri="{28A0092B-C50C-407E-A947-70E740481C1C}"/>
                      </a:extLst>
                    </a:blip>
                    <a:srcRect/>
                    <a:stretch>
                      <a:fillRect/>
                    </a:stretch>
                  </pic:blipFill>
                  <pic:spPr bwMode="auto">
                    <a:xfrm>
                      <a:off x="0" y="0"/>
                      <a:ext cx="4984750" cy="256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Pay versus Performance: Net Income</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Lilly does not currently utilize GAAP or non-GAAP net income as a metric in any of its incentive programs; however, non-GAAP net income generally moves in a similar direction as our most important company selected measure (CSM), adjusted non-GAAP EPS. Generally, CAP is not heavily correlated with GAAP net income because GAAP net income includes certain items that the Talent and Compensation Committee believes are not reflective of the underlying performance of the business.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Talent and Compensation Committee believes non-GAAP net income better represents the operating performance of the company and is more correlated to CAP. For comparison purposes, the graph below reflects both GAAP net income and non-GAAP net income against PEO and average NEO CAP. For additional information on non-GAAP financial metrics, see </w:t>
      </w:r>
      <w:r>
        <w:rPr>
          <w:rFonts w:ascii="Arial" w:cs="Arial" w:eastAsia="Arial" w:hAnsi="Arial"/>
          <w:sz w:val="14"/>
          <w:szCs w:val="14"/>
          <w:u w:val="single" w:color="auto"/>
          <w:color w:val="0000FF"/>
        </w:rPr>
        <w:t>Appendix A, “Summary of Adjustments Related to the Annual Cash Bonus and Performance Award</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4984750" cy="251460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4984750" cy="251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 GAAP Net Income and non-GAAP Net Income are discrete outcomes. Trend lines added to depict alignment with PEO and average non-PEO CAP.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Pay versus Performance: Adjusted Non-GAAP EPS</w:t>
      </w:r>
    </w:p>
    <w:p>
      <w:pPr>
        <w:spacing w:after="0" w:line="5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Lilly has chosen adjusted non-GAAP EPS as its most important CSM. Lilly leverages annual non-GAAP EPS derived from the board-approved business plan to set targets for the Lilly bonus. Additionally, Lilly uses a non-GAAP EPS derived from the median external analyst anticipated two-year non-GAAP EPS growth for our peer group to set our growth goal for our performance award. While these two approaches differ in performance period duration and source of performance comparison, significant sustained profitability growth can contribute to higher total CAP as seen in the graphic below. For additional information on non-GAAP financial metrics, see </w:t>
      </w:r>
      <w:r>
        <w:rPr>
          <w:rFonts w:ascii="Arial" w:cs="Arial" w:eastAsia="Arial" w:hAnsi="Arial"/>
          <w:sz w:val="16"/>
          <w:szCs w:val="16"/>
          <w:u w:val="single" w:color="auto"/>
          <w:color w:val="0000FF"/>
        </w:rPr>
        <w:t>Appendix A, “Summary of Adjustments Related to the Annual Cash Bonus and Performance Award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4977130" cy="240347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4977130"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 Adjusted non-GAAP EPS data points are discrete outcomes. Trend lines added to depict alignment with PEO and average non-PEO CAP.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Pay versus Performance: Revenue</w:t>
      </w:r>
    </w:p>
    <w:p>
      <w:pPr>
        <w:spacing w:after="0" w:line="5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total revenue. A decline in product portfolio quality or effective launch execution reduces revenue. As such, revenue is one of our most important measures to ensure we are consistently growing the number of patients we serve. Our revenue curve over the preceding three-year period aligns with the growth in PEO and average non-PEO CAP.</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445135</wp:posOffset>
            </wp:positionV>
            <wp:extent cx="4984750" cy="23958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clrChange>
                        <a:clrFrom>
                          <a:srgbClr val="FFFFFF"/>
                        </a:clrFrom>
                        <a:clrTo>
                          <a:srgbClr val="FFFFFF">
                            <a:alpha val="0"/>
                          </a:srgbClr>
                        </a:clrTo>
                      </a:clrChange>
                      <a:extLst>
                        <a:ext uri="{28A0092B-C50C-407E-A947-70E740481C1C}"/>
                      </a:extLst>
                    </a:blip>
                    <a:srcRect/>
                    <a:stretch>
                      <a:fillRect/>
                    </a:stretch>
                  </pic:blipFill>
                  <pic:spPr bwMode="auto">
                    <a:xfrm>
                      <a:off x="0" y="0"/>
                      <a:ext cx="4984750"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Revenue data points are discrete outcomes. Trend lines added to depict alignment with PEO and average non-PEO CAP.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Pay versus Performance: Conclusions</w:t>
      </w:r>
    </w:p>
    <w:p>
      <w:pPr>
        <w:spacing w:after="0" w:line="5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Talent and Compensation Committee believes in pay for performance and has structured the Lilly compensation programs to reward leaders when the company is delivering strong results. Lilly has had strong cumulative TSR and EPS growth over the immediately preceding three-year period. As a result of this strong performance, shareholders have been rewarded with significant total stock returns and leadership has been rewarded with above target payouts from their incentive compensation programs.</w:t>
      </w:r>
    </w:p>
    <w:p>
      <w:pPr>
        <w:spacing w:after="0" w:line="292" w:lineRule="exact"/>
        <w:rPr>
          <w:sz w:val="20"/>
          <w:szCs w:val="20"/>
          <w:color w:val="auto"/>
        </w:rPr>
      </w:pPr>
    </w:p>
    <w:p>
      <w:pPr>
        <w:ind w:right="240"/>
        <w:spacing w:after="0" w:line="291" w:lineRule="auto"/>
        <w:rPr>
          <w:sz w:val="20"/>
          <w:szCs w:val="20"/>
          <w:color w:val="auto"/>
        </w:rPr>
      </w:pPr>
      <w:r>
        <w:rPr>
          <w:rFonts w:ascii="Arial" w:cs="Arial" w:eastAsia="Arial" w:hAnsi="Arial"/>
          <w:sz w:val="28"/>
          <w:szCs w:val="28"/>
          <w:b w:val="1"/>
          <w:bCs w:val="1"/>
          <w:color w:val="D52B1E"/>
        </w:rPr>
        <w:t>Item 3. Advisory Vote on Frequency of Future Advisory Votes on Named Executive Officer Compensation</w:t>
      </w:r>
    </w:p>
    <w:p>
      <w:pPr>
        <w:ind w:right="40"/>
        <w:spacing w:after="0" w:line="257" w:lineRule="auto"/>
        <w:rPr>
          <w:sz w:val="20"/>
          <w:szCs w:val="20"/>
          <w:color w:val="auto"/>
        </w:rPr>
      </w:pPr>
      <w:r>
        <w:rPr>
          <w:rFonts w:ascii="Arial" w:cs="Arial" w:eastAsia="Arial" w:hAnsi="Arial"/>
          <w:sz w:val="16"/>
          <w:szCs w:val="16"/>
          <w:color w:val="auto"/>
        </w:rPr>
        <w:t>Federal legislation enables the company’s shareholders to vote, on an advisory or non-binding basis, on how frequently they would like to cast an advisory vote on the compensation of our named executive officers. Shareholders may indicate whether they would prefer an advisory vote on named executive officer compensation every one, two or three years. Shareholders may also, if they wish, abstain from casting a vote on this proposal.</w:t>
      </w:r>
    </w:p>
    <w:p>
      <w:pPr>
        <w:spacing w:after="0" w:line="63" w:lineRule="exact"/>
        <w:rPr>
          <w:sz w:val="20"/>
          <w:szCs w:val="20"/>
          <w:color w:val="auto"/>
        </w:rPr>
      </w:pPr>
    </w:p>
    <w:p>
      <w:pPr>
        <w:spacing w:after="0" w:line="344" w:lineRule="auto"/>
        <w:rPr>
          <w:sz w:val="20"/>
          <w:szCs w:val="20"/>
          <w:color w:val="auto"/>
        </w:rPr>
      </w:pPr>
      <w:r>
        <w:rPr>
          <w:rFonts w:ascii="Arial" w:cs="Arial" w:eastAsia="Arial" w:hAnsi="Arial"/>
          <w:sz w:val="14"/>
          <w:szCs w:val="14"/>
          <w:color w:val="auto"/>
        </w:rPr>
        <w:t>We support advisory votes on named executive officer compensation every year, and they are currently occurring annually. We welcome shareholder input and believe that annual advisory votes on named executive officer compensation provide a meaningful way to continue dialogue with shareholders regarding this issue.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board is not bound by this advisory shareholder vote; however, it will give significant weight to shareholder preferences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4984750" cy="62293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4984750" cy="622935"/>
                    </a:xfrm>
                    <a:prstGeom prst="rect">
                      <a:avLst/>
                    </a:prstGeom>
                    <a:noFill/>
                  </pic:spPr>
                </pic:pic>
              </a:graphicData>
            </a:graphic>
          </wp:anchor>
        </w:drawing>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46" w:lineRule="exact"/>
        <w:rPr>
          <w:sz w:val="20"/>
          <w:szCs w:val="20"/>
          <w:color w:val="auto"/>
        </w:rPr>
      </w:pPr>
    </w:p>
    <w:p>
      <w:pPr>
        <w:ind w:left="160" w:right="3760"/>
        <w:spacing w:after="0" w:line="273"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an annual (</w:t>
      </w:r>
      <w:r>
        <w:rPr>
          <w:rFonts w:ascii="Arial" w:cs="Arial" w:eastAsia="Arial" w:hAnsi="Arial"/>
          <w:sz w:val="16"/>
          <w:szCs w:val="16"/>
          <w:b w:val="1"/>
          <w:bCs w:val="1"/>
          <w:color w:val="auto"/>
        </w:rPr>
        <w:t>1 YEAR</w:t>
      </w:r>
      <w:r>
        <w:rPr>
          <w:rFonts w:ascii="Arial" w:cs="Arial" w:eastAsia="Arial" w:hAnsi="Arial"/>
          <w:sz w:val="16"/>
          <w:szCs w:val="16"/>
          <w:color w:val="auto"/>
        </w:rPr>
        <w:t>) advisory vote on the compensation of the company’s named executive officers as disclosed in its proxy statements.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Audit Matters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rPr>
          <w:sz w:val="20"/>
          <w:szCs w:val="20"/>
          <w:color w:val="auto"/>
        </w:rPr>
      </w:pPr>
      <w:r>
        <w:rPr>
          <w:rFonts w:ascii="Arial" w:cs="Arial" w:eastAsia="Arial" w:hAnsi="Arial"/>
          <w:sz w:val="28"/>
          <w:szCs w:val="28"/>
          <w:b w:val="1"/>
          <w:bCs w:val="1"/>
          <w:color w:val="D52B1E"/>
        </w:rPr>
        <w:t>Item 4. Ratification of the Appointment of the Independent Auditor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Audit Committee Oversight of the Independent Auditor</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 w:cs="Arial" w:eastAsia="Arial" w:hAnsi="Arial"/>
          <w:sz w:val="16"/>
          <w:szCs w:val="16"/>
          <w:color w:val="D52B1E"/>
        </w:rPr>
        <w:t>lilly.com/leadership/governance</w:t>
      </w:r>
      <w:r>
        <w:rPr>
          <w:rFonts w:ascii="Arial" w:cs="Arial" w:eastAsia="Arial" w:hAnsi="Arial"/>
          <w:sz w:val="16"/>
          <w:szCs w:val="16"/>
          <w:color w:val="auto"/>
        </w:rPr>
        <w:t>.</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b w:val="1"/>
          <w:bCs w:val="1"/>
          <w:color w:val="auto"/>
        </w:rPr>
        <w:t xml:space="preserve">Evaluation Process: </w:t>
      </w:r>
      <w:r>
        <w:rPr>
          <w:rFonts w:ascii="Arial" w:cs="Arial" w:eastAsia="Arial" w:hAnsi="Arial"/>
          <w:sz w:val="15"/>
          <w:szCs w:val="15"/>
          <w:color w:val="auto"/>
        </w:rPr>
        <w:t>In connection with the decision regarding whether to reappoint the independent auditor each year (subject to shareholder ratification),</w:t>
      </w:r>
      <w:r>
        <w:rPr>
          <w:rFonts w:ascii="Arial" w:cs="Arial" w:eastAsia="Arial" w:hAnsi="Arial"/>
          <w:sz w:val="19"/>
          <w:szCs w:val="19"/>
          <w:b w:val="1"/>
          <w:bCs w:val="1"/>
          <w:color w:val="auto"/>
        </w:rPr>
        <w:t xml:space="preserve"> </w:t>
      </w:r>
      <w:r>
        <w:rPr>
          <w:rFonts w:ascii="Arial" w:cs="Arial" w:eastAsia="Arial" w:hAnsi="Arial"/>
          <w:sz w:val="15"/>
          <w:szCs w:val="15"/>
          <w:color w:val="auto"/>
        </w:rPr>
        <w:t>the Audit Committee assesses the independent auditor’s performance. This assessment includes:</w:t>
      </w:r>
    </w:p>
    <w:p>
      <w:pPr>
        <w:spacing w:after="0" w:line="2" w:lineRule="exact"/>
        <w:rPr>
          <w:sz w:val="20"/>
          <w:szCs w:val="20"/>
          <w:color w:val="auto"/>
        </w:rPr>
      </w:pPr>
    </w:p>
    <w:p>
      <w:pPr>
        <w:ind w:left="540" w:hanging="266"/>
        <w:spacing w:after="0"/>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independent auditor’s qualifications and experience;</w:t>
      </w:r>
    </w:p>
    <w:p>
      <w:pPr>
        <w:spacing w:after="0" w:line="49" w:lineRule="exact"/>
        <w:rPr>
          <w:rFonts w:ascii="Arial" w:cs="Arial" w:eastAsia="Arial" w:hAnsi="Arial"/>
          <w:sz w:val="16"/>
          <w:szCs w:val="16"/>
          <w:color w:val="auto"/>
        </w:rPr>
      </w:pPr>
    </w:p>
    <w:p>
      <w:pPr>
        <w:ind w:left="540" w:hanging="266"/>
        <w:spacing w:after="0"/>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communication and interactions with the auditor over the course of the year;</w:t>
      </w:r>
    </w:p>
    <w:p>
      <w:pPr>
        <w:spacing w:after="0" w:line="49" w:lineRule="exact"/>
        <w:rPr>
          <w:rFonts w:ascii="Arial" w:cs="Arial" w:eastAsia="Arial" w:hAnsi="Arial"/>
          <w:sz w:val="16"/>
          <w:szCs w:val="16"/>
          <w:color w:val="auto"/>
        </w:rPr>
      </w:pPr>
    </w:p>
    <w:p>
      <w:pPr>
        <w:ind w:left="540" w:hanging="266"/>
        <w:spacing w:after="0"/>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auditor’s independence, objectivity, and professional skepticism; and</w:t>
      </w:r>
    </w:p>
    <w:p>
      <w:pPr>
        <w:spacing w:after="0" w:line="49" w:lineRule="exact"/>
        <w:rPr>
          <w:rFonts w:ascii="Arial" w:cs="Arial" w:eastAsia="Arial" w:hAnsi="Arial"/>
          <w:sz w:val="16"/>
          <w:szCs w:val="16"/>
          <w:color w:val="auto"/>
        </w:rPr>
      </w:pPr>
    </w:p>
    <w:p>
      <w:pPr>
        <w:ind w:left="540" w:hanging="266"/>
        <w:spacing w:after="0"/>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independent auditor’s tenure.</w:t>
      </w:r>
    </w:p>
    <w:p>
      <w:pPr>
        <w:spacing w:after="0" w:line="143"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These criteria are assessed against an internal and an external scorecard and are discussed with management during a private session as well as in executive session.</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Based on the Audit Committee’s assessment of Ernst &amp; Young LLP’s (EY) performance during 2022, the Audit Committee believes that the continued retention of EY to serve as the company's independent auditor is in the best interests of the company and its shareholders and has therefore reappointed EY as the company’s independent auditor for 2023.</w:t>
      </w:r>
    </w:p>
    <w:p>
      <w:pPr>
        <w:spacing w:after="0" w:line="159"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b w:val="1"/>
          <w:bCs w:val="1"/>
          <w:color w:val="auto"/>
        </w:rPr>
        <w:t xml:space="preserve">Benefits of Longer Tenure: </w:t>
      </w:r>
      <w:r>
        <w:rPr>
          <w:rFonts w:ascii="Arial" w:cs="Arial" w:eastAsia="Arial" w:hAnsi="Arial"/>
          <w:sz w:val="15"/>
          <w:szCs w:val="15"/>
          <w:color w:val="auto"/>
        </w:rPr>
        <w:t>EY has served as the independent auditor for the company since 1940. There are several benefits of retaining a longer-tenured</w:t>
      </w:r>
      <w:r>
        <w:rPr>
          <w:rFonts w:ascii="Arial" w:cs="Arial" w:eastAsia="Arial" w:hAnsi="Arial"/>
          <w:sz w:val="19"/>
          <w:szCs w:val="19"/>
          <w:b w:val="1"/>
          <w:bCs w:val="1"/>
          <w:color w:val="auto"/>
        </w:rPr>
        <w:t xml:space="preserve"> </w:t>
      </w:r>
      <w:r>
        <w:rPr>
          <w:rFonts w:ascii="Arial" w:cs="Arial" w:eastAsia="Arial" w:hAnsi="Arial"/>
          <w:sz w:val="15"/>
          <w:szCs w:val="15"/>
          <w:color w:val="auto"/>
        </w:rPr>
        <w:t>independent auditor, including institutional knowledge and expertise regarding the company’s global operations, accounting policies and practices, and internal controls over financial reporting. In addition, audit and other fees are competitive with peer companies because of familiarity with the company and its operations.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 xml:space="preserve">EY’s Internal Independence Assessment: </w:t>
      </w:r>
      <w:r>
        <w:rPr>
          <w:rFonts w:ascii="Arial" w:cs="Arial" w:eastAsia="Arial" w:hAnsi="Arial"/>
          <w:sz w:val="15"/>
          <w:szCs w:val="15"/>
          <w:color w:val="auto"/>
        </w:rPr>
        <w:t>EY conducts periodic internal reviews of its audit and other work, assesses the adequacy of partners and</w:t>
      </w:r>
      <w:r>
        <w:rPr>
          <w:rFonts w:ascii="Arial" w:cs="Arial" w:eastAsia="Arial" w:hAnsi="Arial"/>
          <w:sz w:val="19"/>
          <w:szCs w:val="19"/>
          <w:b w:val="1"/>
          <w:bCs w:val="1"/>
          <w:color w:val="auto"/>
        </w:rPr>
        <w:t xml:space="preserve"> </w:t>
      </w:r>
      <w:r>
        <w:rPr>
          <w:rFonts w:ascii="Arial" w:cs="Arial" w:eastAsia="Arial" w:hAnsi="Arial"/>
          <w:sz w:val="15"/>
          <w:szCs w:val="15"/>
          <w:color w:val="auto"/>
        </w:rPr>
        <w:t>other personnel working on the Company’s account and rotates the lead assurance engagement partner, the global coordinating partner, and other partners on the engagement consistent with independence requirements.</w:t>
      </w:r>
    </w:p>
    <w:p>
      <w:pPr>
        <w:spacing w:after="0" w:line="8" w:lineRule="exact"/>
        <w:rPr>
          <w:sz w:val="20"/>
          <w:szCs w:val="20"/>
          <w:color w:val="auto"/>
        </w:rPr>
      </w:pPr>
    </w:p>
    <w:p>
      <w:pPr>
        <w:ind w:right="620"/>
        <w:spacing w:after="0" w:line="271" w:lineRule="auto"/>
        <w:rPr>
          <w:sz w:val="20"/>
          <w:szCs w:val="20"/>
          <w:color w:val="auto"/>
        </w:rPr>
      </w:pPr>
      <w:r>
        <w:rPr>
          <w:rFonts w:ascii="Arial" w:cs="Arial" w:eastAsia="Arial" w:hAnsi="Arial"/>
          <w:sz w:val="16"/>
          <w:szCs w:val="16"/>
          <w:color w:val="auto"/>
        </w:rPr>
        <w:t>Representatives of EY are expected to participate in the Annual Meeting and will be available to respond to questions. Those representatives will have the opportunity to make a statement if they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984750" cy="6305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4984750" cy="630555"/>
                    </a:xfrm>
                    <a:prstGeom prst="rect">
                      <a:avLst/>
                    </a:prstGeom>
                    <a:noFill/>
                  </pic:spPr>
                </pic:pic>
              </a:graphicData>
            </a:graphic>
          </wp:anchor>
        </w:drawing>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50" w:lineRule="exact"/>
        <w:rPr>
          <w:sz w:val="20"/>
          <w:szCs w:val="20"/>
          <w:color w:val="auto"/>
        </w:rPr>
      </w:pPr>
    </w:p>
    <w:p>
      <w:pPr>
        <w:ind w:left="160" w:right="3800"/>
        <w:spacing w:after="0" w:line="282"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ratifying the appointment of EY as the independent auditor for 2023.</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Audit Committee Report</w:t>
      </w:r>
    </w:p>
    <w:p>
      <w:pPr>
        <w:spacing w:after="0" w:line="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2022,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independent auditor reports directly to the Audit Committee, which has sole authority to appoint and to replace the independent auditor (subject to shareholder ratification).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9" w:name="page90"/>
    <w:bookmarkEnd w:id="89"/>
    <w:p>
      <w:pPr>
        <w:spacing w:after="0" w:line="288" w:lineRule="auto"/>
        <w:rPr>
          <w:sz w:val="20"/>
          <w:szCs w:val="20"/>
          <w:color w:val="auto"/>
        </w:rPr>
      </w:pPr>
      <w:r>
        <w:rPr>
          <w:rFonts w:ascii="Arial" w:cs="Arial" w:eastAsia="Arial" w:hAnsi="Arial"/>
          <w:sz w:val="14"/>
          <w:szCs w:val="14"/>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28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16" w:lineRule="exact"/>
        <w:rPr>
          <w:sz w:val="20"/>
          <w:szCs w:val="20"/>
          <w:color w:val="auto"/>
        </w:rPr>
      </w:pPr>
    </w:p>
    <w:p>
      <w:pPr>
        <w:ind w:right="140"/>
        <w:spacing w:after="0" w:line="311" w:lineRule="auto"/>
        <w:rPr>
          <w:sz w:val="20"/>
          <w:szCs w:val="20"/>
          <w:color w:val="auto"/>
        </w:rPr>
      </w:pPr>
      <w:r>
        <w:rPr>
          <w:rFonts w:ascii="Arial" w:cs="Arial" w:eastAsia="Arial" w:hAnsi="Arial"/>
          <w:sz w:val="14"/>
          <w:szCs w:val="14"/>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2022, for filing with the SEC. The Audit Committee has also appointed EY as the company’s independent auditor, subject to shareholder ratification, for 2023.</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Jamere Jackson,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Ralph Alvarez</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Gabrielle Sulzberger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Jackson P. Tai</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Services Performed by the Independent Auditor</w:t>
      </w:r>
    </w:p>
    <w:p>
      <w:pPr>
        <w:spacing w:after="0" w:line="68"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48" w:lineRule="exact"/>
        <w:rPr>
          <w:sz w:val="20"/>
          <w:szCs w:val="20"/>
          <w:color w:val="auto"/>
        </w:rPr>
      </w:pPr>
    </w:p>
    <w:p>
      <w:pPr>
        <w:ind w:left="280" w:right="160" w:hanging="146"/>
        <w:spacing w:after="0" w:line="246" w:lineRule="auto"/>
        <w:tabs>
          <w:tab w:leader="none" w:pos="271" w:val="left"/>
        </w:tabs>
        <w:numPr>
          <w:ilvl w:val="0"/>
          <w:numId w:val="189"/>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Audit services: </w:t>
      </w:r>
      <w:r>
        <w:rPr>
          <w:rFonts w:ascii="Arial" w:cs="Arial" w:eastAsia="Arial" w:hAnsi="Arial"/>
          <w:sz w:val="15"/>
          <w:szCs w:val="15"/>
          <w:color w:val="auto"/>
        </w:rPr>
        <w:t>The Audit Committee approves the annual audit services engagement and, if necessary, any changes in terms, conditions, and fees</w:t>
      </w:r>
      <w:r>
        <w:rPr>
          <w:rFonts w:ascii="Arial" w:cs="Arial" w:eastAsia="Arial" w:hAnsi="Arial"/>
          <w:sz w:val="19"/>
          <w:szCs w:val="19"/>
          <w:b w:val="1"/>
          <w:bCs w:val="1"/>
          <w:color w:val="auto"/>
        </w:rPr>
        <w:t xml:space="preserve"> </w:t>
      </w:r>
      <w:r>
        <w:rPr>
          <w:rFonts w:ascii="Arial" w:cs="Arial" w:eastAsia="Arial" w:hAnsi="Arial"/>
          <w:sz w:val="15"/>
          <w:szCs w:val="15"/>
          <w:color w:val="auto"/>
        </w:rPr>
        <w:t>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168" w:lineRule="exact"/>
        <w:rPr>
          <w:rFonts w:ascii="Arial" w:cs="Arial" w:eastAsia="Arial" w:hAnsi="Arial"/>
          <w:sz w:val="14"/>
          <w:szCs w:val="14"/>
          <w:b w:val="1"/>
          <w:bCs w:val="1"/>
          <w:color w:val="auto"/>
        </w:rPr>
      </w:pPr>
    </w:p>
    <w:p>
      <w:pPr>
        <w:jc w:val="both"/>
        <w:ind w:left="280" w:right="100" w:hanging="146"/>
        <w:spacing w:after="0" w:line="269" w:lineRule="auto"/>
        <w:tabs>
          <w:tab w:leader="none" w:pos="271" w:val="left"/>
        </w:tabs>
        <w:numPr>
          <w:ilvl w:val="0"/>
          <w:numId w:val="189"/>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Audit-related services: </w:t>
      </w:r>
      <w:r>
        <w:rPr>
          <w:rFonts w:ascii="Arial" w:cs="Arial" w:eastAsia="Arial" w:hAnsi="Arial"/>
          <w:sz w:val="15"/>
          <w:szCs w:val="15"/>
          <w:color w:val="auto"/>
        </w:rPr>
        <w:t>Audit-related services are assurance and related services that are reasonably related to the performance of the audit or reviews</w:t>
      </w:r>
      <w:r>
        <w:rPr>
          <w:rFonts w:ascii="Arial" w:cs="Arial" w:eastAsia="Arial" w:hAnsi="Arial"/>
          <w:sz w:val="19"/>
          <w:szCs w:val="19"/>
          <w:b w:val="1"/>
          <w:bCs w:val="1"/>
          <w:color w:val="auto"/>
        </w:rPr>
        <w:t xml:space="preserve"> </w:t>
      </w:r>
      <w:r>
        <w:rPr>
          <w:rFonts w:ascii="Arial" w:cs="Arial" w:eastAsia="Arial" w:hAnsi="Arial"/>
          <w:sz w:val="15"/>
          <w:szCs w:val="15"/>
          <w:color w:val="auto"/>
        </w:rPr>
        <w:t>of the financial statements, and that are traditionally performed by the independent auditor. The Audit Committee believes that the provision of these services does not impair the independence of the auditor.</w:t>
      </w:r>
    </w:p>
    <w:p>
      <w:pPr>
        <w:spacing w:after="0" w:line="151" w:lineRule="exact"/>
        <w:rPr>
          <w:rFonts w:ascii="Arial" w:cs="Arial" w:eastAsia="Arial" w:hAnsi="Arial"/>
          <w:sz w:val="14"/>
          <w:szCs w:val="14"/>
          <w:b w:val="1"/>
          <w:bCs w:val="1"/>
          <w:color w:val="auto"/>
        </w:rPr>
      </w:pPr>
    </w:p>
    <w:p>
      <w:pPr>
        <w:ind w:left="280" w:right="60" w:hanging="146"/>
        <w:spacing w:after="0" w:line="232" w:lineRule="auto"/>
        <w:tabs>
          <w:tab w:leader="none" w:pos="271" w:val="left"/>
        </w:tabs>
        <w:numPr>
          <w:ilvl w:val="0"/>
          <w:numId w:val="189"/>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Tax services: </w:t>
      </w:r>
      <w:r>
        <w:rPr>
          <w:rFonts w:ascii="Arial" w:cs="Arial" w:eastAsia="Arial" w:hAnsi="Arial"/>
          <w:sz w:val="15"/>
          <w:szCs w:val="15"/>
          <w:color w:val="auto"/>
        </w:rPr>
        <w:t>The Audit Committee believes that, in appropriate cases, the independent auditor can provide tax compliance services, tax planning, and tax</w:t>
      </w:r>
      <w:r>
        <w:rPr>
          <w:rFonts w:ascii="Arial" w:cs="Arial" w:eastAsia="Arial" w:hAnsi="Arial"/>
          <w:sz w:val="19"/>
          <w:szCs w:val="19"/>
          <w:b w:val="1"/>
          <w:bCs w:val="1"/>
          <w:color w:val="auto"/>
        </w:rPr>
        <w:t xml:space="preserve"> </w:t>
      </w:r>
      <w:r>
        <w:rPr>
          <w:rFonts w:ascii="Arial" w:cs="Arial" w:eastAsia="Arial" w:hAnsi="Arial"/>
          <w:sz w:val="15"/>
          <w:szCs w:val="15"/>
          <w:color w:val="auto"/>
        </w:rPr>
        <w:t>advice without impairing the auditor’s independence.</w:t>
      </w:r>
    </w:p>
    <w:p>
      <w:pPr>
        <w:spacing w:after="0" w:line="173" w:lineRule="exact"/>
        <w:rPr>
          <w:rFonts w:ascii="Arial" w:cs="Arial" w:eastAsia="Arial" w:hAnsi="Arial"/>
          <w:sz w:val="14"/>
          <w:szCs w:val="14"/>
          <w:b w:val="1"/>
          <w:bCs w:val="1"/>
          <w:color w:val="auto"/>
        </w:rPr>
      </w:pPr>
    </w:p>
    <w:p>
      <w:pPr>
        <w:ind w:left="280" w:right="100" w:hanging="146"/>
        <w:spacing w:after="0" w:line="269" w:lineRule="auto"/>
        <w:tabs>
          <w:tab w:leader="none" w:pos="271" w:val="left"/>
        </w:tabs>
        <w:numPr>
          <w:ilvl w:val="0"/>
          <w:numId w:val="189"/>
        </w:numPr>
        <w:rPr>
          <w:rFonts w:ascii="Arial" w:cs="Arial" w:eastAsia="Arial" w:hAnsi="Arial"/>
          <w:sz w:val="14"/>
          <w:szCs w:val="14"/>
          <w:b w:val="1"/>
          <w:bCs w:val="1"/>
          <w:color w:val="auto"/>
        </w:rPr>
      </w:pPr>
      <w:r>
        <w:rPr>
          <w:rFonts w:ascii="Arial" w:cs="Arial" w:eastAsia="Arial" w:hAnsi="Arial"/>
          <w:sz w:val="19"/>
          <w:szCs w:val="19"/>
          <w:b w:val="1"/>
          <w:bCs w:val="1"/>
          <w:color w:val="auto"/>
        </w:rPr>
        <w:t xml:space="preserve">Other services: </w:t>
      </w:r>
      <w:r>
        <w:rPr>
          <w:rFonts w:ascii="Arial" w:cs="Arial" w:eastAsia="Arial" w:hAnsi="Arial"/>
          <w:sz w:val="15"/>
          <w:szCs w:val="15"/>
          <w:color w:val="auto"/>
        </w:rPr>
        <w:t>The Audit Committee may approve other services to be provided by the independent auditor if (i) the services are permissible under SEC</w:t>
      </w:r>
      <w:r>
        <w:rPr>
          <w:rFonts w:ascii="Arial" w:cs="Arial" w:eastAsia="Arial" w:hAnsi="Arial"/>
          <w:sz w:val="19"/>
          <w:szCs w:val="19"/>
          <w:b w:val="1"/>
          <w:bCs w:val="1"/>
          <w:color w:val="auto"/>
        </w:rPr>
        <w:t xml:space="preserve"> </w:t>
      </w:r>
      <w:r>
        <w:rPr>
          <w:rFonts w:ascii="Arial" w:cs="Arial" w:eastAsia="Arial" w:hAnsi="Arial"/>
          <w:sz w:val="15"/>
          <w:szCs w:val="15"/>
          <w:color w:val="auto"/>
        </w:rPr>
        <w:t>and PCAOB rules, (ii) the Audit Committee believes the provision of the services would not impair the independence of the auditor, and (iii) management believes that the auditor is the best choice to provide the services.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90" w:name="page91"/>
    <w:bookmarkEnd w:id="90"/>
    <w:p>
      <w:pPr>
        <w:ind w:right="20"/>
        <w:spacing w:after="0" w:line="264" w:lineRule="auto"/>
        <w:rPr>
          <w:sz w:val="20"/>
          <w:szCs w:val="20"/>
          <w:color w:val="auto"/>
        </w:rPr>
      </w:pPr>
      <w:r>
        <w:rPr>
          <w:rFonts w:ascii="Arial" w:cs="Arial" w:eastAsia="Arial" w:hAnsi="Arial"/>
          <w:sz w:val="19"/>
          <w:szCs w:val="19"/>
          <w:b w:val="1"/>
          <w:bCs w:val="1"/>
          <w:color w:val="auto"/>
        </w:rPr>
        <w:t xml:space="preserve">Approval process: </w:t>
      </w:r>
      <w:r>
        <w:rPr>
          <w:rFonts w:ascii="Arial" w:cs="Arial" w:eastAsia="Arial" w:hAnsi="Arial"/>
          <w:sz w:val="15"/>
          <w:szCs w:val="15"/>
          <w:color w:val="auto"/>
        </w:rPr>
        <w:t>At the beginning of each audit year, management requests pre-approval from the Audit Committee of the annual audit, statutory audits,</w:t>
      </w:r>
      <w:r>
        <w:rPr>
          <w:rFonts w:ascii="Arial" w:cs="Arial" w:eastAsia="Arial" w:hAnsi="Arial"/>
          <w:sz w:val="19"/>
          <w:szCs w:val="19"/>
          <w:b w:val="1"/>
          <w:bCs w:val="1"/>
          <w:color w:val="auto"/>
        </w:rPr>
        <w:t xml:space="preserve"> </w:t>
      </w:r>
      <w:r>
        <w:rPr>
          <w:rFonts w:ascii="Arial" w:cs="Arial" w:eastAsia="Arial" w:hAnsi="Arial"/>
          <w:sz w:val="15"/>
          <w:szCs w:val="15"/>
          <w:color w:val="auto"/>
        </w:rPr>
        <w:t>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61" w:lineRule="exact"/>
        <w:rPr>
          <w:sz w:val="20"/>
          <w:szCs w:val="20"/>
          <w:color w:val="auto"/>
        </w:rPr>
      </w:pPr>
    </w:p>
    <w:p>
      <w:pPr>
        <w:ind w:right="400"/>
        <w:spacing w:after="0" w:line="344" w:lineRule="auto"/>
        <w:rPr>
          <w:sz w:val="20"/>
          <w:szCs w:val="20"/>
          <w:color w:val="auto"/>
        </w:rPr>
      </w:pPr>
      <w:r>
        <w:rPr>
          <w:rFonts w:ascii="Arial" w:cs="Arial" w:eastAsia="Arial" w:hAnsi="Arial"/>
          <w:sz w:val="14"/>
          <w:szCs w:val="14"/>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audit year, management provides the committee with a summary of the actual fees incurred for the completed audit year.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Independent Auditor Fees</w:t>
      </w:r>
    </w:p>
    <w:p>
      <w:pPr>
        <w:spacing w:after="0" w:line="6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following table shows the fees incurred for services rendered on a worldwide basis by EY in 2022 and 2021. All such services were pre-approved by the Audit Committee in accordance with the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910455" cy="762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4910455" cy="762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2022</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2021</w:t>
            </w:r>
          </w:p>
        </w:tc>
      </w:tr>
      <w:tr>
        <w:trPr>
          <w:trHeight w:val="171"/>
        </w:trPr>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tcPr>
          <w:p>
            <w:pPr>
              <w:ind w:left="160"/>
              <w:spacing w:after="0"/>
              <w:rPr>
                <w:sz w:val="20"/>
                <w:szCs w:val="20"/>
                <w:color w:val="auto"/>
              </w:rPr>
            </w:pPr>
            <w:r>
              <w:rPr>
                <w:rFonts w:ascii="Arial" w:cs="Arial" w:eastAsia="Arial" w:hAnsi="Arial"/>
                <w:sz w:val="12"/>
                <w:szCs w:val="12"/>
                <w:b w:val="1"/>
                <w:bCs w:val="1"/>
                <w:color w:val="auto"/>
              </w:rPr>
              <w:t>($ millions)*</w:t>
            </w:r>
          </w:p>
        </w:tc>
        <w:tc>
          <w:tcPr>
            <w:tcW w:w="1080" w:type="dxa"/>
            <w:vAlign w:val="bottom"/>
          </w:tcPr>
          <w:p>
            <w:pPr>
              <w:ind w:left="200"/>
              <w:spacing w:after="0"/>
              <w:rPr>
                <w:sz w:val="20"/>
                <w:szCs w:val="20"/>
                <w:color w:val="auto"/>
              </w:rPr>
            </w:pPr>
            <w:r>
              <w:rPr>
                <w:rFonts w:ascii="Arial" w:cs="Arial" w:eastAsia="Arial" w:hAnsi="Arial"/>
                <w:sz w:val="12"/>
                <w:szCs w:val="12"/>
                <w:b w:val="1"/>
                <w:bCs w:val="1"/>
                <w:color w:val="auto"/>
              </w:rPr>
              <w:t>($ millions)*</w:t>
            </w:r>
          </w:p>
        </w:tc>
      </w:tr>
      <w:tr>
        <w:trPr>
          <w:trHeight w:val="24"/>
        </w:trPr>
        <w:tc>
          <w:tcPr>
            <w:tcW w:w="9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7"/>
        </w:trPr>
        <w:tc>
          <w:tcPr>
            <w:tcW w:w="920" w:type="dxa"/>
            <w:vAlign w:val="bottom"/>
            <w:shd w:val="clear" w:color="auto" w:fill="F2F2F2"/>
          </w:tcPr>
          <w:p>
            <w:pPr>
              <w:spacing w:after="0"/>
              <w:rPr>
                <w:sz w:val="20"/>
                <w:szCs w:val="20"/>
                <w:color w:val="auto"/>
              </w:rPr>
            </w:pPr>
            <w:r>
              <w:rPr>
                <w:rFonts w:ascii="Arial" w:cs="Arial" w:eastAsia="Arial" w:hAnsi="Arial"/>
                <w:sz w:val="12"/>
                <w:szCs w:val="12"/>
                <w:b w:val="1"/>
                <w:bCs w:val="1"/>
                <w:color w:val="auto"/>
              </w:rPr>
              <w:t>Audit Fees</w:t>
            </w:r>
          </w:p>
        </w:tc>
        <w:tc>
          <w:tcPr>
            <w:tcW w:w="4660" w:type="dxa"/>
            <w:vAlign w:val="bottom"/>
            <w:shd w:val="clear" w:color="auto" w:fill="F2F2F2"/>
          </w:tcPr>
          <w:p>
            <w:pPr>
              <w:ind w:left="280"/>
              <w:spacing w:after="0"/>
              <w:rPr>
                <w:sz w:val="20"/>
                <w:szCs w:val="20"/>
                <w:color w:val="auto"/>
              </w:rPr>
            </w:pPr>
            <w:r>
              <w:rPr>
                <w:rFonts w:ascii="Arial" w:cs="Arial" w:eastAsia="Arial" w:hAnsi="Arial"/>
                <w:sz w:val="12"/>
                <w:szCs w:val="12"/>
                <w:color w:val="auto"/>
              </w:rPr>
              <w:t>Annual audit of consolidated and subsidiary financial statements, including</w:t>
            </w:r>
          </w:p>
        </w:tc>
        <w:tc>
          <w:tcPr>
            <w:tcW w:w="10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$13.9</w:t>
            </w:r>
          </w:p>
        </w:tc>
        <w:tc>
          <w:tcPr>
            <w:tcW w:w="10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$13.9</w:t>
            </w:r>
          </w:p>
        </w:tc>
      </w:tr>
      <w:tr>
        <w:trPr>
          <w:trHeight w:val="175"/>
        </w:trPr>
        <w:tc>
          <w:tcPr>
            <w:tcW w:w="920" w:type="dxa"/>
            <w:vAlign w:val="bottom"/>
            <w:tcBorders>
              <w:bottom w:val="single" w:sz="8" w:color="F2F2F2"/>
            </w:tcBorders>
            <w:shd w:val="clear" w:color="auto" w:fill="F2F2F2"/>
          </w:tcPr>
          <w:p>
            <w:pPr>
              <w:spacing w:after="0"/>
              <w:rPr>
                <w:sz w:val="15"/>
                <w:szCs w:val="15"/>
                <w:color w:val="auto"/>
              </w:rPr>
            </w:pPr>
          </w:p>
        </w:tc>
        <w:tc>
          <w:tcPr>
            <w:tcW w:w="466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2"/>
                <w:szCs w:val="12"/>
                <w:color w:val="auto"/>
              </w:rPr>
              <w:t>Sarbanes-Oxley 404 attestation, reviews of quarterly financial statements</w:t>
            </w:r>
          </w:p>
        </w:tc>
        <w:tc>
          <w:tcPr>
            <w:tcW w:w="1060" w:type="dxa"/>
            <w:vAlign w:val="bottom"/>
            <w:tcBorders>
              <w:bottom w:val="single" w:sz="8" w:color="F2F2F2"/>
            </w:tcBorders>
            <w:shd w:val="clear" w:color="auto" w:fill="F2F2F2"/>
          </w:tcPr>
          <w:p>
            <w:pPr>
              <w:spacing w:after="0"/>
              <w:rPr>
                <w:sz w:val="15"/>
                <w:szCs w:val="15"/>
                <w:color w:val="auto"/>
              </w:rPr>
            </w:pPr>
          </w:p>
        </w:tc>
        <w:tc>
          <w:tcPr>
            <w:tcW w:w="1080" w:type="dxa"/>
            <w:vAlign w:val="bottom"/>
            <w:tcBorders>
              <w:bottom w:val="single" w:sz="8" w:color="F2F2F2"/>
            </w:tcBorders>
            <w:shd w:val="clear" w:color="auto" w:fill="F2F2F2"/>
          </w:tcPr>
          <w:p>
            <w:pPr>
              <w:spacing w:after="0"/>
              <w:rPr>
                <w:sz w:val="15"/>
                <w:szCs w:val="15"/>
                <w:color w:val="auto"/>
              </w:rPr>
            </w:pPr>
          </w:p>
        </w:tc>
      </w:tr>
      <w:tr>
        <w:trPr>
          <w:trHeight w:val="156"/>
        </w:trPr>
        <w:tc>
          <w:tcPr>
            <w:tcW w:w="55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Audit-Related Fees </w:t>
            </w:r>
            <w:r>
              <w:rPr>
                <w:rFonts w:ascii="Arial" w:cs="Arial" w:eastAsia="Arial" w:hAnsi="Arial"/>
                <w:sz w:val="12"/>
                <w:szCs w:val="12"/>
                <w:color w:val="auto"/>
              </w:rPr>
              <w:t>Primarily related to assurance and related services reasonably related to the</w:t>
            </w:r>
          </w:p>
        </w:tc>
        <w:tc>
          <w:tcPr>
            <w:tcW w:w="1060" w:type="dxa"/>
            <w:vAlign w:val="bottom"/>
          </w:tcPr>
          <w:p>
            <w:pPr>
              <w:jc w:val="center"/>
              <w:spacing w:after="0"/>
              <w:rPr>
                <w:sz w:val="20"/>
                <w:szCs w:val="20"/>
                <w:color w:val="auto"/>
              </w:rPr>
            </w:pPr>
            <w:r>
              <w:rPr>
                <w:rFonts w:ascii="Arial" w:cs="Arial" w:eastAsia="Arial" w:hAnsi="Arial"/>
                <w:sz w:val="12"/>
                <w:szCs w:val="12"/>
                <w:color w:val="auto"/>
              </w:rPr>
              <w:t>$0.7</w:t>
            </w:r>
          </w:p>
        </w:tc>
        <w:tc>
          <w:tcPr>
            <w:tcW w:w="1080" w:type="dxa"/>
            <w:vAlign w:val="bottom"/>
          </w:tcPr>
          <w:p>
            <w:pPr>
              <w:jc w:val="center"/>
              <w:spacing w:after="0"/>
              <w:rPr>
                <w:sz w:val="20"/>
                <w:szCs w:val="20"/>
                <w:color w:val="auto"/>
              </w:rPr>
            </w:pPr>
            <w:r>
              <w:rPr>
                <w:rFonts w:ascii="Arial" w:cs="Arial" w:eastAsia="Arial" w:hAnsi="Arial"/>
                <w:sz w:val="12"/>
                <w:szCs w:val="12"/>
                <w:color w:val="auto"/>
              </w:rPr>
              <w:t>$0.7</w:t>
            </w:r>
          </w:p>
        </w:tc>
      </w:tr>
      <w:tr>
        <w:trPr>
          <w:trHeight w:val="152"/>
        </w:trPr>
        <w:tc>
          <w:tcPr>
            <w:tcW w:w="920" w:type="dxa"/>
            <w:vAlign w:val="bottom"/>
          </w:tcPr>
          <w:p>
            <w:pPr>
              <w:spacing w:after="0"/>
              <w:rPr>
                <w:sz w:val="13"/>
                <w:szCs w:val="13"/>
                <w:color w:val="auto"/>
              </w:rPr>
            </w:pPr>
          </w:p>
        </w:tc>
        <w:tc>
          <w:tcPr>
            <w:tcW w:w="4660" w:type="dxa"/>
            <w:vAlign w:val="bottom"/>
          </w:tcPr>
          <w:p>
            <w:pPr>
              <w:ind w:left="280"/>
              <w:spacing w:after="0"/>
              <w:rPr>
                <w:sz w:val="20"/>
                <w:szCs w:val="20"/>
                <w:color w:val="auto"/>
              </w:rPr>
            </w:pPr>
            <w:r>
              <w:rPr>
                <w:rFonts w:ascii="Arial" w:cs="Arial" w:eastAsia="Arial" w:hAnsi="Arial"/>
                <w:sz w:val="12"/>
                <w:szCs w:val="12"/>
                <w:color w:val="auto"/>
              </w:rPr>
              <w:t>performance of the audit or reviews of the financial statements primarily</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920" w:type="dxa"/>
            <w:vAlign w:val="bottom"/>
          </w:tcPr>
          <w:p>
            <w:pPr>
              <w:spacing w:after="0"/>
              <w:rPr>
                <w:sz w:val="13"/>
                <w:szCs w:val="13"/>
                <w:color w:val="auto"/>
              </w:rPr>
            </w:pPr>
          </w:p>
        </w:tc>
        <w:tc>
          <w:tcPr>
            <w:tcW w:w="4660" w:type="dxa"/>
            <w:vAlign w:val="bottom"/>
          </w:tcPr>
          <w:p>
            <w:pPr>
              <w:ind w:left="280"/>
              <w:spacing w:after="0"/>
              <w:rPr>
                <w:sz w:val="20"/>
                <w:szCs w:val="20"/>
                <w:color w:val="auto"/>
              </w:rPr>
            </w:pPr>
            <w:r>
              <w:rPr>
                <w:rFonts w:ascii="Arial" w:cs="Arial" w:eastAsia="Arial" w:hAnsi="Arial"/>
                <w:sz w:val="12"/>
                <w:szCs w:val="12"/>
                <w:color w:val="auto"/>
              </w:rPr>
              <w:t>related to employee benefit plan and other ancillary audits, and due diligence</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4"/>
        </w:trPr>
        <w:tc>
          <w:tcPr>
            <w:tcW w:w="920" w:type="dxa"/>
            <w:vAlign w:val="bottom"/>
          </w:tcPr>
          <w:p>
            <w:pPr>
              <w:spacing w:after="0"/>
              <w:rPr>
                <w:sz w:val="15"/>
                <w:szCs w:val="15"/>
                <w:color w:val="auto"/>
              </w:rPr>
            </w:pPr>
          </w:p>
        </w:tc>
        <w:tc>
          <w:tcPr>
            <w:tcW w:w="4660" w:type="dxa"/>
            <w:vAlign w:val="bottom"/>
          </w:tcPr>
          <w:p>
            <w:pPr>
              <w:ind w:left="280"/>
              <w:spacing w:after="0"/>
              <w:rPr>
                <w:sz w:val="20"/>
                <w:szCs w:val="20"/>
                <w:color w:val="auto"/>
              </w:rPr>
            </w:pPr>
            <w:r>
              <w:rPr>
                <w:rFonts w:ascii="Arial" w:cs="Arial" w:eastAsia="Arial" w:hAnsi="Arial"/>
                <w:sz w:val="12"/>
                <w:szCs w:val="12"/>
                <w:color w:val="auto"/>
              </w:rPr>
              <w:t>services on potential acquisitions</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5"/>
        </w:trPr>
        <w:tc>
          <w:tcPr>
            <w:tcW w:w="920" w:type="dxa"/>
            <w:vAlign w:val="bottom"/>
            <w:shd w:val="clear" w:color="auto" w:fill="F2F2F2"/>
          </w:tcPr>
          <w:p>
            <w:pPr>
              <w:spacing w:after="0"/>
              <w:rPr>
                <w:sz w:val="20"/>
                <w:szCs w:val="20"/>
                <w:color w:val="auto"/>
              </w:rPr>
            </w:pPr>
            <w:r>
              <w:rPr>
                <w:rFonts w:ascii="Arial" w:cs="Arial" w:eastAsia="Arial" w:hAnsi="Arial"/>
                <w:sz w:val="12"/>
                <w:szCs w:val="12"/>
                <w:b w:val="1"/>
                <w:bCs w:val="1"/>
                <w:color w:val="auto"/>
              </w:rPr>
              <w:t>Tax Fees</w:t>
            </w:r>
          </w:p>
        </w:tc>
        <w:tc>
          <w:tcPr>
            <w:tcW w:w="4660" w:type="dxa"/>
            <w:vAlign w:val="bottom"/>
            <w:shd w:val="clear" w:color="auto" w:fill="F2F2F2"/>
          </w:tcPr>
          <w:p>
            <w:pPr>
              <w:ind w:left="280"/>
              <w:spacing w:after="0"/>
              <w:rPr>
                <w:sz w:val="20"/>
                <w:szCs w:val="20"/>
                <w:color w:val="auto"/>
              </w:rPr>
            </w:pPr>
            <w:r>
              <w:rPr>
                <w:rFonts w:ascii="Arial" w:cs="Arial" w:eastAsia="Arial" w:hAnsi="Arial"/>
                <w:sz w:val="12"/>
                <w:szCs w:val="12"/>
                <w:color w:val="auto"/>
              </w:rPr>
              <w:t>Tax compliance services, tax planning, tax advice</w:t>
            </w:r>
          </w:p>
        </w:tc>
        <w:tc>
          <w:tcPr>
            <w:tcW w:w="10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$1.6</w:t>
            </w:r>
          </w:p>
        </w:tc>
        <w:tc>
          <w:tcPr>
            <w:tcW w:w="10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$2.1</w:t>
            </w:r>
          </w:p>
        </w:tc>
      </w:tr>
      <w:tr>
        <w:trPr>
          <w:trHeight w:val="211"/>
        </w:trPr>
        <w:tc>
          <w:tcPr>
            <w:tcW w:w="920" w:type="dxa"/>
            <w:vAlign w:val="bottom"/>
            <w:tcBorders>
              <w:bottom w:val="single" w:sz="8" w:color="F2F2F2"/>
            </w:tcBorders>
            <w:shd w:val="clear" w:color="auto" w:fill="F2F2F2"/>
          </w:tcPr>
          <w:p>
            <w:pPr>
              <w:spacing w:after="0"/>
              <w:rPr>
                <w:sz w:val="17"/>
                <w:szCs w:val="17"/>
                <w:color w:val="auto"/>
              </w:rPr>
            </w:pPr>
          </w:p>
        </w:tc>
        <w:tc>
          <w:tcPr>
            <w:tcW w:w="466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2"/>
                <w:szCs w:val="12"/>
                <w:color w:val="auto"/>
              </w:rPr>
              <w:t>Primarily related to consulting and compliance services</w:t>
            </w:r>
          </w:p>
        </w:tc>
        <w:tc>
          <w:tcPr>
            <w:tcW w:w="1060" w:type="dxa"/>
            <w:vAlign w:val="bottom"/>
            <w:tcBorders>
              <w:bottom w:val="single" w:sz="8" w:color="F2F2F2"/>
            </w:tcBorders>
            <w:shd w:val="clear" w:color="auto" w:fill="F2F2F2"/>
          </w:tcPr>
          <w:p>
            <w:pPr>
              <w:spacing w:after="0"/>
              <w:rPr>
                <w:sz w:val="17"/>
                <w:szCs w:val="17"/>
                <w:color w:val="auto"/>
              </w:rPr>
            </w:pPr>
          </w:p>
        </w:tc>
        <w:tc>
          <w:tcPr>
            <w:tcW w:w="1080" w:type="dxa"/>
            <w:vAlign w:val="bottom"/>
            <w:tcBorders>
              <w:bottom w:val="single" w:sz="8" w:color="F2F2F2"/>
            </w:tcBorders>
            <w:shd w:val="clear" w:color="auto" w:fill="F2F2F2"/>
          </w:tcPr>
          <w:p>
            <w:pPr>
              <w:spacing w:after="0"/>
              <w:rPr>
                <w:sz w:val="17"/>
                <w:szCs w:val="17"/>
                <w:color w:val="auto"/>
              </w:rPr>
            </w:pPr>
          </w:p>
        </w:tc>
      </w:tr>
      <w:tr>
        <w:trPr>
          <w:trHeight w:val="207"/>
        </w:trPr>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46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rPr>
              <w:t>$16.2</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rPr>
              <w:t>$16.7</w:t>
            </w:r>
          </w:p>
        </w:tc>
      </w:tr>
      <w:tr>
        <w:trPr>
          <w:trHeight w:val="225"/>
        </w:trPr>
        <w:tc>
          <w:tcPr>
            <w:tcW w:w="5580" w:type="dxa"/>
            <w:vAlign w:val="bottom"/>
            <w:gridSpan w:val="2"/>
          </w:tcPr>
          <w:p>
            <w:pPr>
              <w:spacing w:after="0"/>
              <w:rPr>
                <w:sz w:val="20"/>
                <w:szCs w:val="20"/>
                <w:color w:val="auto"/>
              </w:rPr>
            </w:pPr>
            <w:r>
              <w:rPr>
                <w:rFonts w:ascii="Arial" w:cs="Arial" w:eastAsia="Arial" w:hAnsi="Arial"/>
                <w:sz w:val="12"/>
                <w:szCs w:val="12"/>
                <w:color w:val="auto"/>
              </w:rPr>
              <w:t>* Numbers may not add due to rounding</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Management Proposals</w:t>
      </w:r>
    </w:p>
    <w:p>
      <w:pPr>
        <w:spacing w:after="0" w:line="356" w:lineRule="exact"/>
        <w:rPr>
          <w:sz w:val="20"/>
          <w:szCs w:val="20"/>
          <w:color w:val="auto"/>
        </w:rPr>
      </w:pPr>
    </w:p>
    <w:p>
      <w:pPr>
        <w:ind w:right="140"/>
        <w:spacing w:after="0" w:line="273" w:lineRule="auto"/>
        <w:rPr>
          <w:sz w:val="20"/>
          <w:szCs w:val="20"/>
          <w:color w:val="auto"/>
        </w:rPr>
      </w:pPr>
      <w:r>
        <w:rPr>
          <w:rFonts w:ascii="Arial" w:cs="Arial" w:eastAsia="Arial" w:hAnsi="Arial"/>
          <w:sz w:val="28"/>
          <w:szCs w:val="28"/>
          <w:b w:val="1"/>
          <w:bCs w:val="1"/>
          <w:color w:val="D52B1E"/>
        </w:rPr>
        <w:t>Item 5. Proposal to Amend the Company’s Articles of Incorporation to Eliminate the Classified Board Structure</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2022,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2026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the present number of directors or the board’s authority to change that number and to fill any vacancies or newly created directorships.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Background of Proposal</w:t>
      </w:r>
    </w:p>
    <w:p>
      <w:pPr>
        <w:spacing w:after="0" w:line="5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91"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Text of the Amendments</w:t>
      </w:r>
    </w:p>
    <w:p>
      <w:pPr>
        <w:spacing w:after="0" w:line="6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984750" cy="6305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4984750" cy="630555"/>
                    </a:xfrm>
                    <a:prstGeom prst="rect">
                      <a:avLst/>
                    </a:prstGeom>
                    <a:noFill/>
                  </pic:spPr>
                </pic:pic>
              </a:graphicData>
            </a:graphic>
          </wp:anchor>
        </w:drawing>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50" w:lineRule="exact"/>
        <w:rPr>
          <w:sz w:val="20"/>
          <w:szCs w:val="20"/>
          <w:color w:val="auto"/>
        </w:rPr>
      </w:pPr>
    </w:p>
    <w:p>
      <w:pPr>
        <w:ind w:left="160" w:right="3580"/>
        <w:spacing w:after="0" w:line="282"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13" w:lineRule="exact"/>
        <w:rPr>
          <w:sz w:val="20"/>
          <w:szCs w:val="20"/>
          <w:color w:val="auto"/>
        </w:rPr>
      </w:pPr>
    </w:p>
    <w:p>
      <w:pPr>
        <w:ind w:right="640"/>
        <w:spacing w:after="0" w:line="273" w:lineRule="auto"/>
        <w:rPr>
          <w:sz w:val="20"/>
          <w:szCs w:val="20"/>
          <w:color w:val="auto"/>
        </w:rPr>
      </w:pPr>
      <w:r>
        <w:rPr>
          <w:rFonts w:ascii="Arial" w:cs="Arial" w:eastAsia="Arial" w:hAnsi="Arial"/>
          <w:sz w:val="28"/>
          <w:szCs w:val="28"/>
          <w:b w:val="1"/>
          <w:bCs w:val="1"/>
          <w:color w:val="D52B1E"/>
        </w:rPr>
        <w:t>Item 6. Proposal to Amend the Company’s Articles of Incorporation to Eliminate Supermajority Voting Provisions</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16" w:lineRule="exact"/>
        <w:rPr>
          <w:sz w:val="20"/>
          <w:szCs w:val="20"/>
          <w:color w:val="auto"/>
        </w:rPr>
      </w:pPr>
    </w:p>
    <w:p>
      <w:pPr>
        <w:ind w:left="540" w:hanging="266"/>
        <w:spacing w:after="0"/>
        <w:tabs>
          <w:tab w:leader="none" w:pos="540" w:val="left"/>
        </w:tabs>
        <w:numPr>
          <w:ilvl w:val="0"/>
          <w:numId w:val="190"/>
        </w:numPr>
        <w:rPr>
          <w:rFonts w:ascii="Arial" w:cs="Arial" w:eastAsia="Arial" w:hAnsi="Arial"/>
          <w:sz w:val="14"/>
          <w:szCs w:val="14"/>
          <w:color w:val="auto"/>
        </w:rPr>
      </w:pPr>
      <w:r>
        <w:rPr>
          <w:rFonts w:ascii="Arial" w:cs="Arial" w:eastAsia="Arial" w:hAnsi="Arial"/>
          <w:sz w:val="16"/>
          <w:szCs w:val="16"/>
          <w:color w:val="auto"/>
        </w:rPr>
        <w:t>amending certain provisions of the articles of incorporation that relate to the number and terms of office of directors:</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  the company’s classified board structure (as described under Item 4)</w:t>
      </w:r>
    </w:p>
    <w:p>
      <w:pPr>
        <w:spacing w:after="0" w:line="4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  a provision that the number of directors shall be specified solely by resolution of the board</w:t>
      </w:r>
    </w:p>
    <w:p>
      <w:pPr>
        <w:spacing w:after="0" w:line="49" w:lineRule="exact"/>
        <w:rPr>
          <w:rFonts w:ascii="Arial" w:cs="Arial" w:eastAsia="Arial" w:hAnsi="Arial"/>
          <w:sz w:val="14"/>
          <w:szCs w:val="14"/>
          <w:color w:val="auto"/>
        </w:rPr>
      </w:pPr>
    </w:p>
    <w:p>
      <w:pPr>
        <w:ind w:left="540" w:hanging="266"/>
        <w:spacing w:after="0"/>
        <w:tabs>
          <w:tab w:leader="none" w:pos="540" w:val="left"/>
        </w:tabs>
        <w:numPr>
          <w:ilvl w:val="0"/>
          <w:numId w:val="190"/>
        </w:numPr>
        <w:rPr>
          <w:rFonts w:ascii="Arial" w:cs="Arial" w:eastAsia="Arial" w:hAnsi="Arial"/>
          <w:sz w:val="14"/>
          <w:szCs w:val="14"/>
          <w:color w:val="auto"/>
        </w:rPr>
      </w:pPr>
      <w:r>
        <w:rPr>
          <w:rFonts w:ascii="Arial" w:cs="Arial" w:eastAsia="Arial" w:hAnsi="Arial"/>
          <w:sz w:val="16"/>
          <w:szCs w:val="16"/>
          <w:color w:val="auto"/>
        </w:rPr>
        <w:t>removing directors prior to the end of their elected term</w:t>
      </w:r>
    </w:p>
    <w:p>
      <w:pPr>
        <w:spacing w:after="0" w:line="49" w:lineRule="exact"/>
        <w:rPr>
          <w:rFonts w:ascii="Arial" w:cs="Arial" w:eastAsia="Arial" w:hAnsi="Arial"/>
          <w:sz w:val="14"/>
          <w:szCs w:val="14"/>
          <w:color w:val="auto"/>
        </w:rPr>
      </w:pPr>
    </w:p>
    <w:p>
      <w:pPr>
        <w:ind w:left="560" w:hanging="286"/>
        <w:spacing w:after="0" w:line="257" w:lineRule="auto"/>
        <w:tabs>
          <w:tab w:leader="none" w:pos="550" w:val="left"/>
        </w:tabs>
        <w:numPr>
          <w:ilvl w:val="0"/>
          <w:numId w:val="190"/>
        </w:numPr>
        <w:rPr>
          <w:rFonts w:ascii="Arial" w:cs="Arial" w:eastAsia="Arial" w:hAnsi="Arial"/>
          <w:sz w:val="14"/>
          <w:szCs w:val="14"/>
          <w:color w:val="auto"/>
        </w:rPr>
      </w:pPr>
      <w:r>
        <w:rPr>
          <w:rFonts w:ascii="Arial" w:cs="Arial" w:eastAsia="Arial" w:hAnsi="Arial"/>
          <w:sz w:val="16"/>
          <w:szCs w:val="16"/>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92" w:name="page93"/>
    <w:bookmarkEnd w:id="92"/>
    <w:p>
      <w:pPr>
        <w:ind w:left="540" w:hanging="266"/>
        <w:spacing w:after="0"/>
        <w:tabs>
          <w:tab w:leader="none" w:pos="540" w:val="left"/>
        </w:tabs>
        <w:numPr>
          <w:ilvl w:val="0"/>
          <w:numId w:val="191"/>
        </w:numPr>
        <w:rPr>
          <w:rFonts w:ascii="Arial" w:cs="Arial" w:eastAsia="Arial" w:hAnsi="Arial"/>
          <w:sz w:val="14"/>
          <w:szCs w:val="14"/>
          <w:color w:val="auto"/>
        </w:rPr>
      </w:pPr>
      <w:r>
        <w:rPr>
          <w:rFonts w:ascii="Arial" w:cs="Arial" w:eastAsia="Arial" w:hAnsi="Arial"/>
          <w:sz w:val="16"/>
          <w:szCs w:val="16"/>
          <w:color w:val="auto"/>
        </w:rPr>
        <w:t>modifying or eliminating any of the above supermajority voting requirements.</w:t>
      </w:r>
    </w:p>
    <w:p>
      <w:pPr>
        <w:spacing w:after="0" w:line="5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2022,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Background of Proposal</w:t>
      </w:r>
    </w:p>
    <w:p>
      <w:pPr>
        <w:spacing w:after="0" w:line="5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12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11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Text of Amendments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4984750" cy="6305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4984750" cy="630555"/>
                    </a:xfrm>
                    <a:prstGeom prst="rect">
                      <a:avLst/>
                    </a:prstGeom>
                    <a:noFill/>
                  </pic:spPr>
                </pic:pic>
              </a:graphicData>
            </a:graphic>
          </wp:anchor>
        </w:drawing>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FOR</w:t>
      </w:r>
    </w:p>
    <w:p>
      <w:pPr>
        <w:spacing w:after="0" w:line="150" w:lineRule="exact"/>
        <w:rPr>
          <w:sz w:val="20"/>
          <w:szCs w:val="20"/>
          <w:color w:val="auto"/>
        </w:rPr>
      </w:pPr>
    </w:p>
    <w:p>
      <w:pPr>
        <w:ind w:left="160" w:right="3820"/>
        <w:spacing w:after="0" w:line="282"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Shareholder Proposals</w:t>
      </w:r>
    </w:p>
    <w:p>
      <w:pPr>
        <w:spacing w:after="0" w:line="368"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Item 7. Proposal to Publish an Annual Report Disclosing Lobbying Activities</w:t>
      </w:r>
    </w:p>
    <w:p>
      <w:pPr>
        <w:spacing w:after="0" w:line="73" w:lineRule="exact"/>
        <w:rPr>
          <w:sz w:val="20"/>
          <w:szCs w:val="20"/>
          <w:color w:val="auto"/>
        </w:rPr>
      </w:pPr>
    </w:p>
    <w:p>
      <w:pPr>
        <w:ind w:right="520"/>
        <w:spacing w:after="0" w:line="271" w:lineRule="auto"/>
        <w:rPr>
          <w:sz w:val="20"/>
          <w:szCs w:val="20"/>
          <w:color w:val="auto"/>
        </w:rPr>
      </w:pPr>
      <w:r>
        <w:rPr>
          <w:rFonts w:ascii="Arial" w:cs="Arial" w:eastAsia="Arial" w:hAnsi="Arial"/>
          <w:sz w:val="16"/>
          <w:szCs w:val="16"/>
          <w:color w:val="auto"/>
        </w:rPr>
        <w:t>The Service Employees International Union Pension Plans Master Trust (SEIU), 1800 Massachusetts Ave. NW, Suite 301, Washington, D.C. 20036-1202, a beneficial owner of shares of our common stock having a market value in excess of $2,000, has submitted the following proposal:</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93" w:name="page94"/>
    <w:bookmarkEnd w:id="93"/>
    <w:p>
      <w:pPr>
        <w:ind w:left="7" w:right="300"/>
        <w:spacing w:after="0" w:line="27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we believe in full disclosure of Lilly’s lobbying activities and expenditures to assess whether Lilly’s lobbying is consistent with its expressed goals and</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interests.</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the shareholders of Lilly request the preparation of a report, updated annually, disclosing:</w:t>
      </w:r>
    </w:p>
    <w:p>
      <w:pPr>
        <w:spacing w:after="0" w:line="145" w:lineRule="exact"/>
        <w:rPr>
          <w:sz w:val="20"/>
          <w:szCs w:val="20"/>
          <w:color w:val="auto"/>
        </w:rPr>
      </w:pPr>
    </w:p>
    <w:p>
      <w:pPr>
        <w:ind w:left="547" w:hanging="266"/>
        <w:spacing w:after="0"/>
        <w:tabs>
          <w:tab w:leader="none" w:pos="5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Company policy and procedures governing lobbying, both direct and indirect, and grassroots lobbying communications.</w:t>
      </w:r>
    </w:p>
    <w:p>
      <w:pPr>
        <w:spacing w:after="0" w:line="143" w:lineRule="exact"/>
        <w:rPr>
          <w:rFonts w:ascii="Arial" w:cs="Arial" w:eastAsia="Arial" w:hAnsi="Arial"/>
          <w:sz w:val="16"/>
          <w:szCs w:val="16"/>
          <w:color w:val="auto"/>
        </w:rPr>
      </w:pPr>
    </w:p>
    <w:p>
      <w:pPr>
        <w:ind w:left="567" w:right="100" w:hanging="286"/>
        <w:spacing w:after="0" w:line="271" w:lineRule="auto"/>
        <w:tabs>
          <w:tab w:leader="none" w:pos="55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Payments by Lilly used for (a) direct or indirect lobbying or (b) grassroots lobbying communications, in each case including the amount of the payment and the recipient.</w:t>
      </w:r>
    </w:p>
    <w:p>
      <w:pPr>
        <w:spacing w:after="0" w:line="98" w:lineRule="exact"/>
        <w:rPr>
          <w:rFonts w:ascii="Arial" w:cs="Arial" w:eastAsia="Arial" w:hAnsi="Arial"/>
          <w:sz w:val="16"/>
          <w:szCs w:val="16"/>
          <w:color w:val="auto"/>
        </w:rPr>
      </w:pPr>
    </w:p>
    <w:p>
      <w:pPr>
        <w:ind w:left="547" w:hanging="266"/>
        <w:spacing w:after="0"/>
        <w:tabs>
          <w:tab w:leader="none" w:pos="5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Lilly’s membership in and payments to any tax-exempt organization that writes and endorses model legislation.</w:t>
      </w:r>
    </w:p>
    <w:p>
      <w:pPr>
        <w:spacing w:after="0" w:line="143" w:lineRule="exact"/>
        <w:rPr>
          <w:rFonts w:ascii="Arial" w:cs="Arial" w:eastAsia="Arial" w:hAnsi="Arial"/>
          <w:sz w:val="16"/>
          <w:szCs w:val="16"/>
          <w:color w:val="auto"/>
        </w:rPr>
      </w:pPr>
    </w:p>
    <w:p>
      <w:pPr>
        <w:ind w:left="547" w:hanging="266"/>
        <w:spacing w:after="0"/>
        <w:tabs>
          <w:tab w:leader="none" w:pos="5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143" w:lineRule="exact"/>
        <w:rPr>
          <w:sz w:val="20"/>
          <w:szCs w:val="20"/>
          <w:color w:val="auto"/>
        </w:rPr>
      </w:pPr>
    </w:p>
    <w:p>
      <w:pPr>
        <w:ind w:left="7" w:right="160"/>
        <w:spacing w:after="0" w:line="257"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110" w:lineRule="exact"/>
        <w:rPr>
          <w:sz w:val="20"/>
          <w:szCs w:val="20"/>
          <w:color w:val="auto"/>
        </w:rPr>
      </w:pPr>
    </w:p>
    <w:p>
      <w:pPr>
        <w:ind w:left="7" w:right="1740"/>
        <w:spacing w:after="0" w:line="426" w:lineRule="auto"/>
        <w:rPr>
          <w:sz w:val="20"/>
          <w:szCs w:val="20"/>
          <w:color w:val="auto"/>
        </w:rPr>
      </w:pPr>
      <w:r>
        <w:rPr>
          <w:rFonts w:ascii="Arial" w:cs="Arial" w:eastAsia="Arial" w:hAnsi="Arial"/>
          <w:sz w:val="16"/>
          <w:szCs w:val="16"/>
          <w:color w:val="auto"/>
        </w:rPr>
        <w:t xml:space="preserve">Both “direct and indirect lobbying” and “grassroots lobbying communications” include efforts at the local, territorial, state and federal levels. The report shall be presented to the Public Policy and Compliance Committee and posted on Lilly’s website. </w:t>
      </w:r>
      <w:r>
        <w:rPr>
          <w:rFonts w:ascii="Arial" w:cs="Arial" w:eastAsia="Arial" w:hAnsi="Arial"/>
          <w:sz w:val="16"/>
          <w:szCs w:val="16"/>
          <w:b w:val="1"/>
          <w:bCs w:val="1"/>
          <w:color w:val="auto"/>
        </w:rPr>
        <w:t>Supporting Statement</w:t>
      </w:r>
    </w:p>
    <w:p>
      <w:pPr>
        <w:spacing w:after="0" w:line="2" w:lineRule="exact"/>
        <w:rPr>
          <w:sz w:val="20"/>
          <w:szCs w:val="20"/>
          <w:color w:val="auto"/>
        </w:rPr>
      </w:pPr>
    </w:p>
    <w:p>
      <w:pPr>
        <w:ind w:left="7" w:right="60"/>
        <w:spacing w:after="0" w:line="271" w:lineRule="auto"/>
        <w:rPr>
          <w:sz w:val="20"/>
          <w:szCs w:val="20"/>
          <w:color w:val="auto"/>
        </w:rPr>
      </w:pPr>
      <w:r>
        <w:rPr>
          <w:rFonts w:ascii="Arial" w:cs="Arial" w:eastAsia="Arial" w:hAnsi="Arial"/>
          <w:sz w:val="16"/>
          <w:szCs w:val="16"/>
          <w:color w:val="auto"/>
        </w:rPr>
        <w:t>Lilly spent $95,877,000 from 2010 – 2021 on federal lobbying. This figure does not include state lobbying, where Lilly lobbied in at least 46 states in 2021. Lilly also lobbies abroad, spending between €900,000–999,000 on lobbying in Europe for 2021.</w:t>
      </w:r>
    </w:p>
    <w:p>
      <w:pPr>
        <w:spacing w:after="0" w:line="98" w:lineRule="exact"/>
        <w:rPr>
          <w:sz w:val="20"/>
          <w:szCs w:val="20"/>
          <w:color w:val="auto"/>
        </w:rPr>
      </w:pPr>
    </w:p>
    <w:p>
      <w:pPr>
        <w:ind w:left="7"/>
        <w:spacing w:after="0" w:line="239" w:lineRule="auto"/>
        <w:rPr>
          <w:sz w:val="20"/>
          <w:szCs w:val="20"/>
          <w:color w:val="auto"/>
        </w:rPr>
      </w:pPr>
      <w:r>
        <w:rPr>
          <w:rFonts w:ascii="Arial" w:cs="Arial" w:eastAsia="Arial" w:hAnsi="Arial"/>
          <w:sz w:val="16"/>
          <w:szCs w:val="16"/>
          <w:color w:val="auto"/>
        </w:rPr>
        <w:t>Lilly fails to disclose its third-party payments to trade associations and social welfare groups (SWGs), or the amounts used for lobbying, to shareholders. Companies can give unlimited amounts to third party groups that spend millions on lobbying and undisclosed grassroots activity. These groups may be spending “at least double what’s publicly reported.”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For example, Pharmaceutical Research and Manufacturers of America (PhRMA) has given millions to controversial “dark money” SWGs like the American Action Network.</w:t>
      </w:r>
      <w:r>
        <w:rPr>
          <w:rFonts w:ascii="Arial" w:cs="Arial" w:eastAsia="Arial" w:hAnsi="Arial"/>
          <w:sz w:val="20"/>
          <w:szCs w:val="20"/>
          <w:color w:val="auto"/>
          <w:vertAlign w:val="superscript"/>
        </w:rPr>
        <w:t>2</w:t>
      </w:r>
    </w:p>
    <w:p>
      <w:pPr>
        <w:spacing w:after="0" w:line="63" w:lineRule="exact"/>
        <w:rPr>
          <w:sz w:val="20"/>
          <w:szCs w:val="20"/>
          <w:color w:val="auto"/>
        </w:rPr>
      </w:pPr>
    </w:p>
    <w:p>
      <w:pPr>
        <w:ind w:left="7" w:right="80"/>
        <w:spacing w:after="0" w:line="264" w:lineRule="auto"/>
        <w:rPr>
          <w:sz w:val="20"/>
          <w:szCs w:val="20"/>
          <w:color w:val="auto"/>
        </w:rPr>
      </w:pPr>
      <w:r>
        <w:rPr>
          <w:rFonts w:ascii="Arial" w:cs="Arial" w:eastAsia="Arial" w:hAnsi="Arial"/>
          <w:sz w:val="16"/>
          <w:szCs w:val="16"/>
          <w:color w:val="auto"/>
        </w:rPr>
        <w:t>Lilly belongs to the Chamber of Commerce, Business Roundtable, National Association of Manufacturers (NAM) and PhRMA, which together have spent over $2.8 billion on lobbying since 1998, and supports SWGs that lobby, like the Alliance for Patient Access (AfPA), “which claims to be pro-consumer but consistently advocates against policies to lower drug prices.”</w:t>
      </w:r>
      <w:r>
        <w:rPr>
          <w:rFonts w:ascii="Arial" w:cs="Arial" w:eastAsia="Arial" w:hAnsi="Arial"/>
          <w:sz w:val="20"/>
          <w:szCs w:val="20"/>
          <w:color w:val="auto"/>
          <w:vertAlign w:val="superscript"/>
        </w:rPr>
        <w:t>3</w:t>
      </w:r>
    </w:p>
    <w:p>
      <w:pPr>
        <w:spacing w:after="0" w:line="43" w:lineRule="exact"/>
        <w:rPr>
          <w:sz w:val="20"/>
          <w:szCs w:val="20"/>
          <w:color w:val="auto"/>
        </w:rPr>
      </w:pPr>
    </w:p>
    <w:p>
      <w:pPr>
        <w:ind w:left="7" w:right="320"/>
        <w:spacing w:after="0" w:line="221" w:lineRule="auto"/>
        <w:rPr>
          <w:sz w:val="20"/>
          <w:szCs w:val="20"/>
          <w:color w:val="auto"/>
        </w:rPr>
      </w:pPr>
      <w:r>
        <w:rPr>
          <w:rFonts w:ascii="Arial" w:cs="Arial" w:eastAsia="Arial" w:hAnsi="Arial"/>
          <w:sz w:val="16"/>
          <w:szCs w:val="16"/>
          <w:color w:val="auto"/>
        </w:rPr>
        <w:t>We believe Lilly’s lack of disclosure presents reputational risk when its lobbying contradicts company public positions. For example, Lilly states it supports more affordable medicines, yet funds PhRMA and AfPA’s opposition to lower prescription drug prices.</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Lilly opposed Indiana voter restrictions, yet groups have asked Lilly to cut ties with the American Legislative Exchange Council (ALEC) “because of its voter restriction efforts.”</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Lilly is also represented at ALEC by its trade associations, as the Chamber, NAM and PhRMA each sit on its Private Enterprise Advisory Council.</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Statement in Opposition to the Shareholder Proposal to Publish an Annual Report Disclosing Lobbying Activities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483360" cy="762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05" w:lineRule="exact"/>
        <w:rPr>
          <w:sz w:val="20"/>
          <w:szCs w:val="20"/>
          <w:color w:val="auto"/>
        </w:rPr>
      </w:pPr>
    </w:p>
    <w:p>
      <w:pPr>
        <w:ind w:left="107" w:hanging="107"/>
        <w:spacing w:after="0"/>
        <w:tabs>
          <w:tab w:leader="none" w:pos="107" w:val="left"/>
        </w:tabs>
        <w:numPr>
          <w:ilvl w:val="0"/>
          <w:numId w:val="193"/>
        </w:numPr>
        <w:rPr>
          <w:rFonts w:ascii="Arial" w:cs="Arial" w:eastAsia="Arial" w:hAnsi="Arial"/>
          <w:sz w:val="20"/>
          <w:szCs w:val="20"/>
          <w:color w:val="auto"/>
          <w:vertAlign w:val="superscript"/>
        </w:rPr>
      </w:pPr>
      <w:r>
        <w:rPr>
          <w:rFonts w:ascii="Arial" w:cs="Arial" w:eastAsia="Arial" w:hAnsi="Arial"/>
          <w:sz w:val="12"/>
          <w:szCs w:val="12"/>
          <w:color w:val="auto"/>
        </w:rPr>
        <w:t>https://theintercept.com/2019/08/06/business-group-spending-on-lobbying-in-washington-is-at-least-double-whats-publiclyreported/.</w:t>
      </w:r>
    </w:p>
    <w:p>
      <w:pPr>
        <w:spacing w:after="0" w:line="4" w:lineRule="exact"/>
        <w:rPr>
          <w:sz w:val="20"/>
          <w:szCs w:val="20"/>
          <w:color w:val="auto"/>
        </w:rPr>
      </w:pPr>
    </w:p>
    <w:p>
      <w:pPr>
        <w:ind w:left="107" w:hanging="107"/>
        <w:spacing w:after="0"/>
        <w:tabs>
          <w:tab w:leader="none" w:pos="107" w:val="left"/>
        </w:tabs>
        <w:numPr>
          <w:ilvl w:val="0"/>
          <w:numId w:val="194"/>
        </w:numPr>
        <w:rPr>
          <w:rFonts w:ascii="Arial" w:cs="Arial" w:eastAsia="Arial" w:hAnsi="Arial"/>
          <w:sz w:val="20"/>
          <w:szCs w:val="20"/>
          <w:color w:val="auto"/>
          <w:vertAlign w:val="superscript"/>
        </w:rPr>
      </w:pPr>
      <w:r>
        <w:rPr>
          <w:rFonts w:ascii="Arial" w:cs="Arial" w:eastAsia="Arial" w:hAnsi="Arial"/>
          <w:sz w:val="12"/>
          <w:szCs w:val="12"/>
          <w:color w:val="auto"/>
        </w:rPr>
        <w:t>https://www.opensecrets.org/news/2019/11/big-pharma-bankrolled-conservative-groups-tax-returns-show/.</w:t>
      </w:r>
    </w:p>
    <w:p>
      <w:pPr>
        <w:spacing w:after="0" w:line="69" w:lineRule="exact"/>
        <w:rPr>
          <w:rFonts w:ascii="Arial" w:cs="Arial" w:eastAsia="Arial" w:hAnsi="Arial"/>
          <w:sz w:val="20"/>
          <w:szCs w:val="20"/>
          <w:color w:val="auto"/>
          <w:vertAlign w:val="superscript"/>
        </w:rPr>
      </w:pPr>
    </w:p>
    <w:p>
      <w:pPr>
        <w:ind w:left="7"/>
        <w:spacing w:after="0" w:line="20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3</w:t>
      </w:r>
      <w:r>
        <w:rPr>
          <w:rFonts w:ascii="Arial" w:cs="Arial" w:eastAsia="Arial" w:hAnsi="Arial"/>
          <w:sz w:val="12"/>
          <w:szCs w:val="12"/>
          <w:color w:val="auto"/>
        </w:rPr>
        <w:t xml:space="preserve"> https://prospect.org/power/astroturf-campaign-attacks-discount-drug-program-for-poor/.</w:t>
      </w:r>
    </w:p>
    <w:p>
      <w:pPr>
        <w:ind w:left="7" w:right="200"/>
        <w:spacing w:after="0" w:line="354"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4</w:t>
      </w:r>
      <w:r>
        <w:rPr>
          <w:rFonts w:ascii="Arial" w:cs="Arial" w:eastAsia="Arial" w:hAnsi="Arial"/>
          <w:sz w:val="12"/>
          <w:szCs w:val="12"/>
          <w:color w:val="auto"/>
        </w:rPr>
        <w:t xml:space="preserve"> https://www.opensecrets.org/news/2021/09/pharmaceutical-industry-backs-democratic-holdouts-on-drug-pricing-plan/; https://nonprofitquarterly.org/alliance-for-patient-access-not-even-trying-subtlety/. </w:t>
      </w:r>
      <w:r>
        <w:rPr>
          <w:rFonts w:ascii="Arial" w:cs="Arial" w:eastAsia="Arial" w:hAnsi="Arial"/>
          <w:sz w:val="20"/>
          <w:szCs w:val="20"/>
          <w:color w:val="auto"/>
          <w:vertAlign w:val="superscript"/>
        </w:rPr>
        <w:t>5</w:t>
      </w:r>
      <w:r>
        <w:rPr>
          <w:rFonts w:ascii="Arial" w:cs="Arial" w:eastAsia="Arial" w:hAnsi="Arial"/>
          <w:sz w:val="12"/>
          <w:szCs w:val="12"/>
          <w:color w:val="auto"/>
        </w:rPr>
        <w:t xml:space="preserve"> https://www.thenation.com/article/politics/alec-corporations-democracy/.</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83" w:right="319" w:bottom="1440" w:gutter="0" w:footer="0" w:header="0"/>
        </w:sectPr>
      </w:pPr>
    </w:p>
    <w:bookmarkStart w:id="94" w:name="page95"/>
    <w:bookmarkEnd w:id="94"/>
    <w:p>
      <w:pPr>
        <w:ind w:right="320"/>
        <w:spacing w:after="0" w:line="271" w:lineRule="auto"/>
        <w:rPr>
          <w:sz w:val="20"/>
          <w:szCs w:val="20"/>
          <w:color w:val="auto"/>
        </w:rPr>
      </w:pPr>
      <w:r>
        <w:rPr>
          <w:rFonts w:ascii="Arial" w:cs="Arial" w:eastAsia="Arial" w:hAnsi="Arial"/>
          <w:sz w:val="16"/>
          <w:szCs w:val="16"/>
          <w:color w:val="auto"/>
        </w:rPr>
        <w:t>The proposal calls for the board to publish an annual report to shareholders disclosing the company’s direct and indirect lobbying activities and expenditures to assess whether its lobbying is consistent with its expressed goals and in the best interest of shareholders.</w:t>
      </w:r>
    </w:p>
    <w:p>
      <w:pPr>
        <w:spacing w:after="0" w:line="87" w:lineRule="exact"/>
        <w:rPr>
          <w:sz w:val="20"/>
          <w:szCs w:val="20"/>
          <w:color w:val="auto"/>
        </w:rPr>
      </w:pPr>
    </w:p>
    <w:p>
      <w:pPr>
        <w:jc w:val="both"/>
        <w:ind w:left="560" w:right="140" w:hanging="560"/>
        <w:spacing w:after="0" w:line="236" w:lineRule="auto"/>
        <w:rPr>
          <w:sz w:val="20"/>
          <w:szCs w:val="20"/>
          <w:color w:val="auto"/>
        </w:rPr>
      </w:pPr>
      <w:r>
        <w:rPr>
          <w:rFonts w:ascii="Arial" w:cs="Arial" w:eastAsia="Arial" w:hAnsi="Arial"/>
          <w:sz w:val="16"/>
          <w:szCs w:val="16"/>
          <w:color w:val="auto"/>
        </w:rPr>
        <w:t>The report requested by the proposal is unnecessary because Lilly already provides shareholders with extensive disclosures regarding the company’s direct and indirect lobbying activities and expenditures, and information necessary to assess the consistency of the company’s lobbying activities with its expressed goals through existing disclosures. In November 2021, we substantially enhanced our public disclosures with respect to Lilly’s direct and indirect lobbying activities, including for example, disclosures regarding:</w:t>
      </w:r>
    </w:p>
    <w:p>
      <w:pPr>
        <w:spacing w:after="0" w:line="3" w:lineRule="exact"/>
        <w:rPr>
          <w:sz w:val="20"/>
          <w:szCs w:val="20"/>
          <w:color w:val="auto"/>
        </w:rPr>
      </w:pPr>
    </w:p>
    <w:p>
      <w:pPr>
        <w:ind w:left="540" w:hanging="266"/>
        <w:spacing w:after="0"/>
        <w:tabs>
          <w:tab w:leader="none" w:pos="540" w:val="left"/>
        </w:tabs>
        <w:numPr>
          <w:ilvl w:val="0"/>
          <w:numId w:val="195"/>
        </w:numPr>
        <w:rPr>
          <w:rFonts w:ascii="Arial" w:cs="Arial" w:eastAsia="Arial" w:hAnsi="Arial"/>
          <w:sz w:val="14"/>
          <w:szCs w:val="14"/>
          <w:color w:val="auto"/>
        </w:rPr>
      </w:pPr>
      <w:r>
        <w:rPr>
          <w:rFonts w:ascii="Arial" w:cs="Arial" w:eastAsia="Arial" w:hAnsi="Arial"/>
          <w:sz w:val="16"/>
          <w:szCs w:val="16"/>
          <w:color w:val="auto"/>
        </w:rPr>
        <w:t>our board’s oversight of political expenditures and lobbying activities;</w:t>
      </w:r>
    </w:p>
    <w:p>
      <w:pPr>
        <w:spacing w:after="0" w:line="129" w:lineRule="exact"/>
        <w:rPr>
          <w:rFonts w:ascii="Arial" w:cs="Arial" w:eastAsia="Arial" w:hAnsi="Arial"/>
          <w:sz w:val="14"/>
          <w:szCs w:val="14"/>
          <w:color w:val="auto"/>
        </w:rPr>
      </w:pPr>
    </w:p>
    <w:p>
      <w:pPr>
        <w:ind w:left="560" w:right="20" w:hanging="286"/>
        <w:spacing w:after="0" w:line="271" w:lineRule="auto"/>
        <w:tabs>
          <w:tab w:leader="none" w:pos="550" w:val="left"/>
        </w:tabs>
        <w:numPr>
          <w:ilvl w:val="0"/>
          <w:numId w:val="195"/>
        </w:numPr>
        <w:rPr>
          <w:rFonts w:ascii="Arial" w:cs="Arial" w:eastAsia="Arial" w:hAnsi="Arial"/>
          <w:sz w:val="14"/>
          <w:szCs w:val="14"/>
          <w:color w:val="auto"/>
        </w:rPr>
      </w:pPr>
      <w:r>
        <w:rPr>
          <w:rFonts w:ascii="Arial" w:cs="Arial" w:eastAsia="Arial" w:hAnsi="Arial"/>
          <w:sz w:val="16"/>
          <w:szCs w:val="16"/>
          <w:color w:val="auto"/>
        </w:rPr>
        <w:t>Lilly’s political contributions to candidates for public office (directly from Lilly and through the company’s exclusively employee-led political action committee (LillyPAC));</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195"/>
        </w:numPr>
        <w:rPr>
          <w:rFonts w:ascii="Arial" w:cs="Arial" w:eastAsia="Arial" w:hAnsi="Arial"/>
          <w:sz w:val="14"/>
          <w:szCs w:val="14"/>
          <w:color w:val="auto"/>
        </w:rPr>
      </w:pPr>
      <w:r>
        <w:rPr>
          <w:rFonts w:ascii="Arial" w:cs="Arial" w:eastAsia="Arial" w:hAnsi="Arial"/>
          <w:sz w:val="16"/>
          <w:szCs w:val="16"/>
          <w:color w:val="auto"/>
        </w:rPr>
        <w:t>recipients of Lilly’s political contributions;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95"/>
        </w:numPr>
        <w:rPr>
          <w:rFonts w:ascii="Arial" w:cs="Arial" w:eastAsia="Arial" w:hAnsi="Arial"/>
          <w:sz w:val="14"/>
          <w:szCs w:val="14"/>
          <w:color w:val="auto"/>
        </w:rPr>
      </w:pPr>
      <w:r>
        <w:rPr>
          <w:rFonts w:ascii="Arial" w:cs="Arial" w:eastAsia="Arial" w:hAnsi="Arial"/>
          <w:sz w:val="16"/>
          <w:szCs w:val="16"/>
          <w:color w:val="auto"/>
        </w:rPr>
        <w:t>Lilly’s federal and state lobbying activities; and</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195"/>
        </w:numPr>
        <w:rPr>
          <w:rFonts w:ascii="Arial" w:cs="Arial" w:eastAsia="Arial" w:hAnsi="Arial"/>
          <w:sz w:val="13"/>
          <w:szCs w:val="13"/>
          <w:color w:val="auto"/>
        </w:rPr>
      </w:pPr>
      <w:r>
        <w:rPr>
          <w:rFonts w:ascii="Arial" w:cs="Arial" w:eastAsia="Arial" w:hAnsi="Arial"/>
          <w:sz w:val="14"/>
          <w:szCs w:val="14"/>
          <w:color w:val="auto"/>
        </w:rPr>
        <w:t>trade associations to which Lilly pays annual membership dues of $50,000 or more (including those trade associations on which Lilly has a board seat).</w:t>
      </w:r>
    </w:p>
    <w:p>
      <w:pPr>
        <w:spacing w:after="0" w:line="166"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These extensive disclosures already enable shareholders to assess whether the company’s lobbying activities are consistent with its expressed goals and in the best interest of shareholders.</w:t>
      </w:r>
    </w:p>
    <w:p>
      <w:pPr>
        <w:spacing w:after="0" w:line="9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Contrary to the proposal’s assertions, Lilly does not fund opposition to lowering prescription drug prices. Lilly does, however, oppose legislative policies that would hinder medical discovery for patients. For example, as explained on our website’s news and stories section, we opposed H.R. 3 because it would not only stifle innovation but there are better policy solutions to help patients with their out of pockets costs such as Medicare Part D modernization and not requiring deductibles for insulin coverage. Similarly, we have opposed the drug pricing aspects of the Inflation Reduction Act of 2022 (the IRA) that would also have negative consequences to drug discovery without directly helping patients—such as Medicare price setting under the guise of negotiation. At the same time, Lilly actively supported portions of the IRA that we believe will benefit patients and innovation, such as the $35 out of pocket cap on insulin costs for Medicare beneficiaries and the elimination of the coverage gap in Medicare Part D plans.</w:t>
      </w:r>
    </w:p>
    <w:p>
      <w:pPr>
        <w:spacing w:after="0" w:line="118" w:lineRule="exact"/>
        <w:rPr>
          <w:sz w:val="20"/>
          <w:szCs w:val="20"/>
          <w:color w:val="auto"/>
        </w:rPr>
      </w:pPr>
    </w:p>
    <w:p>
      <w:pPr>
        <w:ind w:right="220"/>
        <w:spacing w:after="0" w:line="311" w:lineRule="auto"/>
        <w:rPr>
          <w:sz w:val="20"/>
          <w:szCs w:val="20"/>
          <w:color w:val="auto"/>
        </w:rPr>
      </w:pPr>
      <w:r>
        <w:rPr>
          <w:rFonts w:ascii="Arial" w:cs="Arial" w:eastAsia="Arial" w:hAnsi="Arial"/>
          <w:sz w:val="14"/>
          <w:szCs w:val="14"/>
          <w:color w:val="auto"/>
        </w:rPr>
        <w:t>Our political expenditures, in fact, cover the political spectrum and reflect our approach to engaging stakeholders on various complex issues to help preserve incentives and ensure an environment conducive to finding new treatments. As explained in further detail below, the company already publicly discloses this information, which provides shareholders with the information necessary to assess the consistency of the company’s lobbying activities with its expressed goals.</w:t>
      </w:r>
    </w:p>
    <w:p>
      <w:pPr>
        <w:spacing w:after="0" w:line="73"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b w:val="1"/>
          <w:bCs w:val="1"/>
          <w:color w:val="auto"/>
        </w:rPr>
        <w:t>Lilly already publicly discloses the information requested by the proposal regarding the company’s policies and procedures governing direct and indirect lobbying activities.</w:t>
      </w:r>
    </w:p>
    <w:p>
      <w:pPr>
        <w:spacing w:after="0" w:line="81" w:lineRule="exact"/>
        <w:rPr>
          <w:sz w:val="20"/>
          <w:szCs w:val="20"/>
          <w:color w:val="auto"/>
        </w:rPr>
      </w:pPr>
    </w:p>
    <w:p>
      <w:pPr>
        <w:ind w:right="120"/>
        <w:spacing w:after="0" w:line="344" w:lineRule="auto"/>
        <w:rPr>
          <w:sz w:val="20"/>
          <w:szCs w:val="20"/>
          <w:color w:val="auto"/>
        </w:rPr>
      </w:pPr>
      <w:r>
        <w:rPr>
          <w:rFonts w:ascii="Arial" w:cs="Arial" w:eastAsia="Arial" w:hAnsi="Arial"/>
          <w:sz w:val="14"/>
          <w:szCs w:val="14"/>
          <w:color w:val="auto"/>
        </w:rPr>
        <w:t>In this proxy statement, the political participation page of Lilly’s website (Political Participation Website), and Lilly’s corporate governance guidelines, the company discloses its extensive policies and procedures governing direct and indirect lobbying activities. For example, the Political Participation Website discloses:</w:t>
      </w:r>
    </w:p>
    <w:p>
      <w:pPr>
        <w:spacing w:after="0" w:line="52" w:lineRule="exact"/>
        <w:rPr>
          <w:sz w:val="20"/>
          <w:szCs w:val="20"/>
          <w:color w:val="auto"/>
        </w:rPr>
      </w:pPr>
    </w:p>
    <w:p>
      <w:pPr>
        <w:ind w:left="560" w:right="120" w:hanging="286"/>
        <w:spacing w:after="0" w:line="344" w:lineRule="auto"/>
        <w:tabs>
          <w:tab w:leader="none" w:pos="550" w:val="left"/>
        </w:tabs>
        <w:numPr>
          <w:ilvl w:val="0"/>
          <w:numId w:val="196"/>
        </w:numPr>
        <w:rPr>
          <w:rFonts w:ascii="Arial" w:cs="Arial" w:eastAsia="Arial" w:hAnsi="Arial"/>
          <w:sz w:val="13"/>
          <w:szCs w:val="13"/>
          <w:color w:val="auto"/>
        </w:rPr>
      </w:pPr>
      <w:r>
        <w:rPr>
          <w:rFonts w:ascii="Arial" w:cs="Arial" w:eastAsia="Arial" w:hAnsi="Arial"/>
          <w:sz w:val="14"/>
          <w:szCs w:val="14"/>
          <w:color w:val="auto"/>
        </w:rPr>
        <w:t>Lilly’s commitment, through public policy engagement, to provide a way for all our locations globally to offer Lilly’s perspective on the political environment in a manner that supports access to innovative medicines, as well as to look for ways to engage on issues specific to local business environments;</w:t>
      </w:r>
    </w:p>
    <w:p>
      <w:pPr>
        <w:spacing w:after="0" w:line="52" w:lineRule="exact"/>
        <w:rPr>
          <w:rFonts w:ascii="Arial" w:cs="Arial" w:eastAsia="Arial" w:hAnsi="Arial"/>
          <w:sz w:val="13"/>
          <w:szCs w:val="13"/>
          <w:color w:val="auto"/>
        </w:rPr>
      </w:pPr>
    </w:p>
    <w:p>
      <w:pPr>
        <w:ind w:left="560" w:hanging="286"/>
        <w:spacing w:after="0" w:line="271" w:lineRule="auto"/>
        <w:tabs>
          <w:tab w:leader="none" w:pos="550" w:val="left"/>
        </w:tabs>
        <w:numPr>
          <w:ilvl w:val="0"/>
          <w:numId w:val="196"/>
        </w:numPr>
        <w:rPr>
          <w:rFonts w:ascii="Arial" w:cs="Arial" w:eastAsia="Arial" w:hAnsi="Arial"/>
          <w:sz w:val="14"/>
          <w:szCs w:val="14"/>
          <w:color w:val="auto"/>
        </w:rPr>
      </w:pPr>
      <w:r>
        <w:rPr>
          <w:rFonts w:ascii="Arial" w:cs="Arial" w:eastAsia="Arial" w:hAnsi="Arial"/>
          <w:sz w:val="16"/>
          <w:szCs w:val="16"/>
          <w:color w:val="auto"/>
        </w:rPr>
        <w:t>that Lilly employees must comply with our global policies, core values and legal obligations, which are outlined in our written code of business conduct, The Red Book;</w:t>
      </w:r>
    </w:p>
    <w:p>
      <w:pPr>
        <w:spacing w:after="0" w:line="98" w:lineRule="exact"/>
        <w:rPr>
          <w:rFonts w:ascii="Arial" w:cs="Arial" w:eastAsia="Arial" w:hAnsi="Arial"/>
          <w:sz w:val="14"/>
          <w:szCs w:val="14"/>
          <w:color w:val="auto"/>
        </w:rPr>
      </w:pPr>
    </w:p>
    <w:p>
      <w:pPr>
        <w:ind w:left="560" w:right="200" w:hanging="286"/>
        <w:spacing w:after="0" w:line="257" w:lineRule="auto"/>
        <w:tabs>
          <w:tab w:leader="none" w:pos="550" w:val="left"/>
        </w:tabs>
        <w:numPr>
          <w:ilvl w:val="0"/>
          <w:numId w:val="196"/>
        </w:numPr>
        <w:rPr>
          <w:rFonts w:ascii="Arial" w:cs="Arial" w:eastAsia="Arial" w:hAnsi="Arial"/>
          <w:sz w:val="14"/>
          <w:szCs w:val="14"/>
          <w:color w:val="auto"/>
        </w:rPr>
      </w:pPr>
      <w:r>
        <w:rPr>
          <w:rFonts w:ascii="Arial" w:cs="Arial" w:eastAsia="Arial" w:hAnsi="Arial"/>
          <w:sz w:val="16"/>
          <w:szCs w:val="16"/>
          <w:color w:val="auto"/>
        </w:rPr>
        <w:t>that when engaging in lobbying activities, Lilly complies with the laws that govern such activities, and that Lilly’s senior vice president, global government affairs is responsible for overseeing these activities and the company’s general counsel and chief financial officer, or their designees, also approve all corporate political contributions before they are made; and</w:t>
      </w:r>
    </w:p>
    <w:p>
      <w:pPr>
        <w:spacing w:after="0" w:line="109" w:lineRule="exact"/>
        <w:rPr>
          <w:rFonts w:ascii="Arial" w:cs="Arial" w:eastAsia="Arial" w:hAnsi="Arial"/>
          <w:sz w:val="14"/>
          <w:szCs w:val="14"/>
          <w:color w:val="auto"/>
        </w:rPr>
      </w:pPr>
    </w:p>
    <w:p>
      <w:pPr>
        <w:ind w:left="560" w:right="560" w:hanging="286"/>
        <w:spacing w:after="0" w:line="344" w:lineRule="auto"/>
        <w:tabs>
          <w:tab w:leader="none" w:pos="550" w:val="left"/>
        </w:tabs>
        <w:numPr>
          <w:ilvl w:val="0"/>
          <w:numId w:val="196"/>
        </w:numPr>
        <w:rPr>
          <w:rFonts w:ascii="Arial" w:cs="Arial" w:eastAsia="Arial" w:hAnsi="Arial"/>
          <w:sz w:val="13"/>
          <w:szCs w:val="13"/>
          <w:color w:val="auto"/>
        </w:rPr>
      </w:pPr>
      <w:r>
        <w:rPr>
          <w:rFonts w:ascii="Arial" w:cs="Arial" w:eastAsia="Arial" w:hAnsi="Arial"/>
          <w:sz w:val="14"/>
          <w:szCs w:val="14"/>
          <w:color w:val="auto"/>
        </w:rPr>
        <w:t>that, where permitted, Lilly makes lawful political contributions in the United States to political candidate committees, political parties, political action committees, ballot measure committees, associations and other political organizations operating under section 527 of the Internal Revenue Code.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Lilly already publicly discloses the information requested by the proposal regarding our direct and indirect lobbying expenditures.</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Lilly makes extensive disclosures regarding its direct and indirect lobbying expenditures in its proxy statement, Political Participation Website, environmental, social and governance report, and other public disclosures regarding its political activities. The trade associations through which Lilly conducts its indirect lobbying activities (which are evaluated annually by the company’s U.S. government affairs leaders) also publicly disclose their lobbying expenditures. As noted in the bullet points above, in November 2021, Lilly substantially enhanced its disclosures related to its direct and indirect lobbying activities, including lobbying expenditures. Lilly voluntarily discloses its corporate political contributions and expenditures on an annual basis on the Political Participation Website. The proposal also requests we disclose our grassroots lobbying communications, however, Lilly does not engage in grassroots lobbying communications to the general public. The proposal also notes that groups have asked Lilly to cut ties with the American Legislative Exchange Council (ALEC). Lilly is no longer a member of ALEC. Additional details regarding the company’s corporate contributions, LillyPAC’s contributions (which are also voluntarily disclosed on a bi-annual basis), contribution data, and the company’s direct lobbying expenses are also already made available to the public from numerous public sources.</w:t>
      </w:r>
    </w:p>
    <w:p>
      <w:pPr>
        <w:spacing w:after="0" w:line="1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Lilly already publicly discloses the information requested by the proposal regarding our membership in, and payments to, any tax-exempt organization that writes and endorses model legislation.</w:t>
      </w:r>
    </w:p>
    <w:p>
      <w:pPr>
        <w:spacing w:after="0" w:line="8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noted above, Lilly’s Political Participation Website also contains information regarding the company’s U.S. trade association memberships for which the company pays annual dues of $50,000 or more and information regarding the percentage of dues collected by such trade associations utilized for federal and state lobbying and political expenditures. In the Political Participation Website, Lilly already discloses Lilly’s memberships in organizations that report lobbying activity to the U.S. federal government, including the Pharmaceutical Research and Manufacturers of America, the National Association of Manufacturers, the Biotechnology Innovation Organization, the U.S. Chamber of Commerce, and the Business Roundtable.</w:t>
      </w:r>
    </w:p>
    <w:p>
      <w:pPr>
        <w:spacing w:after="0" w:line="11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color w:val="auto"/>
        </w:rPr>
        <w:t>Lilly already publicly discloses the information requested by the proposal regarding its decision-making process and the board’s oversight over direct and indirect lobbying activities.</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this proxy statement and the Political Participation Website, Lilly already discloses its decision-making process and the board’s oversight over the company’s political expenditures and direct and indirect lobbying activities to ensure the company fulfills its commitment to stewardship of corporate funds and minimizes risk with respect to such activities.</w:t>
      </w:r>
    </w:p>
    <w:p>
      <w:pPr>
        <w:spacing w:after="0" w:line="11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For example, the board receives regular updates from the executive vice president, corporate affairs, and communications regarding public policy issues and the company’s direct and indirect lobbying activities and receives semi-annual updates on direct and indirect lobbying activities and trade association memberships. See “</w:t>
      </w:r>
      <w:r>
        <w:rPr>
          <w:rFonts w:ascii="Arial" w:cs="Arial" w:eastAsia="Arial" w:hAnsi="Arial"/>
          <w:sz w:val="16"/>
          <w:szCs w:val="16"/>
          <w:u w:val="single" w:color="auto"/>
          <w:color w:val="0000FF"/>
        </w:rPr>
        <w:t>Governance—How We Operate an Effective Board—Key Areas of Oversight by the Board and Its Committees— Political Activities</w:t>
      </w:r>
      <w:r>
        <w:rPr>
          <w:rFonts w:ascii="Arial" w:cs="Arial" w:eastAsia="Arial" w:hAnsi="Arial"/>
          <w:sz w:val="16"/>
          <w:szCs w:val="16"/>
          <w:color w:val="auto"/>
        </w:rPr>
        <w:t>”, and “</w:t>
      </w:r>
      <w:r>
        <w:rPr>
          <w:rFonts w:ascii="Arial" w:cs="Arial" w:eastAsia="Arial" w:hAnsi="Arial"/>
          <w:sz w:val="16"/>
          <w:szCs w:val="16"/>
          <w:u w:val="single" w:color="auto"/>
          <w:color w:val="0000FF"/>
        </w:rPr>
        <w:t>Governance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Practices—Political and Policy Participation</w:t>
      </w:r>
      <w:r>
        <w:rPr>
          <w:rFonts w:ascii="Arial" w:cs="Arial" w:eastAsia="Arial" w:hAnsi="Arial"/>
          <w:sz w:val="16"/>
          <w:szCs w:val="16"/>
          <w:color w:val="000000"/>
        </w:rPr>
        <w:t>” for additional information.</w:t>
      </w:r>
    </w:p>
    <w:p>
      <w:pPr>
        <w:spacing w:after="0" w:line="113"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1" w:lineRule="exact"/>
        <w:rPr>
          <w:sz w:val="20"/>
          <w:szCs w:val="20"/>
          <w:color w:val="auto"/>
        </w:rPr>
      </w:pPr>
    </w:p>
    <w:p>
      <w:pPr>
        <w:jc w:val="both"/>
        <w:ind w:right="260"/>
        <w:spacing w:after="0" w:line="344" w:lineRule="auto"/>
        <w:rPr>
          <w:sz w:val="20"/>
          <w:szCs w:val="20"/>
          <w:color w:val="auto"/>
        </w:rPr>
      </w:pPr>
      <w:r>
        <w:rPr>
          <w:rFonts w:ascii="Arial" w:cs="Arial" w:eastAsia="Arial" w:hAnsi="Arial"/>
          <w:sz w:val="14"/>
          <w:szCs w:val="14"/>
          <w:color w:val="auto"/>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992370" cy="47498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Item 8. Proposal to Eliminate Supermajority Voting Requirements</w:t>
      </w:r>
    </w:p>
    <w:p>
      <w:pPr>
        <w:spacing w:after="0" w:line="6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John Chevedden, 2215 Nelson Avenue, No. 205, Redondo Beach, CA 90278, a beneficial owner of shares of our common stock having a market value in excess of $2,000, has submitted the following proposal:</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3" w:right="37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Proposal 8—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101600</wp:posOffset>
            </wp:positionV>
            <wp:extent cx="1505585" cy="30416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50558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w:t>
      </w:r>
    </w:p>
    <w:p>
      <w:pPr>
        <w:spacing w:after="0" w:line="11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This means the closest standard to a majority of the votes cast for and against such proposals consistent with applicable laws. This includes any existing supermajority vote requirement that results from default to state law and can be subject to replacement. This proposal topic is important because it was approved by 84% of Eli Lilly shares that voted in 2021.</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2023 proposal includes that the Board take all the steps necessary at its discretion to help ensure that the topic of this proposal is approved by the requirement of 80% of all outstanding shares including a commitment to hire a proxy solicitor to conduct an intensive campaign, a commitment to adjourn the annual meeting to obtain the votes required if necessary and to take a 2-year process to adopt this proposal topic if applicable. This proposal does not restrict the Board from using a means to obtain the necessary vote that is not mentioned in this proposal.</w:t>
      </w:r>
    </w:p>
    <w:p>
      <w:pPr>
        <w:spacing w:after="0" w:line="115"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color w:val="auto"/>
        </w:rPr>
        <w:t>For instance PPG Industries, Inc. (PPG) adjourned its annual meeting for weeks to obtain the necessary votes on this proposal topic in 2022 and Raytheon Technologies Corporation (RTX) announced a 2-year process to obtain shareholder approval of this proposal topic in its 2022 proxy.</w:t>
      </w:r>
    </w:p>
    <w:p>
      <w:pPr>
        <w:spacing w:after="0" w:line="9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This proposal includes that the Board make an EDGAR filing approximately 10-days before the annual meeting urging shareholder to vote in favor and explaining all the efforts the board has taken or will take to obtain the necessary vote and all the available efforts that the Board has not taken with an explanation for each available effort not taken. This EDGAR filing would also describe any group of Eli Lilly shareholders who are opposed to this topic and Board efforts to reach out to such groups.</w:t>
      </w:r>
    </w:p>
    <w:p>
      <w:pPr>
        <w:spacing w:after="0" w:line="1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It is important to make an all-out effort now to obtain shareholder approval of this proposal topic in preference to the expense of conducting failed votes on this proposal topic every year into the foreseeable future. Extraordinary measures need to be taken to adopt this proposal topic due to the dead hand of our undemocratic governance provisions that require an 80% approval from all Eli Lilly shares outstanding to improve the corporate governance of Eli Lilly — given the reality that only 70% of Eli Lilly shares typically vote at the annual meeting.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vote yes: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Simple Majority Vote — Proposal 8</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Statement in Opposition to the Shareholder Proposal to Eliminate Supermajority Voting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ind w:right="120"/>
        <w:spacing w:after="0" w:line="344" w:lineRule="auto"/>
        <w:rPr>
          <w:sz w:val="20"/>
          <w:szCs w:val="20"/>
          <w:color w:val="auto"/>
        </w:rPr>
      </w:pPr>
      <w:r>
        <w:rPr>
          <w:rFonts w:ascii="Arial" w:cs="Arial" w:eastAsia="Arial" w:hAnsi="Arial"/>
          <w:sz w:val="14"/>
          <w:szCs w:val="14"/>
          <w:color w:val="auto"/>
        </w:rPr>
        <w:t>The proposal calls for the board to take each step necessary so that each voting requirement in our charter and bylaws that calls for a greater than simple majority vote be replaced by a requirement for a majority of the votes cast for and against such proposals or a simple majority in compliance with applicable laws.</w:t>
      </w:r>
    </w:p>
    <w:p>
      <w:pPr>
        <w:spacing w:after="0" w:line="5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board believes that, in light of management’s proposal set forth in Item 6 of this proxy statement to eliminate the supermajority voting requirements applicable to common shareholders, this non-binding shareholder proposal is redundant, unnecessary, and confusing.</w:t>
      </w:r>
    </w:p>
    <w:p>
      <w:pPr>
        <w:spacing w:after="0" w:line="98"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The board has approved, and recommends that the shareholders approve, amendments to eliminate the supermajority voting requirements (the Supermajority Voting Amendments) in the company’s articles of incorporation as described in Item 6 of this proxy statement.</w:t>
      </w:r>
    </w:p>
    <w:p>
      <w:pPr>
        <w:spacing w:after="0" w:line="9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Lilly has repeatedly made efforts to obtain shareholder approval of the Supermajority Voting Amendments proposal over many years. From 2010 through 2012 and again from 2018 through 2022, the board has submitted this management proposal to shareholders seeking approval to eliminate these supermajority voting requirements.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97" w:name="page98"/>
    <w:bookmarkEnd w:id="97"/>
    <w:p>
      <w:pPr>
        <w:ind w:left="7"/>
        <w:spacing w:after="0" w:line="250" w:lineRule="auto"/>
        <w:rPr>
          <w:sz w:val="20"/>
          <w:szCs w:val="20"/>
          <w:color w:val="auto"/>
        </w:rPr>
      </w:pPr>
      <w:r>
        <w:rPr>
          <w:rFonts w:ascii="Arial" w:cs="Arial" w:eastAsia="Arial" w:hAnsi="Arial"/>
          <w:sz w:val="16"/>
          <w:szCs w:val="16"/>
          <w:color w:val="auto"/>
        </w:rPr>
        <w:t>For instance, as disclosed in this and prior proxy statements, for every year management has submitted the Supermajority Voting Amendments to shareholders for approval, the company has engaged a proxy solicitor to assist with distribution and solicitation of proxies, and the number of shares represented at the last four meetings (either in person or by proxy) has exceeded 90 percent. However, while over 81 percent of shares outstanding cast votes with respect to management’s Supermajority Voting Amendments proposal in the last three years, on each occasion the proposal has failed to receive the required affirmative vote given the failure of enough shareholders to vote in favor.</w:t>
      </w:r>
    </w:p>
    <w:p>
      <w:pPr>
        <w:spacing w:after="0" w:line="116" w:lineRule="exact"/>
        <w:rPr>
          <w:sz w:val="20"/>
          <w:szCs w:val="20"/>
          <w:color w:val="auto"/>
        </w:rPr>
      </w:pPr>
    </w:p>
    <w:p>
      <w:pPr>
        <w:ind w:left="7" w:right="280"/>
        <w:spacing w:after="0" w:line="257" w:lineRule="auto"/>
        <w:rPr>
          <w:sz w:val="20"/>
          <w:szCs w:val="20"/>
          <w:color w:val="auto"/>
        </w:rPr>
      </w:pPr>
      <w:r>
        <w:rPr>
          <w:rFonts w:ascii="Arial" w:cs="Arial" w:eastAsia="Arial" w:hAnsi="Arial"/>
          <w:sz w:val="16"/>
          <w:szCs w:val="16"/>
          <w:color w:val="auto"/>
        </w:rPr>
        <w:t>Furthermore, as discussed in this proxy statement in the section titled “</w:t>
      </w:r>
      <w:r>
        <w:rPr>
          <w:rFonts w:ascii="Arial" w:cs="Arial" w:eastAsia="Arial" w:hAnsi="Arial"/>
          <w:sz w:val="16"/>
          <w:szCs w:val="16"/>
          <w:u w:val="single" w:color="auto"/>
          <w:color w:val="0000FF"/>
        </w:rPr>
        <w:t>Shareholder Engagement on Governance Issues—Management Proposals to Eliminate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Classified Board and Supermajority Voting Requirements</w:t>
      </w:r>
      <w:r>
        <w:rPr>
          <w:rFonts w:ascii="Arial" w:cs="Arial" w:eastAsia="Arial" w:hAnsi="Arial"/>
          <w:sz w:val="16"/>
          <w:szCs w:val="16"/>
          <w:color w:val="000000"/>
        </w:rPr>
        <w:t>”, management regularly engages with shareholders on governance topics, including management’s</w:t>
      </w:r>
      <w:r>
        <w:rPr>
          <w:rFonts w:ascii="Arial" w:cs="Arial" w:eastAsia="Arial" w:hAnsi="Arial"/>
          <w:sz w:val="16"/>
          <w:szCs w:val="16"/>
          <w:color w:val="0000FF"/>
        </w:rPr>
        <w:t xml:space="preserve"> </w:t>
      </w:r>
      <w:r>
        <w:rPr>
          <w:rFonts w:ascii="Arial" w:cs="Arial" w:eastAsia="Arial" w:hAnsi="Arial"/>
          <w:sz w:val="16"/>
          <w:szCs w:val="16"/>
          <w:color w:val="000000"/>
        </w:rPr>
        <w:t>proposal on the Supermajority Voting Amendments.</w:t>
      </w:r>
    </w:p>
    <w:p>
      <w:pPr>
        <w:spacing w:after="0" w:line="110" w:lineRule="exact"/>
        <w:rPr>
          <w:sz w:val="20"/>
          <w:szCs w:val="20"/>
          <w:color w:val="auto"/>
        </w:rPr>
      </w:pPr>
    </w:p>
    <w:p>
      <w:pPr>
        <w:ind w:left="7" w:right="60"/>
        <w:spacing w:after="0" w:line="257" w:lineRule="auto"/>
        <w:rPr>
          <w:sz w:val="20"/>
          <w:szCs w:val="20"/>
          <w:color w:val="auto"/>
        </w:rPr>
      </w:pPr>
      <w:r>
        <w:rPr>
          <w:rFonts w:ascii="Arial" w:cs="Arial" w:eastAsia="Arial" w:hAnsi="Arial"/>
          <w:sz w:val="16"/>
          <w:szCs w:val="16"/>
          <w:color w:val="auto"/>
        </w:rPr>
        <w:t>Because the board is submitting, and is recommending the adoption of, Item 6 to eliminate the supermajority voting requirements at the 2023 Annual Meeting, the board believes that the request in this non-binding and advisory shareholder proposal that the board take action that it believes it has already taken, including through the submission of Item 6, is unnecessary, redundant, and confusing.</w:t>
      </w:r>
    </w:p>
    <w:p>
      <w:pPr>
        <w:spacing w:after="0" w:line="110" w:lineRule="exact"/>
        <w:rPr>
          <w:sz w:val="20"/>
          <w:szCs w:val="20"/>
          <w:color w:val="auto"/>
        </w:rPr>
      </w:pPr>
    </w:p>
    <w:p>
      <w:pPr>
        <w:ind w:left="7" w:right="440"/>
        <w:spacing w:after="0" w:line="271" w:lineRule="auto"/>
        <w:rPr>
          <w:sz w:val="20"/>
          <w:szCs w:val="20"/>
          <w:color w:val="auto"/>
        </w:rPr>
      </w:pPr>
      <w:r>
        <w:rPr>
          <w:rFonts w:ascii="Arial" w:cs="Arial" w:eastAsia="Arial" w:hAnsi="Arial"/>
          <w:sz w:val="16"/>
          <w:szCs w:val="16"/>
          <w:color w:val="auto"/>
        </w:rPr>
        <w:t>The board recommends that the company’s shareholders oppose this proposal and instead adopt management’s proposal to adopt the Supermajority Voting Amendments set out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4992370" cy="47498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14" w:lineRule="exact"/>
        <w:rPr>
          <w:sz w:val="20"/>
          <w:szCs w:val="20"/>
          <w:color w:val="auto"/>
        </w:rPr>
      </w:pPr>
    </w:p>
    <w:p>
      <w:pPr>
        <w:ind w:left="887"/>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7"/>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ind w:left="7" w:right="60"/>
        <w:spacing w:after="0" w:line="263" w:lineRule="auto"/>
        <w:rPr>
          <w:sz w:val="20"/>
          <w:szCs w:val="20"/>
          <w:color w:val="auto"/>
        </w:rPr>
      </w:pPr>
      <w:r>
        <w:rPr>
          <w:rFonts w:ascii="Arial" w:cs="Arial" w:eastAsia="Arial" w:hAnsi="Arial"/>
          <w:sz w:val="28"/>
          <w:szCs w:val="28"/>
          <w:b w:val="1"/>
          <w:bCs w:val="1"/>
          <w:color w:val="D52B1E"/>
        </w:rPr>
        <w:t>Item 9. Proposal to Establish and Report on a Process by which the Impact of Extended Patent Exclusivities on Product Access Would be Considered in Deciding Whether to Apply for Secondary and Tertiary Patents</w:t>
      </w:r>
    </w:p>
    <w:p>
      <w:pPr>
        <w:spacing w:after="0" w:line="3" w:lineRule="exact"/>
        <w:rPr>
          <w:sz w:val="20"/>
          <w:szCs w:val="20"/>
          <w:color w:val="auto"/>
        </w:rPr>
      </w:pPr>
    </w:p>
    <w:p>
      <w:pPr>
        <w:ind w:left="7" w:right="20"/>
        <w:spacing w:after="0" w:line="271" w:lineRule="auto"/>
        <w:rPr>
          <w:sz w:val="20"/>
          <w:szCs w:val="20"/>
          <w:color w:val="auto"/>
        </w:rPr>
      </w:pPr>
      <w:r>
        <w:rPr>
          <w:rFonts w:ascii="Arial" w:cs="Arial" w:eastAsia="Arial" w:hAnsi="Arial"/>
          <w:sz w:val="16"/>
          <w:szCs w:val="16"/>
          <w:color w:val="auto"/>
        </w:rPr>
        <w:t>Trinity Health, as lead filer, with multiple additional cofilers, each a beneficial owner of shares of our common stock having a market value in excess of $2,000, has submitted the following proposal:</w:t>
      </w:r>
    </w:p>
    <w:p>
      <w:pPr>
        <w:spacing w:after="0" w:line="98" w:lineRule="exact"/>
        <w:rPr>
          <w:sz w:val="20"/>
          <w:szCs w:val="20"/>
          <w:color w:val="auto"/>
        </w:rPr>
      </w:pPr>
    </w:p>
    <w:p>
      <w:pPr>
        <w:jc w:val="both"/>
        <w:ind w:left="7" w:right="180"/>
        <w:spacing w:after="0" w:line="252" w:lineRule="auto"/>
        <w:rPr>
          <w:sz w:val="20"/>
          <w:szCs w:val="20"/>
          <w:color w:val="auto"/>
        </w:rPr>
      </w:pPr>
      <w:r>
        <w:rPr>
          <w:rFonts w:ascii="Arial" w:cs="Arial" w:eastAsia="Arial" w:hAnsi="Arial"/>
          <w:sz w:val="16"/>
          <w:szCs w:val="16"/>
          <w:color w:val="auto"/>
        </w:rPr>
        <w:t>RESOLVED, that shareholders of Eli Lilly &amp; Co. (“Lilly”) ask the Board of Directors to establish and report on a process by which the impact of extended patent exclusivities on product access would be considered in deciding whether to apply for secondary and tertiary patents. Secondary and tertiary patents arc patents applied for after the main active ingredient/molecule patent(s) and which relate to the product. The report on the process should be prepared at reasonable cost, omitting confidential and proprietary information, and published on Lilly’s website.</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Supporting Statement</w:t>
      </w:r>
    </w:p>
    <w:p>
      <w:pPr>
        <w:spacing w:after="0" w:line="145" w:lineRule="exact"/>
        <w:rPr>
          <w:sz w:val="20"/>
          <w:szCs w:val="20"/>
          <w:color w:val="auto"/>
        </w:rPr>
      </w:pPr>
    </w:p>
    <w:p>
      <w:pPr>
        <w:ind w:left="7" w:right="260"/>
        <w:spacing w:after="0" w:line="238" w:lineRule="auto"/>
        <w:rPr>
          <w:sz w:val="20"/>
          <w:szCs w:val="20"/>
          <w:color w:val="auto"/>
        </w:rPr>
      </w:pPr>
      <w:r>
        <w:rPr>
          <w:rFonts w:ascii="Arial" w:cs="Arial" w:eastAsia="Arial" w:hAnsi="Arial"/>
          <w:sz w:val="16"/>
          <w:szCs w:val="16"/>
          <w:color w:val="auto"/>
        </w:rPr>
        <w:t>Access to medicines, especially costly specialty drugs, is the subject of consistent and widespread public debate in the U.S. A 2021 Rand Corporation analysis concluded that U.S. prices for branded drugs were nearly 3.5 times higher than prices in 32 OECD member countries.</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The Kaiser Family Foundation has “consistently found prescription drug costs to be an important health policy area of public interest and public concern.”</w:t>
      </w:r>
      <w:r>
        <w:rPr>
          <w:rFonts w:ascii="Arial" w:cs="Arial" w:eastAsia="Arial" w:hAnsi="Arial"/>
          <w:sz w:val="20"/>
          <w:szCs w:val="20"/>
          <w:color w:val="auto"/>
          <w:vertAlign w:val="superscript"/>
        </w:rPr>
        <w:t>7</w:t>
      </w:r>
    </w:p>
    <w:p>
      <w:pPr>
        <w:spacing w:after="0" w:line="57" w:lineRule="exact"/>
        <w:rPr>
          <w:sz w:val="20"/>
          <w:szCs w:val="20"/>
          <w:color w:val="auto"/>
        </w:rPr>
      </w:pPr>
    </w:p>
    <w:p>
      <w:pPr>
        <w:ind w:left="7" w:right="400"/>
        <w:spacing w:after="0" w:line="236" w:lineRule="auto"/>
        <w:rPr>
          <w:sz w:val="20"/>
          <w:szCs w:val="20"/>
          <w:color w:val="auto"/>
        </w:rPr>
      </w:pPr>
      <w:r>
        <w:rPr>
          <w:rFonts w:ascii="Arial" w:cs="Arial" w:eastAsia="Arial" w:hAnsi="Arial"/>
          <w:sz w:val="15"/>
          <w:szCs w:val="15"/>
          <w:color w:val="auto"/>
        </w:rPr>
        <w:t>This high level of concern has driven policy responses. The Inflation Reduction Act empowers the federal government to negotiate some drug prices.</w:t>
      </w:r>
      <w:r>
        <w:rPr>
          <w:rFonts w:ascii="Arial" w:cs="Arial" w:eastAsia="Arial" w:hAnsi="Arial"/>
          <w:sz w:val="19"/>
          <w:szCs w:val="19"/>
          <w:color w:val="auto"/>
          <w:vertAlign w:val="superscript"/>
        </w:rPr>
        <w:t>8</w:t>
      </w:r>
      <w:r>
        <w:rPr>
          <w:rFonts w:ascii="Arial" w:cs="Arial" w:eastAsia="Arial" w:hAnsi="Arial"/>
          <w:sz w:val="15"/>
          <w:szCs w:val="15"/>
          <w:color w:val="auto"/>
        </w:rPr>
        <w:t xml:space="preserve"> State measures, including drug price transparency legislation and copay caps, have also been adopted.</w:t>
      </w:r>
      <w:r>
        <w:rPr>
          <w:rFonts w:ascii="Arial" w:cs="Arial" w:eastAsia="Arial" w:hAnsi="Arial"/>
          <w:sz w:val="19"/>
          <w:szCs w:val="19"/>
          <w:color w:val="auto"/>
          <w:vertAlign w:val="superscript"/>
        </w:rPr>
        <w:t>9</w:t>
      </w:r>
      <w:r>
        <w:rPr>
          <w:rFonts w:ascii="Arial" w:cs="Arial" w:eastAsia="Arial" w:hAnsi="Arial"/>
          <w:sz w:val="15"/>
          <w:szCs w:val="15"/>
          <w:color w:val="auto"/>
        </w:rPr>
        <w:t xml:space="preserve"> The House Committee on Oversight and Reform (the “Committee”) launched a far-reaching investigation into drug pricing in January 2019.</w:t>
      </w:r>
      <w:r>
        <w:rPr>
          <w:rFonts w:ascii="Arial" w:cs="Arial" w:eastAsia="Arial" w:hAnsi="Arial"/>
          <w:sz w:val="19"/>
          <w:szCs w:val="19"/>
          <w:color w:val="auto"/>
          <w:vertAlign w:val="superscript"/>
        </w:rPr>
        <w:t>10</w:t>
      </w:r>
      <w:r>
        <w:rPr>
          <w:rFonts w:ascii="Arial" w:cs="Arial" w:eastAsia="Arial" w:hAnsi="Arial"/>
          <w:sz w:val="15"/>
          <w:szCs w:val="15"/>
          <w:color w:val="auto"/>
        </w:rPr>
        <w:t xml:space="preserve"> The Committee and the Senate Finance Committee also undertook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1483360" cy="762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35" w:lineRule="exact"/>
        <w:rPr>
          <w:sz w:val="20"/>
          <w:szCs w:val="20"/>
          <w:color w:val="auto"/>
        </w:rPr>
      </w:pPr>
    </w:p>
    <w:p>
      <w:pPr>
        <w:ind w:left="107" w:hanging="107"/>
        <w:spacing w:after="0"/>
        <w:tabs>
          <w:tab w:leader="none" w:pos="107" w:val="left"/>
        </w:tabs>
        <w:numPr>
          <w:ilvl w:val="0"/>
          <w:numId w:val="197"/>
        </w:numPr>
        <w:rPr>
          <w:rFonts w:ascii="Arial" w:cs="Arial" w:eastAsia="Arial" w:hAnsi="Arial"/>
          <w:sz w:val="20"/>
          <w:szCs w:val="20"/>
          <w:color w:val="auto"/>
          <w:vertAlign w:val="superscript"/>
        </w:rPr>
      </w:pPr>
      <w:r>
        <w:rPr>
          <w:rFonts w:ascii="Arial" w:cs="Arial" w:eastAsia="Arial" w:hAnsi="Arial"/>
          <w:sz w:val="12"/>
          <w:szCs w:val="12"/>
          <w:color w:val="auto"/>
        </w:rPr>
        <w:t>https:/ /www.rand.org/news/press /2021 /01 /28.html</w:t>
      </w:r>
    </w:p>
    <w:p>
      <w:pPr>
        <w:spacing w:after="0" w:line="50" w:lineRule="exact"/>
        <w:rPr>
          <w:sz w:val="20"/>
          <w:szCs w:val="20"/>
          <w:color w:val="auto"/>
        </w:rPr>
      </w:pPr>
    </w:p>
    <w:p>
      <w:pPr>
        <w:ind w:left="107" w:hanging="107"/>
        <w:spacing w:after="0"/>
        <w:tabs>
          <w:tab w:leader="none" w:pos="107" w:val="left"/>
        </w:tabs>
        <w:numPr>
          <w:ilvl w:val="0"/>
          <w:numId w:val="198"/>
        </w:numPr>
        <w:rPr>
          <w:rFonts w:ascii="Arial" w:cs="Arial" w:eastAsia="Arial" w:hAnsi="Arial"/>
          <w:sz w:val="20"/>
          <w:szCs w:val="20"/>
          <w:color w:val="auto"/>
          <w:vertAlign w:val="superscript"/>
        </w:rPr>
      </w:pPr>
      <w:r>
        <w:rPr>
          <w:rFonts w:ascii="Arial" w:cs="Arial" w:eastAsia="Arial" w:hAnsi="Arial"/>
          <w:sz w:val="12"/>
          <w:szCs w:val="12"/>
          <w:color w:val="auto"/>
        </w:rPr>
        <w:t>https://www.kfforg/health-costs/poll-finding/public-opinion-on-prescription-dnigs-and-their-ptices/</w:t>
      </w:r>
    </w:p>
    <w:p>
      <w:pPr>
        <w:spacing w:after="0" w:line="4" w:lineRule="exact"/>
        <w:rPr>
          <w:sz w:val="20"/>
          <w:szCs w:val="20"/>
          <w:color w:val="auto"/>
        </w:rPr>
      </w:pPr>
    </w:p>
    <w:p>
      <w:pPr>
        <w:ind w:left="107" w:hanging="107"/>
        <w:spacing w:after="0"/>
        <w:tabs>
          <w:tab w:leader="none" w:pos="107" w:val="left"/>
        </w:tabs>
        <w:numPr>
          <w:ilvl w:val="0"/>
          <w:numId w:val="199"/>
        </w:numPr>
        <w:rPr>
          <w:rFonts w:ascii="Arial" w:cs="Arial" w:eastAsia="Arial" w:hAnsi="Arial"/>
          <w:sz w:val="20"/>
          <w:szCs w:val="20"/>
          <w:color w:val="auto"/>
          <w:vertAlign w:val="superscript"/>
        </w:rPr>
      </w:pPr>
      <w:r>
        <w:rPr>
          <w:rFonts w:ascii="Arial" w:cs="Arial" w:eastAsia="Arial" w:hAnsi="Arial"/>
          <w:sz w:val="12"/>
          <w:szCs w:val="12"/>
          <w:color w:val="auto"/>
        </w:rPr>
        <w:t>https://www.kfforg/medicare/issue-brief/explaining-the-prescription-drug-provisions-in-the-inflation-reduction-act/</w:t>
      </w:r>
    </w:p>
    <w:p>
      <w:pPr>
        <w:spacing w:after="0" w:line="4" w:lineRule="exact"/>
        <w:rPr>
          <w:sz w:val="20"/>
          <w:szCs w:val="20"/>
          <w:color w:val="auto"/>
        </w:rPr>
      </w:pPr>
    </w:p>
    <w:p>
      <w:pPr>
        <w:ind w:left="107" w:hanging="107"/>
        <w:spacing w:after="0"/>
        <w:tabs>
          <w:tab w:leader="none" w:pos="107" w:val="left"/>
        </w:tabs>
        <w:numPr>
          <w:ilvl w:val="0"/>
          <w:numId w:val="200"/>
        </w:numPr>
        <w:rPr>
          <w:rFonts w:ascii="Arial" w:cs="Arial" w:eastAsia="Arial" w:hAnsi="Arial"/>
          <w:sz w:val="20"/>
          <w:szCs w:val="20"/>
          <w:color w:val="auto"/>
          <w:vertAlign w:val="superscript"/>
        </w:rPr>
      </w:pPr>
      <w:r>
        <w:rPr>
          <w:rFonts w:ascii="Arial" w:cs="Arial" w:eastAsia="Arial" w:hAnsi="Arial"/>
          <w:sz w:val="12"/>
          <w:szCs w:val="12"/>
          <w:color w:val="auto"/>
        </w:rPr>
        <w:t>https://www.americanprogress.org/article/state-policies-to-address-prescription-drug-affordability-across-the-supplychain/</w:t>
      </w:r>
    </w:p>
    <w:p>
      <w:pPr>
        <w:ind w:left="147" w:hanging="147"/>
        <w:spacing w:after="0" w:line="230" w:lineRule="auto"/>
        <w:tabs>
          <w:tab w:leader="none" w:pos="147" w:val="left"/>
        </w:tabs>
        <w:numPr>
          <w:ilvl w:val="0"/>
          <w:numId w:val="201"/>
        </w:numPr>
        <w:rPr>
          <w:rFonts w:ascii="Arial" w:cs="Arial" w:eastAsia="Arial" w:hAnsi="Arial"/>
          <w:sz w:val="19"/>
          <w:szCs w:val="19"/>
          <w:color w:val="auto"/>
          <w:vertAlign w:val="superscript"/>
        </w:rPr>
      </w:pPr>
      <w:r>
        <w:rPr>
          <w:rFonts w:ascii="Arial" w:cs="Arial" w:eastAsia="Arial" w:hAnsi="Arial"/>
          <w:sz w:val="12"/>
          <w:szCs w:val="12"/>
          <w:color w:val="auto"/>
        </w:rPr>
        <w:t>https://oversight.house.gov/sites/democrats.oversight.house.gov/files/DRUG%20PRICING%20REPORT%20WITH%20APPENDIX %20v3.pdf, at i.</w:t>
      </w:r>
    </w:p>
    <w:p>
      <w:pPr>
        <w:spacing w:after="0" w:line="369"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7"/>
          </w:cols>
          <w:pgMar w:left="313" w:top="685" w:right="399" w:bottom="1440" w:gutter="0" w:footer="0" w:header="0"/>
        </w:sectPr>
      </w:pPr>
    </w:p>
    <w:bookmarkStart w:id="98" w:name="page99"/>
    <w:bookmarkEnd w:id="98"/>
    <w:p>
      <w:pPr>
        <w:ind w:left="7"/>
        <w:spacing w:after="0"/>
        <w:rPr>
          <w:sz w:val="20"/>
          <w:szCs w:val="20"/>
          <w:color w:val="auto"/>
        </w:rPr>
      </w:pPr>
      <w:r>
        <w:rPr>
          <w:rFonts w:ascii="Arial" w:cs="Arial" w:eastAsia="Arial" w:hAnsi="Arial"/>
          <w:sz w:val="16"/>
          <w:szCs w:val="16"/>
          <w:color w:val="auto"/>
        </w:rPr>
        <w:t>vestigations into insulin pricing in 2019, which focused on Lilly’s Humalog insulin and two other products.</w:t>
      </w:r>
      <w:r>
        <w:rPr>
          <w:rFonts w:ascii="Arial" w:cs="Arial" w:eastAsia="Arial" w:hAnsi="Arial"/>
          <w:sz w:val="20"/>
          <w:szCs w:val="20"/>
          <w:color w:val="auto"/>
          <w:vertAlign w:val="superscript"/>
        </w:rPr>
        <w:t>11</w:t>
      </w:r>
    </w:p>
    <w:p>
      <w:pPr>
        <w:spacing w:after="0" w:line="102" w:lineRule="exact"/>
        <w:rPr>
          <w:sz w:val="20"/>
          <w:szCs w:val="20"/>
          <w:color w:val="auto"/>
        </w:rPr>
      </w:pPr>
    </w:p>
    <w:p>
      <w:pPr>
        <w:jc w:val="both"/>
        <w:ind w:left="7" w:right="160"/>
        <w:spacing w:after="0" w:line="257" w:lineRule="auto"/>
        <w:rPr>
          <w:sz w:val="20"/>
          <w:szCs w:val="20"/>
          <w:color w:val="auto"/>
        </w:rPr>
      </w:pPr>
      <w:r>
        <w:rPr>
          <w:rFonts w:ascii="Arial" w:cs="Arial" w:eastAsia="Arial" w:hAnsi="Arial"/>
          <w:sz w:val="16"/>
          <w:szCs w:val="16"/>
          <w:color w:val="auto"/>
        </w:rPr>
        <w:t>Intellectual property protections on branded drugs play an important role in maintaining high prices and impeding access. When patent protection on a drug ends, generic manufacturers can enter the market, reducing prices. But branded drug manufacturers may try to delay generic competition by extending their exclusivity periods.</w:t>
      </w:r>
    </w:p>
    <w:p>
      <w:pPr>
        <w:spacing w:after="0" w:line="110" w:lineRule="exact"/>
        <w:rPr>
          <w:sz w:val="20"/>
          <w:szCs w:val="20"/>
          <w:color w:val="auto"/>
        </w:rPr>
      </w:pPr>
    </w:p>
    <w:p>
      <w:pPr>
        <w:ind w:left="7"/>
        <w:spacing w:after="0" w:line="253" w:lineRule="auto"/>
        <w:rPr>
          <w:sz w:val="20"/>
          <w:szCs w:val="20"/>
          <w:color w:val="auto"/>
        </w:rPr>
      </w:pPr>
      <w:r>
        <w:rPr>
          <w:rFonts w:ascii="Arial" w:cs="Arial" w:eastAsia="Arial" w:hAnsi="Arial"/>
          <w:sz w:val="15"/>
          <w:szCs w:val="15"/>
          <w:color w:val="auto"/>
        </w:rPr>
        <w:t>Such periods can be extended if secondary patents are granted. The Committee’s December 2021 report described construction of a “patent thicket,” which consists of many “secondary patents covering the formulations, dosing, or methods of using, administering, or manufacturing a drug”; they are granted after the drug’s primary patent, covering its main active ingredient or molecule, has been granted.</w:t>
      </w:r>
      <w:r>
        <w:rPr>
          <w:rFonts w:ascii="Arial" w:cs="Arial" w:eastAsia="Arial" w:hAnsi="Arial"/>
          <w:sz w:val="19"/>
          <w:szCs w:val="19"/>
          <w:color w:val="auto"/>
          <w:vertAlign w:val="superscript"/>
        </w:rPr>
        <w:t>12</w:t>
      </w:r>
      <w:r>
        <w:rPr>
          <w:rFonts w:ascii="Arial" w:cs="Arial" w:eastAsia="Arial" w:hAnsi="Arial"/>
          <w:sz w:val="15"/>
          <w:szCs w:val="15"/>
          <w:color w:val="auto"/>
        </w:rPr>
        <w:t xml:space="preserve"> In June 2022, citing the impact of patent thickets on drug prices, a bipartisan group of Senators urged the U.S. Patent and Trademark Office to “take regulatory steps to. . . eliminate large collections of patents on a single invention.”</w:t>
      </w:r>
    </w:p>
    <w:p>
      <w:pPr>
        <w:spacing w:after="0" w:line="107" w:lineRule="exact"/>
        <w:rPr>
          <w:sz w:val="20"/>
          <w:szCs w:val="20"/>
          <w:color w:val="auto"/>
        </w:rPr>
      </w:pPr>
    </w:p>
    <w:p>
      <w:pPr>
        <w:ind w:left="7"/>
        <w:spacing w:after="0"/>
        <w:rPr>
          <w:sz w:val="20"/>
          <w:szCs w:val="20"/>
          <w:color w:val="auto"/>
        </w:rPr>
      </w:pPr>
      <w:r>
        <w:rPr>
          <w:rFonts w:ascii="Arial" w:cs="Arial" w:eastAsia="Arial" w:hAnsi="Arial"/>
          <w:sz w:val="15"/>
          <w:szCs w:val="15"/>
          <w:color w:val="auto"/>
        </w:rPr>
        <w:t>Lilly has raised the price of a 10 ml vial of Humalog by 1219% since its launch. Secondary patents on Humalog extended Lilly’s exclusivity period by 17 years.</w:t>
      </w:r>
      <w:r>
        <w:rPr>
          <w:rFonts w:ascii="Arial" w:cs="Arial" w:eastAsia="Arial" w:hAnsi="Arial"/>
          <w:sz w:val="19"/>
          <w:szCs w:val="19"/>
          <w:color w:val="auto"/>
          <w:vertAlign w:val="superscript"/>
        </w:rPr>
        <w:t>13</w:t>
      </w:r>
    </w:p>
    <w:p>
      <w:pPr>
        <w:spacing w:after="0" w:line="114" w:lineRule="exact"/>
        <w:rPr>
          <w:sz w:val="20"/>
          <w:szCs w:val="20"/>
          <w:color w:val="auto"/>
        </w:rPr>
      </w:pPr>
    </w:p>
    <w:p>
      <w:pPr>
        <w:ind w:left="7" w:right="20"/>
        <w:spacing w:after="0" w:line="257" w:lineRule="auto"/>
        <w:rPr>
          <w:sz w:val="20"/>
          <w:szCs w:val="20"/>
          <w:color w:val="auto"/>
        </w:rPr>
      </w:pPr>
      <w:r>
        <w:rPr>
          <w:rFonts w:ascii="Arial" w:cs="Arial" w:eastAsia="Arial" w:hAnsi="Arial"/>
          <w:sz w:val="16"/>
          <w:szCs w:val="16"/>
          <w:color w:val="auto"/>
        </w:rPr>
        <w:t>In our view, a process that considers the impact of extended exclusivity periods on patient access would ensure that Lilly considers not only whether it can apply for secondary and tertiary patents but also whether it should do so. A more thoughtful process could, we believe, bolster Lilly’s reputation and help avoid regulatory blowback resulting from high drug prices and perceptions regarding abusive patenting practices.</w:t>
      </w:r>
    </w:p>
    <w:p>
      <w:pPr>
        <w:spacing w:after="0" w:line="159" w:lineRule="exact"/>
        <w:rPr>
          <w:sz w:val="20"/>
          <w:szCs w:val="20"/>
          <w:color w:val="auto"/>
        </w:rPr>
      </w:pPr>
    </w:p>
    <w:p>
      <w:pPr>
        <w:ind w:left="7" w:right="200"/>
        <w:spacing w:after="0" w:line="265" w:lineRule="auto"/>
        <w:rPr>
          <w:sz w:val="20"/>
          <w:szCs w:val="20"/>
          <w:color w:val="auto"/>
        </w:rPr>
      </w:pPr>
      <w:r>
        <w:rPr>
          <w:rFonts w:ascii="Arial" w:cs="Arial" w:eastAsia="Arial" w:hAnsi="Arial"/>
          <w:sz w:val="19"/>
          <w:szCs w:val="19"/>
          <w:b w:val="1"/>
          <w:bCs w:val="1"/>
          <w:color w:val="auto"/>
        </w:rPr>
        <w:t>Statement in Opposition to the Shareholder Proposal to Establish and Report on a Process by which the Impact of Extended Patent Exclusivities on Product Access Would be Considered in Deciding Whether to Apply for Secondary and Tertiary Patents</w:t>
      </w:r>
    </w:p>
    <w:p>
      <w:pPr>
        <w:spacing w:after="0" w:line="9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ind w:left="7" w:right="60"/>
        <w:spacing w:after="0" w:line="246" w:lineRule="auto"/>
        <w:rPr>
          <w:sz w:val="20"/>
          <w:szCs w:val="20"/>
          <w:color w:val="auto"/>
        </w:rPr>
      </w:pPr>
      <w:r>
        <w:rPr>
          <w:rFonts w:ascii="Arial" w:cs="Arial" w:eastAsia="Arial" w:hAnsi="Arial"/>
          <w:sz w:val="16"/>
          <w:szCs w:val="16"/>
          <w:color w:val="auto"/>
        </w:rPr>
        <w:t>We are proud of the work we do to increase access to medicines around the world. At the same time, intellectual property protection through patents is critical to Lilly’s ability to successfully commercialize our innovations and invest in the search for new medicines and indications. Like most companies in our industry, Lilly could not invest or operate to research, discover, develop, test, manufacture or deliver existing and new medicines for patients without an effective patent application strategy. Given the nature of our business, without obtaining patent protections, we could not make the investments necessary to develop new medicines or further develop already-approved products. There is a high rate of failure inherent in new drug discovery. To bring a drug from the discovery phase to market can take over a decade and can often cost in excess of $2 billion. Failure can occur at any point in the process, including in later stages after substantial investment. As a result, most funds invested in research programs will not generate financial returns. The decisions of when to incur technical risk, time, effort, and significant expense to seek to develop a new product or develop new indications or new medicine delivery options (the typical innovation sources for the “secondary” patents), and when to permit copying of an already-approved product are complicated decisions at the core of the Company’s business model. Lilly’s process for patent prosecution is thoughtful and overseen by legal experts focused on compliance with applicable laws. Subjecting this process to additional cumbersome procedures and shareholder oversight would interfere with Lilly’s operations and management’s ability to run the business.</w:t>
      </w:r>
    </w:p>
    <w:p>
      <w:pPr>
        <w:spacing w:after="0" w:line="122" w:lineRule="exact"/>
        <w:rPr>
          <w:sz w:val="20"/>
          <w:szCs w:val="20"/>
          <w:color w:val="auto"/>
        </w:rPr>
      </w:pPr>
    </w:p>
    <w:p>
      <w:pPr>
        <w:ind w:left="7" w:right="280"/>
        <w:spacing w:after="0" w:line="252" w:lineRule="auto"/>
        <w:rPr>
          <w:sz w:val="20"/>
          <w:szCs w:val="20"/>
          <w:color w:val="auto"/>
        </w:rPr>
      </w:pPr>
      <w:r>
        <w:rPr>
          <w:rFonts w:ascii="Arial" w:cs="Arial" w:eastAsia="Arial" w:hAnsi="Arial"/>
          <w:sz w:val="16"/>
          <w:szCs w:val="16"/>
          <w:color w:val="auto"/>
        </w:rPr>
        <w:t>The report requested by this shareholder proposal is unnecessary because the company already provides shareholders with information about the analysis and framework the company uses for intellectual property protection strategies. As discussed in detail under “</w:t>
      </w:r>
      <w:r>
        <w:rPr>
          <w:rFonts w:ascii="Arial" w:cs="Arial" w:eastAsia="Arial" w:hAnsi="Arial"/>
          <w:sz w:val="16"/>
          <w:szCs w:val="16"/>
          <w:u w:val="single" w:color="auto"/>
          <w:color w:val="0000FF"/>
        </w:rPr>
        <w:t>Governance—Governance Practices—Environmental,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Social, and Governance—Increase Access to Medicines</w:t>
      </w:r>
      <w:r>
        <w:rPr>
          <w:rFonts w:ascii="Arial" w:cs="Arial" w:eastAsia="Arial" w:hAnsi="Arial"/>
          <w:sz w:val="16"/>
          <w:szCs w:val="16"/>
          <w:color w:val="000000"/>
        </w:rPr>
        <w:t>” in this proxy statement, Lilly is deeply committed to patient access to our medicines so that our</w:t>
      </w:r>
      <w:r>
        <w:rPr>
          <w:rFonts w:ascii="Arial" w:cs="Arial" w:eastAsia="Arial" w:hAnsi="Arial"/>
          <w:sz w:val="16"/>
          <w:szCs w:val="16"/>
          <w:color w:val="0000FF"/>
        </w:rPr>
        <w:t xml:space="preserve"> </w:t>
      </w:r>
      <w:r>
        <w:rPr>
          <w:rFonts w:ascii="Arial" w:cs="Arial" w:eastAsia="Arial" w:hAnsi="Arial"/>
          <w:sz w:val="16"/>
          <w:szCs w:val="16"/>
          <w:color w:val="000000"/>
        </w:rPr>
        <w:t>breakthroughs can transform more people’s lives.</w:t>
      </w:r>
    </w:p>
    <w:p>
      <w:pPr>
        <w:spacing w:after="0" w:line="115" w:lineRule="exact"/>
        <w:rPr>
          <w:sz w:val="20"/>
          <w:szCs w:val="20"/>
          <w:color w:val="auto"/>
        </w:rPr>
      </w:pPr>
    </w:p>
    <w:p>
      <w:pPr>
        <w:ind w:left="7" w:right="100"/>
        <w:spacing w:after="0" w:line="271" w:lineRule="auto"/>
        <w:rPr>
          <w:sz w:val="20"/>
          <w:szCs w:val="20"/>
          <w:color w:val="auto"/>
        </w:rPr>
      </w:pPr>
      <w:r>
        <w:rPr>
          <w:rFonts w:ascii="Arial" w:cs="Arial" w:eastAsia="Arial" w:hAnsi="Arial"/>
          <w:sz w:val="16"/>
          <w:szCs w:val="16"/>
          <w:color w:val="auto"/>
        </w:rPr>
        <w:t>Notably, the supporting statement submitted by the proponent includes misleading assertions regarding basic facts and inaccurate data. In fact, there is increasing recognition that narratives such as those being advanced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483360" cy="762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60" w:lineRule="exact"/>
        <w:rPr>
          <w:sz w:val="20"/>
          <w:szCs w:val="20"/>
          <w:color w:val="auto"/>
        </w:rPr>
      </w:pPr>
    </w:p>
    <w:p>
      <w:pPr>
        <w:ind w:left="147" w:hanging="147"/>
        <w:spacing w:after="0"/>
        <w:tabs>
          <w:tab w:leader="none" w:pos="147" w:val="left"/>
        </w:tabs>
        <w:numPr>
          <w:ilvl w:val="0"/>
          <w:numId w:val="202"/>
        </w:numPr>
        <w:rPr>
          <w:rFonts w:ascii="Arial" w:cs="Arial" w:eastAsia="Arial" w:hAnsi="Arial"/>
          <w:sz w:val="19"/>
          <w:szCs w:val="19"/>
          <w:color w:val="auto"/>
          <w:vertAlign w:val="superscript"/>
        </w:rPr>
      </w:pPr>
      <w:r>
        <w:rPr>
          <w:rFonts w:ascii="Arial" w:cs="Arial" w:eastAsia="Arial" w:hAnsi="Arial"/>
          <w:sz w:val="12"/>
          <w:szCs w:val="12"/>
          <w:color w:val="auto"/>
        </w:rPr>
        <w:t>https://www.grassley.senate.gove/news/news-releases/grassley-wyden-launch-bipartisan-investigation-insulin-prices</w:t>
      </w:r>
    </w:p>
    <w:p>
      <w:pPr>
        <w:spacing w:after="0" w:line="70" w:lineRule="exact"/>
        <w:rPr>
          <w:rFonts w:ascii="Arial" w:cs="Arial" w:eastAsia="Arial" w:hAnsi="Arial"/>
          <w:sz w:val="19"/>
          <w:szCs w:val="19"/>
          <w:color w:val="auto"/>
          <w:vertAlign w:val="superscript"/>
        </w:rPr>
      </w:pPr>
    </w:p>
    <w:p>
      <w:pPr>
        <w:ind w:left="147" w:hanging="147"/>
        <w:spacing w:after="0" w:line="188" w:lineRule="auto"/>
        <w:tabs>
          <w:tab w:leader="none" w:pos="147" w:val="left"/>
        </w:tabs>
        <w:numPr>
          <w:ilvl w:val="0"/>
          <w:numId w:val="202"/>
        </w:numPr>
        <w:rPr>
          <w:rFonts w:ascii="Arial" w:cs="Arial" w:eastAsia="Arial" w:hAnsi="Arial"/>
          <w:sz w:val="18"/>
          <w:szCs w:val="18"/>
          <w:color w:val="auto"/>
          <w:vertAlign w:val="superscript"/>
        </w:rPr>
      </w:pPr>
      <w:r>
        <w:rPr>
          <w:rFonts w:ascii="Arial" w:cs="Arial" w:eastAsia="Arial" w:hAnsi="Arial"/>
          <w:sz w:val="11"/>
          <w:szCs w:val="11"/>
          <w:color w:val="auto"/>
        </w:rPr>
        <w:t>https://oversight.house.gov/sites/democrats.oversight.house.gove/files/DRUG%20PRICING%20REPORT%20WITH%20APPENDIX %20v3.pdf, at 79.</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2"/>
        </w:numPr>
        <w:rPr>
          <w:rFonts w:ascii="Arial" w:cs="Arial" w:eastAsia="Arial" w:hAnsi="Arial"/>
          <w:sz w:val="18"/>
          <w:szCs w:val="18"/>
          <w:color w:val="auto"/>
          <w:vertAlign w:val="superscript"/>
        </w:rPr>
      </w:pPr>
      <w:r>
        <w:rPr>
          <w:rFonts w:ascii="Arial" w:cs="Arial" w:eastAsia="Arial" w:hAnsi="Arial"/>
          <w:sz w:val="11"/>
          <w:szCs w:val="11"/>
          <w:color w:val="auto"/>
        </w:rPr>
        <w:t>https://oversight.house.gov/sites/democrats.oversight.house.gov/files/DRUG%20PRICING%20REPORT%20WITH%20APPENDIX %20v3.pdf, at 14, 81.</w:t>
      </w: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1" w:right="339" w:bottom="1440" w:gutter="0" w:footer="0" w:header="0"/>
        </w:sectPr>
      </w:pPr>
    </w:p>
    <w:bookmarkStart w:id="99" w:name="page100"/>
    <w:bookmarkEnd w:id="99"/>
    <w:p>
      <w:pPr>
        <w:ind w:left="7" w:right="20"/>
        <w:spacing w:after="0" w:line="257" w:lineRule="auto"/>
        <w:rPr>
          <w:sz w:val="20"/>
          <w:szCs w:val="20"/>
          <w:color w:val="auto"/>
        </w:rPr>
      </w:pPr>
      <w:r>
        <w:rPr>
          <w:rFonts w:ascii="Arial" w:cs="Arial" w:eastAsia="Arial" w:hAnsi="Arial"/>
          <w:sz w:val="15"/>
          <w:szCs w:val="15"/>
          <w:color w:val="auto"/>
        </w:rPr>
        <w:t>proponents are often built on flawed and misleading data.</w:t>
      </w:r>
      <w:r>
        <w:rPr>
          <w:rFonts w:ascii="Arial" w:cs="Arial" w:eastAsia="Arial" w:hAnsi="Arial"/>
          <w:sz w:val="19"/>
          <w:szCs w:val="19"/>
          <w:color w:val="auto"/>
          <w:vertAlign w:val="superscript"/>
        </w:rPr>
        <w:t>14</w:t>
      </w:r>
      <w:r>
        <w:rPr>
          <w:rFonts w:ascii="Arial" w:cs="Arial" w:eastAsia="Arial" w:hAnsi="Arial"/>
          <w:sz w:val="15"/>
          <w:szCs w:val="15"/>
          <w:color w:val="auto"/>
        </w:rPr>
        <w:t xml:space="preserve"> For example, contrary to the statement in the proposal’s supporting statement, secondary patents on Humalog did not extend Lilly’s exclusivity period by 17 years. In fact, Lilly’s “primary” Humalog patent expired in 2013 and, just four years later in 2017, the FDA approved Sanofi’s Humalog follow-on biologic (Admelog®). The misleading and factually inaccurate information in the proposal also reveals a misunderstanding of the critical role of patents in sustaining and incentivizing an ecosystem that is fundamental for patient access to innovative drugs and that leads to the reliable entry of lower-cost biosimilar and generic drugs. Such misunderstanding combined with the misleading data presented around patents is in fact ultimately antithetical to patient access to innovative and lower-cost biosimilar and generic drugs. Due to the importance of and complexities involved in patent strategy, Lilly uses a framework (described below) to guide the internal experts who have the factual details to make patent strategy decisions on behalf of the company. In addition, and as explained below, Lilly has already provided public disclosure concerning its patent application process that is responsive to the proposal’s request.</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Lilly already provides information on guiding principles related to its intellectual property protection strategies.</w:t>
      </w:r>
    </w:p>
    <w:p>
      <w:pPr>
        <w:spacing w:after="0" w:line="152" w:lineRule="exact"/>
        <w:rPr>
          <w:sz w:val="20"/>
          <w:szCs w:val="20"/>
          <w:color w:val="auto"/>
        </w:rPr>
      </w:pPr>
    </w:p>
    <w:p>
      <w:pPr>
        <w:ind w:left="7" w:right="440"/>
        <w:spacing w:after="0" w:line="271" w:lineRule="auto"/>
        <w:rPr>
          <w:sz w:val="20"/>
          <w:szCs w:val="20"/>
          <w:color w:val="auto"/>
        </w:rPr>
      </w:pPr>
      <w:r>
        <w:rPr>
          <w:rFonts w:ascii="Arial" w:cs="Arial" w:eastAsia="Arial" w:hAnsi="Arial"/>
          <w:sz w:val="16"/>
          <w:szCs w:val="16"/>
          <w:color w:val="auto"/>
        </w:rPr>
        <w:t>Lilly believes that patients benefit most from a biopharmaceutical innovation ecosystem that both (a) incentivizes discovery and development of a sustainable pipeline of innovative drugs and (b) leads to reliable entry of lower-cost biosimilar and generic drugs.</w:t>
      </w:r>
    </w:p>
    <w:p>
      <w:pPr>
        <w:spacing w:after="0" w:line="98" w:lineRule="exact"/>
        <w:rPr>
          <w:sz w:val="20"/>
          <w:szCs w:val="20"/>
          <w:color w:val="auto"/>
        </w:rPr>
      </w:pPr>
    </w:p>
    <w:p>
      <w:pPr>
        <w:ind w:left="7" w:right="100"/>
        <w:spacing w:after="0" w:line="252" w:lineRule="auto"/>
        <w:rPr>
          <w:sz w:val="20"/>
          <w:szCs w:val="20"/>
          <w:color w:val="auto"/>
        </w:rPr>
      </w:pPr>
      <w:r>
        <w:rPr>
          <w:rFonts w:ascii="Arial" w:cs="Arial" w:eastAsia="Arial" w:hAnsi="Arial"/>
          <w:sz w:val="16"/>
          <w:szCs w:val="16"/>
          <w:color w:val="auto"/>
        </w:rPr>
        <w:t>As described in our ESG Report, intellectual property protection improves patient access by incentivizing investment and innovation. Consistent with our commitment to promoting access to our medicines so that our breakthroughs can transform more people’s lives, Lilly supports the removal of regulatory or pricing, reimbursement and access restrictions for generics and biosimilars when intellectual property protections expire. In addition, Lilly has a long-standing practice of not seeking or enforcing patents for medicines in countries designated by the United Nations as the least developed.</w:t>
      </w:r>
    </w:p>
    <w:p>
      <w:pPr>
        <w:spacing w:after="0" w:line="115" w:lineRule="exact"/>
        <w:rPr>
          <w:sz w:val="20"/>
          <w:szCs w:val="20"/>
          <w:color w:val="auto"/>
        </w:rPr>
      </w:pPr>
    </w:p>
    <w:p>
      <w:pPr>
        <w:ind w:left="7" w:right="100"/>
        <w:spacing w:after="0" w:line="344" w:lineRule="auto"/>
        <w:rPr>
          <w:sz w:val="20"/>
          <w:szCs w:val="20"/>
          <w:color w:val="auto"/>
        </w:rPr>
      </w:pPr>
      <w:r>
        <w:rPr>
          <w:rFonts w:ascii="Arial" w:cs="Arial" w:eastAsia="Arial" w:hAnsi="Arial"/>
          <w:sz w:val="14"/>
          <w:szCs w:val="14"/>
          <w:color w:val="auto"/>
        </w:rPr>
        <w:t>In 2021, Lilly publicly announced its participation in the IP Principles for Advancing Cures and Therapies (the IP PACT), which serves as a framework for guiding the company’s commitment to innovation while keeping patients at the heart of its efforts. The IP PACT framework includes the following principles, among others:</w:t>
      </w:r>
    </w:p>
    <w:p>
      <w:pPr>
        <w:spacing w:after="0" w:line="52" w:lineRule="exact"/>
        <w:rPr>
          <w:sz w:val="20"/>
          <w:szCs w:val="20"/>
          <w:color w:val="auto"/>
        </w:rPr>
      </w:pPr>
    </w:p>
    <w:p>
      <w:pPr>
        <w:ind w:left="547" w:hanging="266"/>
        <w:spacing w:after="0"/>
        <w:tabs>
          <w:tab w:leader="none" w:pos="54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Patient and societal benefit will guide Lilly’s approach to IP.</w:t>
      </w:r>
    </w:p>
    <w:p>
      <w:pPr>
        <w:spacing w:after="0" w:line="143" w:lineRule="exact"/>
        <w:rPr>
          <w:rFonts w:ascii="Arial" w:cs="Arial" w:eastAsia="Arial" w:hAnsi="Arial"/>
          <w:sz w:val="14"/>
          <w:szCs w:val="14"/>
          <w:color w:val="auto"/>
        </w:rPr>
      </w:pPr>
    </w:p>
    <w:p>
      <w:pPr>
        <w:ind w:left="547" w:hanging="266"/>
        <w:spacing w:after="0"/>
        <w:tabs>
          <w:tab w:leader="none" w:pos="54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will support initiatives to ensure patent quality, which help advance biopharmaceutical innovation.</w:t>
      </w:r>
    </w:p>
    <w:p>
      <w:pPr>
        <w:spacing w:after="0" w:line="143" w:lineRule="exact"/>
        <w:rPr>
          <w:rFonts w:ascii="Arial" w:cs="Arial" w:eastAsia="Arial" w:hAnsi="Arial"/>
          <w:sz w:val="14"/>
          <w:szCs w:val="14"/>
          <w:color w:val="auto"/>
        </w:rPr>
      </w:pPr>
    </w:p>
    <w:p>
      <w:pPr>
        <w:ind w:left="547" w:hanging="266"/>
        <w:spacing w:after="0"/>
        <w:tabs>
          <w:tab w:leader="none" w:pos="54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will use IP rights to facilitate collaboration and enable partnerships that advance global health.</w:t>
      </w:r>
    </w:p>
    <w:p>
      <w:pPr>
        <w:spacing w:after="0" w:line="143" w:lineRule="exact"/>
        <w:rPr>
          <w:rFonts w:ascii="Arial" w:cs="Arial" w:eastAsia="Arial" w:hAnsi="Arial"/>
          <w:sz w:val="14"/>
          <w:szCs w:val="14"/>
          <w:color w:val="auto"/>
        </w:rPr>
      </w:pPr>
    </w:p>
    <w:p>
      <w:pPr>
        <w:ind w:left="567" w:right="240" w:hanging="286"/>
        <w:spacing w:after="0" w:line="271" w:lineRule="auto"/>
        <w:tabs>
          <w:tab w:leader="none" w:pos="55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believes that accessible patent information promotes scientific progress and helps improve the procurement of medicines, and we support voluntary initiatives that advance these goals.</w:t>
      </w:r>
    </w:p>
    <w:p>
      <w:pPr>
        <w:spacing w:after="0" w:line="98" w:lineRule="exact"/>
        <w:rPr>
          <w:rFonts w:ascii="Arial" w:cs="Arial" w:eastAsia="Arial" w:hAnsi="Arial"/>
          <w:sz w:val="14"/>
          <w:szCs w:val="14"/>
          <w:color w:val="auto"/>
        </w:rPr>
      </w:pPr>
    </w:p>
    <w:p>
      <w:pPr>
        <w:ind w:left="547" w:hanging="266"/>
        <w:spacing w:after="0"/>
        <w:tabs>
          <w:tab w:leader="none" w:pos="547" w:val="left"/>
        </w:tabs>
        <w:numPr>
          <w:ilvl w:val="0"/>
          <w:numId w:val="203"/>
        </w:numPr>
        <w:rPr>
          <w:rFonts w:ascii="Arial" w:cs="Arial" w:eastAsia="Arial" w:hAnsi="Arial"/>
          <w:sz w:val="13"/>
          <w:szCs w:val="13"/>
          <w:color w:val="auto"/>
        </w:rPr>
      </w:pPr>
      <w:r>
        <w:rPr>
          <w:rFonts w:ascii="Arial" w:cs="Arial" w:eastAsia="Arial" w:hAnsi="Arial"/>
          <w:sz w:val="14"/>
          <w:szCs w:val="14"/>
          <w:color w:val="auto"/>
        </w:rPr>
        <w:t>Lilly will act responsibility and professionally in the Company’s patent proceedings, and seek timely resolutions to enhance certainty for all stakeholders.</w:t>
      </w:r>
    </w:p>
    <w:p>
      <w:pPr>
        <w:spacing w:after="0" w:line="166" w:lineRule="exact"/>
        <w:rPr>
          <w:rFonts w:ascii="Arial" w:cs="Arial" w:eastAsia="Arial" w:hAnsi="Arial"/>
          <w:sz w:val="13"/>
          <w:szCs w:val="13"/>
          <w:color w:val="auto"/>
        </w:rPr>
      </w:pPr>
    </w:p>
    <w:p>
      <w:pPr>
        <w:ind w:left="567" w:right="300" w:hanging="286"/>
        <w:spacing w:after="0" w:line="271" w:lineRule="auto"/>
        <w:tabs>
          <w:tab w:leader="none" w:pos="55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believes that generic and biosimilar medicines are important for sustainable health systems, and that certain activities related to seeking regulatory approval should be exempt from patent infringement.</w:t>
      </w:r>
    </w:p>
    <w:p>
      <w:pPr>
        <w:spacing w:after="0" w:line="98" w:lineRule="exact"/>
        <w:rPr>
          <w:rFonts w:ascii="Arial" w:cs="Arial" w:eastAsia="Arial" w:hAnsi="Arial"/>
          <w:sz w:val="14"/>
          <w:szCs w:val="14"/>
          <w:color w:val="auto"/>
        </w:rPr>
      </w:pPr>
    </w:p>
    <w:p>
      <w:pPr>
        <w:ind w:left="567" w:right="20" w:hanging="286"/>
        <w:spacing w:after="0" w:line="271" w:lineRule="auto"/>
        <w:tabs>
          <w:tab w:leader="none" w:pos="55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believes that advancing public health depends on robust IP, rights as well as collaboration among stakeholders, and may call for tailored uses of our IP where these add value for patients.</w:t>
      </w:r>
    </w:p>
    <w:p>
      <w:pPr>
        <w:spacing w:after="0" w:line="98" w:lineRule="exact"/>
        <w:rPr>
          <w:rFonts w:ascii="Arial" w:cs="Arial" w:eastAsia="Arial" w:hAnsi="Arial"/>
          <w:sz w:val="14"/>
          <w:szCs w:val="14"/>
          <w:color w:val="auto"/>
        </w:rPr>
      </w:pPr>
    </w:p>
    <w:p>
      <w:pPr>
        <w:ind w:left="547" w:hanging="266"/>
        <w:spacing w:after="0"/>
        <w:tabs>
          <w:tab w:leader="none" w:pos="547" w:val="left"/>
        </w:tabs>
        <w:numPr>
          <w:ilvl w:val="0"/>
          <w:numId w:val="203"/>
        </w:numPr>
        <w:rPr>
          <w:rFonts w:ascii="Arial" w:cs="Arial" w:eastAsia="Arial" w:hAnsi="Arial"/>
          <w:sz w:val="14"/>
          <w:szCs w:val="14"/>
          <w:color w:val="auto"/>
        </w:rPr>
      </w:pPr>
      <w:r>
        <w:rPr>
          <w:rFonts w:ascii="Arial" w:cs="Arial" w:eastAsia="Arial" w:hAnsi="Arial"/>
          <w:sz w:val="16"/>
          <w:szCs w:val="16"/>
          <w:color w:val="auto"/>
        </w:rPr>
        <w:t>Lilly will approach IP in the world’s poorest countries in ways that considers their unique socio-economic challenges.</w:t>
      </w:r>
    </w:p>
    <w:p>
      <w:pPr>
        <w:spacing w:after="0" w:line="143" w:lineRule="exact"/>
        <w:rPr>
          <w:sz w:val="20"/>
          <w:szCs w:val="20"/>
          <w:color w:val="auto"/>
        </w:rPr>
      </w:pPr>
    </w:p>
    <w:p>
      <w:pPr>
        <w:ind w:left="7" w:right="100"/>
        <w:spacing w:after="0" w:line="257" w:lineRule="auto"/>
        <w:rPr>
          <w:sz w:val="20"/>
          <w:szCs w:val="20"/>
          <w:color w:val="auto"/>
        </w:rPr>
      </w:pPr>
      <w:r>
        <w:rPr>
          <w:rFonts w:ascii="Arial" w:cs="Arial" w:eastAsia="Arial" w:hAnsi="Arial"/>
          <w:sz w:val="16"/>
          <w:szCs w:val="16"/>
          <w:color w:val="auto"/>
        </w:rPr>
        <w:t>As part of our process for determining whether to apply for patent protection for new innovation, we conduct a fact-specific and complicated analysis in connection with patent applications for potential products or uses, including for secondary and tertiary patents. Once filed, those patent applications are examined by patent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483360" cy="762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37" w:lineRule="exact"/>
        <w:rPr>
          <w:sz w:val="20"/>
          <w:szCs w:val="20"/>
          <w:color w:val="auto"/>
        </w:rPr>
      </w:pPr>
    </w:p>
    <w:p>
      <w:pPr>
        <w:ind w:left="147" w:hanging="147"/>
        <w:spacing w:after="0" w:line="244" w:lineRule="auto"/>
        <w:tabs>
          <w:tab w:leader="none" w:pos="162" w:val="left"/>
        </w:tabs>
        <w:numPr>
          <w:ilvl w:val="0"/>
          <w:numId w:val="204"/>
        </w:numPr>
        <w:rPr>
          <w:rFonts w:ascii="Arial" w:cs="Arial" w:eastAsia="Arial" w:hAnsi="Arial"/>
          <w:sz w:val="20"/>
          <w:szCs w:val="20"/>
          <w:color w:val="auto"/>
          <w:vertAlign w:val="superscript"/>
        </w:rPr>
      </w:pPr>
      <w:r>
        <w:rPr>
          <w:rFonts w:ascii="Arial" w:cs="Arial" w:eastAsia="Arial" w:hAnsi="Arial"/>
          <w:sz w:val="12"/>
          <w:szCs w:val="12"/>
          <w:i w:val="1"/>
          <w:iCs w:val="1"/>
          <w:color w:val="auto"/>
        </w:rPr>
        <w:t>See, e.g.</w:t>
      </w:r>
      <w:r>
        <w:rPr>
          <w:rFonts w:ascii="Arial" w:cs="Arial" w:eastAsia="Arial" w:hAnsi="Arial"/>
          <w:sz w:val="12"/>
          <w:szCs w:val="12"/>
          <w:color w:val="auto"/>
        </w:rPr>
        <w:t>, Adam Mossoff,</w:t>
      </w:r>
      <w:r>
        <w:rPr>
          <w:rFonts w:ascii="Arial" w:cs="Arial" w:eastAsia="Arial" w:hAnsi="Arial"/>
          <w:sz w:val="12"/>
          <w:szCs w:val="12"/>
          <w:i w:val="1"/>
          <w:iCs w:val="1"/>
          <w:color w:val="auto"/>
        </w:rPr>
        <w:t xml:space="preserve"> Unreliable Data Have Infected the Policy Debates Over Drug Patents </w:t>
      </w:r>
      <w:r>
        <w:rPr>
          <w:rFonts w:ascii="Arial" w:cs="Arial" w:eastAsia="Arial" w:hAnsi="Arial"/>
          <w:sz w:val="12"/>
          <w:szCs w:val="12"/>
          <w:color w:val="auto"/>
        </w:rPr>
        <w:t>(Jan. 2022); Letter from Sen. Thom Tillis to Dr. Janet Woodcock and Mr. Drew Hirshfeld (Jan. 31, 2022);</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Letter from Sen. Thom Tillis to Dr. Robert Califf and Mr. Drew Hirshfeld (Apr. 1, 2022); Erika Lietzan &amp; Kristina Acri née Lybecker, </w:t>
      </w:r>
      <w:r>
        <w:rPr>
          <w:rFonts w:ascii="Arial" w:cs="Arial" w:eastAsia="Arial" w:hAnsi="Arial"/>
          <w:sz w:val="12"/>
          <w:szCs w:val="12"/>
          <w:i w:val="1"/>
          <w:iCs w:val="1"/>
          <w:color w:val="auto"/>
        </w:rPr>
        <w:t>Solutions Still Searching for a Problem: A Call for Relevant Data to</w:t>
      </w:r>
      <w:r>
        <w:rPr>
          <w:rFonts w:ascii="Arial" w:cs="Arial" w:eastAsia="Arial" w:hAnsi="Arial"/>
          <w:sz w:val="12"/>
          <w:szCs w:val="12"/>
          <w:color w:val="auto"/>
        </w:rPr>
        <w:t xml:space="preserve"> </w:t>
      </w:r>
      <w:r>
        <w:rPr>
          <w:rFonts w:ascii="Arial" w:cs="Arial" w:eastAsia="Arial" w:hAnsi="Arial"/>
          <w:sz w:val="12"/>
          <w:szCs w:val="12"/>
          <w:i w:val="1"/>
          <w:iCs w:val="1"/>
          <w:color w:val="auto"/>
        </w:rPr>
        <w:t>Support “Evergreening” Allegations</w:t>
      </w:r>
      <w:r>
        <w:rPr>
          <w:rFonts w:ascii="Arial" w:cs="Arial" w:eastAsia="Arial" w:hAnsi="Arial"/>
          <w:sz w:val="12"/>
          <w:szCs w:val="12"/>
          <w:color w:val="auto"/>
        </w:rPr>
        <w:t>, 33 Fordham Intell. Prop., Media &amp; Ent. L.J., at 1 (forthcoming). As noted by Mossoff, the data underlying sources for the proponent’s statement include “reported</w:t>
      </w:r>
      <w:r>
        <w:rPr>
          <w:rFonts w:ascii="Arial" w:cs="Arial" w:eastAsia="Arial" w:hAnsi="Arial"/>
          <w:sz w:val="12"/>
          <w:szCs w:val="12"/>
          <w:i w:val="1"/>
          <w:iCs w:val="1"/>
          <w:color w:val="auto"/>
        </w:rPr>
        <w:t xml:space="preserve"> </w:t>
      </w:r>
      <w:r>
        <w:rPr>
          <w:rFonts w:ascii="Arial" w:cs="Arial" w:eastAsia="Arial" w:hAnsi="Arial"/>
          <w:sz w:val="12"/>
          <w:szCs w:val="12"/>
          <w:color w:val="auto"/>
        </w:rPr>
        <w:t>numbers of issued patents, patent applications, and exclusivity periods for drugs are infected with serious questions of reliability and accuracy…[with]repeated and vast discrepancies” from official, publicly available government sources like the FDA’s Orange Book. This data relied upon “has wrongfully inflated the purported number of patents covering biopharmaceutical products and has extended their predictions of loss of exclusivity dates beyond reality...”</w:t>
      </w:r>
    </w:p>
    <w:p>
      <w:pPr>
        <w:spacing w:after="0" w:line="200" w:lineRule="exact"/>
        <w:rPr>
          <w:sz w:val="20"/>
          <w:szCs w:val="20"/>
          <w:color w:val="auto"/>
        </w:rPr>
      </w:pPr>
    </w:p>
    <w:p>
      <w:pPr>
        <w:spacing w:after="0" w:line="21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0" w:right="339" w:bottom="1440" w:gutter="0" w:footer="0" w:header="0"/>
        </w:sectPr>
      </w:pPr>
    </w:p>
    <w:bookmarkStart w:id="100" w:name="page101"/>
    <w:bookmarkEnd w:id="100"/>
    <w:p>
      <w:pPr>
        <w:jc w:val="both"/>
        <w:ind w:left="7" w:right="20"/>
        <w:spacing w:after="0" w:line="252" w:lineRule="auto"/>
        <w:rPr>
          <w:sz w:val="20"/>
          <w:szCs w:val="20"/>
          <w:color w:val="auto"/>
        </w:rPr>
      </w:pPr>
      <w:r>
        <w:rPr>
          <w:rFonts w:ascii="Arial" w:cs="Arial" w:eastAsia="Arial" w:hAnsi="Arial"/>
          <w:sz w:val="16"/>
          <w:szCs w:val="16"/>
          <w:color w:val="auto"/>
        </w:rPr>
        <w:t>around the world to ensure any patent granted meets stringent legal requirements for patentability, including that the invention is appropriately described, new, and not obvious. The statutory text underlying the patent examination standards makes no distinction between the patentability requirements for applications directed to different technologies or for different application types. The IP PACT principles help guide our patent decisions and ensure that we consider product access as part of our evaluation.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Lilly provides information on its goals and approach to access to medicine.</w:t>
      </w:r>
    </w:p>
    <w:p>
      <w:pPr>
        <w:spacing w:after="0" w:line="145"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As further discussed in this proxy statement, on our website, in our ESG Report, and in other public materials, Lilly provides extensive disclosure regarding goals and initiatives related to access and affordability of our medicines. For example, our global access program—30x30—is our strategy to invest in pipeline and partnership efforts to increase access to 30 million people in resource limited settings by 2030. A recent example in furtherance of this initiative, in December 2022 Lilly and EVA Pharma announced a collaboration to deliver a sustainable supply of high-quality, affordable human and analogue insulin to at least one million people living with type 1 and type 2 diabetes in low- to middle-income countries, most of which are in Africa.</w:t>
      </w:r>
    </w:p>
    <w:p>
      <w:pPr>
        <w:spacing w:after="0" w:line="114" w:lineRule="exact"/>
        <w:rPr>
          <w:sz w:val="20"/>
          <w:szCs w:val="20"/>
          <w:color w:val="auto"/>
        </w:rPr>
      </w:pPr>
    </w:p>
    <w:p>
      <w:pPr>
        <w:ind w:left="7" w:right="200"/>
        <w:spacing w:after="0" w:line="284" w:lineRule="auto"/>
        <w:rPr>
          <w:sz w:val="20"/>
          <w:szCs w:val="20"/>
          <w:color w:val="auto"/>
        </w:rPr>
      </w:pPr>
      <w:r>
        <w:rPr>
          <w:rFonts w:ascii="Arial" w:cs="Arial" w:eastAsia="Arial" w:hAnsi="Arial"/>
          <w:sz w:val="16"/>
          <w:szCs w:val="16"/>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1" w:lineRule="exact"/>
        <w:rPr>
          <w:sz w:val="20"/>
          <w:szCs w:val="20"/>
          <w:color w:val="auto"/>
        </w:rPr>
      </w:pPr>
    </w:p>
    <w:p>
      <w:pPr>
        <w:ind w:left="7" w:right="20"/>
        <w:spacing w:after="0" w:line="271" w:lineRule="auto"/>
        <w:rPr>
          <w:sz w:val="20"/>
          <w:szCs w:val="20"/>
          <w:color w:val="auto"/>
        </w:rPr>
      </w:pPr>
      <w:r>
        <w:rPr>
          <w:rFonts w:ascii="Arial" w:cs="Arial" w:eastAsia="Arial" w:hAnsi="Arial"/>
          <w:sz w:val="16"/>
          <w:szCs w:val="16"/>
          <w:color w:val="auto"/>
        </w:rPr>
        <w:t>We do not believe the separate report requested by the proposal would provide meaningful additional information to shareholders to merit the resources required to provide the report. For all of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4992370" cy="47498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14" w:lineRule="exact"/>
        <w:rPr>
          <w:sz w:val="20"/>
          <w:szCs w:val="20"/>
          <w:color w:val="auto"/>
        </w:rPr>
      </w:pPr>
    </w:p>
    <w:p>
      <w:pPr>
        <w:ind w:left="887"/>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7"/>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D52B1E"/>
        </w:rPr>
        <w:t>Item 10. Proposal to Report on Risks of Supporting Abortion</w:t>
      </w:r>
    </w:p>
    <w:p>
      <w:pPr>
        <w:spacing w:after="0" w:line="64" w:lineRule="exact"/>
        <w:rPr>
          <w:sz w:val="20"/>
          <w:szCs w:val="20"/>
          <w:color w:val="auto"/>
        </w:rPr>
      </w:pPr>
    </w:p>
    <w:p>
      <w:pPr>
        <w:ind w:left="7" w:right="300"/>
        <w:spacing w:after="0" w:line="268" w:lineRule="auto"/>
        <w:rPr>
          <w:sz w:val="20"/>
          <w:szCs w:val="20"/>
          <w:color w:val="auto"/>
        </w:rPr>
      </w:pPr>
      <w:r>
        <w:rPr>
          <w:rFonts w:ascii="Arial" w:cs="Arial" w:eastAsia="Arial" w:hAnsi="Arial"/>
          <w:sz w:val="16"/>
          <w:szCs w:val="16"/>
          <w:color w:val="auto"/>
        </w:rPr>
        <w:t>National Center for Public Policy Research, 2005 Massachusetts Ave. NW, Washington, DC 20036, a beneficial owner of shares of our common stock having a market value in excess of $2,000, has submitted the following proposal:</w:t>
      </w:r>
    </w:p>
    <w:p>
      <w:pPr>
        <w:spacing w:after="0" w:line="9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Report on Risks of Supporting Abortion</w:t>
      </w:r>
    </w:p>
    <w:p>
      <w:pPr>
        <w:spacing w:after="0" w:line="145" w:lineRule="exact"/>
        <w:rPr>
          <w:sz w:val="20"/>
          <w:szCs w:val="20"/>
          <w:color w:val="auto"/>
        </w:rPr>
      </w:pPr>
    </w:p>
    <w:p>
      <w:pPr>
        <w:ind w:left="7" w:right="60"/>
        <w:spacing w:after="0" w:line="252" w:lineRule="auto"/>
        <w:rPr>
          <w:sz w:val="20"/>
          <w:szCs w:val="20"/>
          <w:color w:val="auto"/>
        </w:rPr>
      </w:pPr>
      <w:r>
        <w:rPr>
          <w:rFonts w:ascii="Arial" w:cs="Arial" w:eastAsia="Arial" w:hAnsi="Arial"/>
          <w:sz w:val="16"/>
          <w:szCs w:val="16"/>
          <w:color w:val="auto"/>
        </w:rPr>
        <w:t>Resolved: Shareholders request the Company issue a public report prior to December 31, 2023, omitting confidential and privileged information and at a reasonable expense, detailing the known and reasonably foreseeable risks and costs to the Company caused by opposing or otherwise altering Company policy in response to enacted or proposed state policies regulating abortion, and detailing any strategies beyond litigation and legal compliance that the Company may deploy to minimize or mitigate these risks.</w:t>
      </w:r>
    </w:p>
    <w:p>
      <w:pPr>
        <w:spacing w:after="0" w:line="115"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Supporting Statement: In 2022, Eli Lilly made clear its opposition to an Indiana law that restricts abortion in cases other than rape, incest, or where a woman’s life is in danger.</w:t>
      </w:r>
      <w:r>
        <w:rPr>
          <w:rFonts w:ascii="Arial" w:cs="Arial" w:eastAsia="Arial" w:hAnsi="Arial"/>
          <w:sz w:val="19"/>
          <w:szCs w:val="19"/>
          <w:color w:val="auto"/>
          <w:vertAlign w:val="superscript"/>
        </w:rPr>
        <w:t>15</w:t>
      </w:r>
      <w:r>
        <w:rPr>
          <w:rFonts w:ascii="Arial" w:cs="Arial" w:eastAsia="Arial" w:hAnsi="Arial"/>
          <w:sz w:val="15"/>
          <w:szCs w:val="15"/>
          <w:color w:val="auto"/>
        </w:rPr>
        <w:t xml:space="preserve"> The Company claimed that as a result of this law, its ability to attract diverse employees would be hindered, and that it would be “forced to plan for more employment growth outside our home state.” </w:t>
      </w:r>
      <w:r>
        <w:rPr>
          <w:rFonts w:ascii="Arial" w:cs="Arial" w:eastAsia="Arial" w:hAnsi="Arial"/>
          <w:sz w:val="19"/>
          <w:szCs w:val="19"/>
          <w:color w:val="auto"/>
          <w:vertAlign w:val="superscript"/>
        </w:rPr>
        <w:t>16</w:t>
      </w:r>
      <w:r>
        <w:rPr>
          <w:rFonts w:ascii="Arial" w:cs="Arial" w:eastAsia="Arial" w:hAnsi="Arial"/>
          <w:sz w:val="15"/>
          <w:szCs w:val="15"/>
          <w:color w:val="auto"/>
        </w:rPr>
        <w:t xml:space="preserve"> The Company also said it expanded its employee health plan coverage to include travel for abortion.</w:t>
      </w:r>
      <w:r>
        <w:rPr>
          <w:rFonts w:ascii="Arial" w:cs="Arial" w:eastAsia="Arial" w:hAnsi="Arial"/>
          <w:sz w:val="19"/>
          <w:szCs w:val="19"/>
          <w:color w:val="auto"/>
          <w:vertAlign w:val="superscript"/>
        </w:rPr>
        <w:t>17</w:t>
      </w:r>
    </w:p>
    <w:p>
      <w:pPr>
        <w:spacing w:after="0" w:line="28" w:lineRule="exact"/>
        <w:rPr>
          <w:sz w:val="20"/>
          <w:szCs w:val="20"/>
          <w:color w:val="auto"/>
        </w:rPr>
      </w:pPr>
    </w:p>
    <w:p>
      <w:pPr>
        <w:ind w:left="7" w:right="60"/>
        <w:spacing w:after="0" w:line="252" w:lineRule="auto"/>
        <w:rPr>
          <w:sz w:val="20"/>
          <w:szCs w:val="20"/>
          <w:color w:val="auto"/>
        </w:rPr>
      </w:pPr>
      <w:r>
        <w:rPr>
          <w:rFonts w:ascii="Arial" w:cs="Arial" w:eastAsia="Arial" w:hAnsi="Arial"/>
          <w:sz w:val="16"/>
          <w:szCs w:val="16"/>
          <w:color w:val="auto"/>
        </w:rPr>
        <w:t>Ironically, in spite of making these statements and policy changes that demonstrate a clear pro-abortion stance, the Company criticized state officials for taking a stance on such a controversial issue. Indeed, the Company claimed to recognize abortion as a “divisive and deeply personal issue with no clear consensus among the citizens of Indiana,” but then itself went on to take a position through its condemnation. “Despite this lack of agreement, Indiana has opted to quickly adopt one of the most restrictive anti-abortion laws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483360" cy="762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42" w:lineRule="exact"/>
        <w:rPr>
          <w:sz w:val="20"/>
          <w:szCs w:val="20"/>
          <w:color w:val="auto"/>
        </w:rPr>
      </w:pPr>
    </w:p>
    <w:p>
      <w:pPr>
        <w:ind w:left="147" w:right="380" w:hanging="147"/>
        <w:spacing w:after="0" w:line="214" w:lineRule="auto"/>
        <w:tabs>
          <w:tab w:leader="none" w:pos="162" w:val="left"/>
        </w:tabs>
        <w:numPr>
          <w:ilvl w:val="0"/>
          <w:numId w:val="205"/>
        </w:numPr>
        <w:rPr>
          <w:rFonts w:ascii="Arial" w:cs="Arial" w:eastAsia="Arial" w:hAnsi="Arial"/>
          <w:sz w:val="20"/>
          <w:szCs w:val="20"/>
          <w:color w:val="auto"/>
          <w:vertAlign w:val="superscript"/>
        </w:rPr>
      </w:pPr>
      <w:r>
        <w:rPr>
          <w:rFonts w:ascii="Arial" w:cs="Arial" w:eastAsia="Arial" w:hAnsi="Arial"/>
          <w:sz w:val="12"/>
          <w:szCs w:val="12"/>
          <w:color w:val="auto"/>
        </w:rPr>
        <w:t>https://www.cbsnews.com/news/abortion-indiana-eli-lilly-cummins-roche/;https://www.cnbc.com/2022/08/06/eli-lilly-says-indianas-abortion-law-will-lead-the-drugmaker-to-grow-in-other-states.html; https://www.wthr.com/article/news/special-reports/indiana-abortion/eli-lilly-condemns-new-abortion-ban-looks-to-expand-outside-indiana/531-7dedb5c9-0dda-4d9e-acf1-8f18e0b988db</w:t>
      </w:r>
    </w:p>
    <w:p>
      <w:pPr>
        <w:spacing w:after="0" w:line="3" w:lineRule="exact"/>
        <w:rPr>
          <w:rFonts w:ascii="Arial" w:cs="Arial" w:eastAsia="Arial" w:hAnsi="Arial"/>
          <w:sz w:val="20"/>
          <w:szCs w:val="20"/>
          <w:color w:val="auto"/>
          <w:vertAlign w:val="superscript"/>
        </w:rPr>
      </w:pPr>
    </w:p>
    <w:p>
      <w:pPr>
        <w:ind w:left="147" w:hanging="147"/>
        <w:spacing w:after="0"/>
        <w:tabs>
          <w:tab w:leader="none" w:pos="147" w:val="left"/>
        </w:tabs>
        <w:numPr>
          <w:ilvl w:val="0"/>
          <w:numId w:val="205"/>
        </w:numPr>
        <w:rPr>
          <w:rFonts w:ascii="Arial" w:cs="Arial" w:eastAsia="Arial" w:hAnsi="Arial"/>
          <w:sz w:val="19"/>
          <w:szCs w:val="19"/>
          <w:color w:val="auto"/>
          <w:vertAlign w:val="superscript"/>
        </w:rPr>
      </w:pPr>
      <w:r>
        <w:rPr>
          <w:rFonts w:ascii="Arial" w:cs="Arial" w:eastAsia="Arial" w:hAnsi="Arial"/>
          <w:sz w:val="12"/>
          <w:szCs w:val="12"/>
          <w:color w:val="auto"/>
        </w:rPr>
        <w:t>https://www.cnbc.com/2022/08/06/eli-lilly-says-indianas-abortion-law-will-lead-the-drugmaker-to-grow-in-other-states.html</w:t>
      </w:r>
    </w:p>
    <w:p>
      <w:pPr>
        <w:spacing w:after="0" w:line="70" w:lineRule="exact"/>
        <w:rPr>
          <w:rFonts w:ascii="Arial" w:cs="Arial" w:eastAsia="Arial" w:hAnsi="Arial"/>
          <w:sz w:val="19"/>
          <w:szCs w:val="19"/>
          <w:color w:val="auto"/>
          <w:vertAlign w:val="superscript"/>
        </w:rPr>
      </w:pPr>
    </w:p>
    <w:p>
      <w:pPr>
        <w:ind w:left="147" w:hanging="147"/>
        <w:spacing w:after="0" w:line="188" w:lineRule="auto"/>
        <w:tabs>
          <w:tab w:leader="none" w:pos="147" w:val="left"/>
        </w:tabs>
        <w:numPr>
          <w:ilvl w:val="0"/>
          <w:numId w:val="205"/>
        </w:numPr>
        <w:rPr>
          <w:rFonts w:ascii="Arial" w:cs="Arial" w:eastAsia="Arial" w:hAnsi="Arial"/>
          <w:sz w:val="18"/>
          <w:szCs w:val="18"/>
          <w:color w:val="auto"/>
          <w:vertAlign w:val="superscript"/>
        </w:rPr>
      </w:pPr>
      <w:r>
        <w:rPr>
          <w:rFonts w:ascii="Arial" w:cs="Arial" w:eastAsia="Arial" w:hAnsi="Arial"/>
          <w:sz w:val="11"/>
          <w:szCs w:val="11"/>
          <w:color w:val="auto"/>
        </w:rPr>
        <w:t>https://www.cbsnews.com/news/abortion-indiana-eli-lilly-cummins-roche/;https://www.cnbc.com/2022/08/06/eli-lilly-says-indianas-abortion-law-will-lead-the-drugmaker-to-grow-in-other-states.html</w:t>
      </w: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5" w:right="339" w:bottom="1440" w:gutter="0" w:footer="0" w:header="0"/>
        </w:sectPr>
      </w:pPr>
    </w:p>
    <w:bookmarkStart w:id="101" w:name="page102"/>
    <w:bookmarkEnd w:id="101"/>
    <w:p>
      <w:pPr>
        <w:ind w:left="7" w:right="180"/>
        <w:spacing w:after="0" w:line="234" w:lineRule="auto"/>
        <w:rPr>
          <w:sz w:val="20"/>
          <w:szCs w:val="20"/>
          <w:color w:val="auto"/>
        </w:rPr>
      </w:pPr>
      <w:r>
        <w:rPr>
          <w:rFonts w:ascii="Arial" w:cs="Arial" w:eastAsia="Arial" w:hAnsi="Arial"/>
          <w:sz w:val="16"/>
          <w:szCs w:val="16"/>
          <w:color w:val="auto"/>
        </w:rPr>
        <w:t>the Company stated.</w:t>
      </w:r>
      <w:r>
        <w:rPr>
          <w:rFonts w:ascii="Arial" w:cs="Arial" w:eastAsia="Arial" w:hAnsi="Arial"/>
          <w:sz w:val="20"/>
          <w:szCs w:val="20"/>
          <w:color w:val="auto"/>
          <w:vertAlign w:val="superscript"/>
        </w:rPr>
        <w:t>18</w:t>
      </w:r>
      <w:r>
        <w:rPr>
          <w:rFonts w:ascii="Arial" w:cs="Arial" w:eastAsia="Arial" w:hAnsi="Arial"/>
          <w:sz w:val="16"/>
          <w:szCs w:val="16"/>
          <w:color w:val="auto"/>
        </w:rPr>
        <w:t xml:space="preserve"> We agree with the Company that abortion is a “divisive and deeply personal issue.” Views on the topic are often rooted in an individual’s religious or other core belief system, making taking a position on it a potential reputational, legal, and financial liability for a company—yet Eli Lilly has insisted on doing just that.</w:t>
      </w:r>
    </w:p>
    <w:p>
      <w:pPr>
        <w:spacing w:after="0" w:line="123" w:lineRule="exact"/>
        <w:rPr>
          <w:sz w:val="20"/>
          <w:szCs w:val="20"/>
          <w:color w:val="auto"/>
        </w:rPr>
      </w:pPr>
    </w:p>
    <w:p>
      <w:pPr>
        <w:ind w:left="7" w:right="40"/>
        <w:spacing w:after="0" w:line="286" w:lineRule="auto"/>
        <w:rPr>
          <w:sz w:val="20"/>
          <w:szCs w:val="20"/>
          <w:color w:val="auto"/>
        </w:rPr>
      </w:pPr>
      <w:r>
        <w:rPr>
          <w:rFonts w:ascii="Arial" w:cs="Arial" w:eastAsia="Arial" w:hAnsi="Arial"/>
          <w:sz w:val="15"/>
          <w:szCs w:val="15"/>
          <w:color w:val="auto"/>
        </w:rPr>
        <w:t>By criticizing laws that restrict abortion and implementing a benefit to pay for abortion access, the Company makes clear its opposition to pro-life legislation that limit abortion. This positioning is particularly troubling considering the emphasis the Company has placed on so-called “Diversity &amp; Inclusion.” The Company claims that embracing differences drives its business success,</w:t>
      </w:r>
      <w:r>
        <w:rPr>
          <w:rFonts w:ascii="Arial" w:cs="Arial" w:eastAsia="Arial" w:hAnsi="Arial"/>
          <w:sz w:val="19"/>
          <w:szCs w:val="19"/>
          <w:color w:val="auto"/>
          <w:vertAlign w:val="superscript"/>
        </w:rPr>
        <w:t>19</w:t>
      </w:r>
      <w:r>
        <w:rPr>
          <w:rFonts w:ascii="Arial" w:cs="Arial" w:eastAsia="Arial" w:hAnsi="Arial"/>
          <w:sz w:val="15"/>
          <w:szCs w:val="15"/>
          <w:color w:val="auto"/>
        </w:rPr>
        <w:t xml:space="preserve"> but apparently that embrace of diversity ends at diversity of thought, opinion, and religious convictions.</w:t>
      </w:r>
    </w:p>
    <w:p>
      <w:pPr>
        <w:spacing w:after="0" w:line="29" w:lineRule="exact"/>
        <w:rPr>
          <w:sz w:val="20"/>
          <w:szCs w:val="20"/>
          <w:color w:val="auto"/>
        </w:rPr>
      </w:pPr>
    </w:p>
    <w:p>
      <w:pPr>
        <w:ind w:left="7"/>
        <w:spacing w:after="0" w:line="257" w:lineRule="auto"/>
        <w:rPr>
          <w:sz w:val="20"/>
          <w:szCs w:val="20"/>
          <w:color w:val="auto"/>
        </w:rPr>
      </w:pPr>
      <w:r>
        <w:rPr>
          <w:rFonts w:ascii="Arial" w:cs="Arial" w:eastAsia="Arial" w:hAnsi="Arial"/>
          <w:sz w:val="16"/>
          <w:szCs w:val="16"/>
          <w:color w:val="auto"/>
        </w:rPr>
        <w:t>Taking positions on issues the Company admits are “divisive,” “deeply personal,” and on which there is “no clear consensus,” can only serve to alienate consumers, employees, and investors and impact the Company’s bottom-line. The Company should instead focus on its pharmaceutical mission and its fiduciary duty to shareholders, a fiduciary duty that is likely to be violated by engaging in politically divisive rhetoric and actions.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Statement in Opposition to the Shareholder Proposal to Report on Risks of Supporting Abortion</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ind w:left="7" w:right="220"/>
        <w:spacing w:after="0" w:line="250" w:lineRule="auto"/>
        <w:rPr>
          <w:sz w:val="20"/>
          <w:szCs w:val="20"/>
          <w:color w:val="auto"/>
        </w:rPr>
      </w:pPr>
      <w:r>
        <w:rPr>
          <w:rFonts w:ascii="Arial" w:cs="Arial" w:eastAsia="Arial" w:hAnsi="Arial"/>
          <w:sz w:val="16"/>
          <w:szCs w:val="16"/>
          <w:color w:val="auto"/>
        </w:rPr>
        <w:t>Lilly seeks to attract and retain diverse talent from around the world, and offers competitive compensation, healthcare coverage, and other benefits to its employees. Our board and its applicable committees provide oversight of the company’s global compensation philosophy, human capital management and compliance programs. After careful consideration of this proposal, we believe the preparation of the requested report would not benefit our shareholders, employees, and other stakeholders and, therefore, would be an unnecessary distraction and redirection of resources that otherwise could be focused on running the business and advancing Lilly’s mission.</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Lilly offers competitive compensation, healthcare coverage and other benefits to its employees.</w:t>
      </w:r>
    </w:p>
    <w:p>
      <w:pPr>
        <w:spacing w:after="0" w:line="145"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As a global company with approximately 39,000 employees, Lilly is dedicated to attracting, developing, engaging and retaining the best talent in order to create medicines that make life better for people around the world. We want our company to be a welcoming place that people want to join, and where they can enjoy meaningful work, build successful careers, and make important contributions to society. We compete for talent with others in our industry and in the geographies in which we operate. In order to attract and retain employees, we offer a competitive total rewards program, including pay, benefits, and learning and development opportunities.</w:t>
      </w:r>
    </w:p>
    <w:p>
      <w:pPr>
        <w:spacing w:after="0" w:line="116"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Workforce management is a complicated topic that is core to management’s ability to run the business. Determining health benefits such as employee leave and insurance coverage for a multitude of issues is informed by a number of factors such as local market data, employee input, and financial affordability. The Company must consider our benefit offerings with our global workforce in mind where roughly 55 percent of our full-time workforce works outside of the United States and benefit packages are developed at the individual country level. In the U.S., nearly 40 percent of our workforce lives outside of the state of Indiana, which is also an important consideration for benefits packages being developed for our U.S. employees.</w:t>
      </w:r>
    </w:p>
    <w:p>
      <w:pPr>
        <w:spacing w:after="0" w:line="116" w:lineRule="exact"/>
        <w:rPr>
          <w:sz w:val="20"/>
          <w:szCs w:val="20"/>
          <w:color w:val="auto"/>
        </w:rPr>
      </w:pPr>
    </w:p>
    <w:p>
      <w:pPr>
        <w:ind w:left="7"/>
        <w:spacing w:after="0" w:line="252" w:lineRule="auto"/>
        <w:rPr>
          <w:sz w:val="20"/>
          <w:szCs w:val="20"/>
          <w:color w:val="auto"/>
        </w:rPr>
      </w:pPr>
      <w:r>
        <w:rPr>
          <w:rFonts w:ascii="Arial" w:cs="Arial" w:eastAsia="Arial" w:hAnsi="Arial"/>
          <w:sz w:val="16"/>
          <w:szCs w:val="16"/>
          <w:color w:val="auto"/>
        </w:rPr>
        <w:t>We believe the healthcare coverage options offered to our employees are competitive in the markets in which we operate. We review benefit offerings frequently for compliance with applicable law and to be responsive to the needs of our current employees as well as those we are seeking to recruit. Without the flexibility to react to changes in the markets in which we operate and update our benefits offerings in the manner that management determines is most beneficial to the company, Lilly may face additional recruitment or retention challenges that could ultimately affect the company’s profitability.</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Lilly is committed to fairness and nondiscrimination in our employment practices, and we value diverse backgrounds, skills and global perspectives.</w:t>
      </w:r>
    </w:p>
    <w:p>
      <w:pPr>
        <w:spacing w:after="0" w:line="168" w:lineRule="exact"/>
        <w:rPr>
          <w:sz w:val="20"/>
          <w:szCs w:val="20"/>
          <w:color w:val="auto"/>
        </w:rPr>
      </w:pPr>
    </w:p>
    <w:p>
      <w:pPr>
        <w:ind w:left="7" w:right="200"/>
        <w:spacing w:after="0" w:line="271" w:lineRule="auto"/>
        <w:rPr>
          <w:sz w:val="20"/>
          <w:szCs w:val="20"/>
          <w:color w:val="auto"/>
        </w:rPr>
      </w:pPr>
      <w:r>
        <w:rPr>
          <w:rFonts w:ascii="Arial" w:cs="Arial" w:eastAsia="Arial" w:hAnsi="Arial"/>
          <w:sz w:val="16"/>
          <w:szCs w:val="16"/>
          <w:color w:val="auto"/>
        </w:rPr>
        <w:t>Our long-standing values of integrity, excellence and respect for people promote an environment where team members are encouraged to speak up, share ideas and be fully engaged in our work while bringing their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483360" cy="762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72" w:lineRule="exact"/>
        <w:rPr>
          <w:sz w:val="20"/>
          <w:szCs w:val="20"/>
          <w:color w:val="auto"/>
        </w:rPr>
      </w:pPr>
    </w:p>
    <w:p>
      <w:pPr>
        <w:ind w:left="147" w:hanging="147"/>
        <w:spacing w:after="0"/>
        <w:tabs>
          <w:tab w:leader="none" w:pos="147" w:val="left"/>
        </w:tabs>
        <w:numPr>
          <w:ilvl w:val="0"/>
          <w:numId w:val="206"/>
        </w:numPr>
        <w:rPr>
          <w:rFonts w:ascii="Arial" w:cs="Arial" w:eastAsia="Arial" w:hAnsi="Arial"/>
          <w:sz w:val="19"/>
          <w:szCs w:val="19"/>
          <w:color w:val="auto"/>
          <w:vertAlign w:val="superscript"/>
        </w:rPr>
      </w:pPr>
      <w:r>
        <w:rPr>
          <w:rFonts w:ascii="Arial" w:cs="Arial" w:eastAsia="Arial" w:hAnsi="Arial"/>
          <w:sz w:val="12"/>
          <w:szCs w:val="12"/>
          <w:color w:val="auto"/>
        </w:rPr>
        <w:t>https://www.cnbc.com/2022/08/06/eli-lilly-says-indianas-abortion-law-will-lead-the-drugmaker-to-grow-in-other-states.html</w:t>
      </w:r>
    </w:p>
    <w:p>
      <w:pPr>
        <w:spacing w:after="0" w:line="70" w:lineRule="exact"/>
        <w:rPr>
          <w:rFonts w:ascii="Arial" w:cs="Arial" w:eastAsia="Arial" w:hAnsi="Arial"/>
          <w:sz w:val="19"/>
          <w:szCs w:val="19"/>
          <w:color w:val="auto"/>
          <w:vertAlign w:val="superscript"/>
        </w:rPr>
      </w:pPr>
    </w:p>
    <w:p>
      <w:pPr>
        <w:ind w:left="147" w:hanging="147"/>
        <w:spacing w:after="0" w:line="188" w:lineRule="auto"/>
        <w:tabs>
          <w:tab w:leader="none" w:pos="147" w:val="left"/>
        </w:tabs>
        <w:numPr>
          <w:ilvl w:val="0"/>
          <w:numId w:val="206"/>
        </w:numPr>
        <w:rPr>
          <w:rFonts w:ascii="Arial" w:cs="Arial" w:eastAsia="Arial" w:hAnsi="Arial"/>
          <w:sz w:val="18"/>
          <w:szCs w:val="18"/>
          <w:color w:val="auto"/>
          <w:vertAlign w:val="superscript"/>
        </w:rPr>
      </w:pPr>
      <w:r>
        <w:rPr>
          <w:rFonts w:ascii="Arial" w:cs="Arial" w:eastAsia="Arial" w:hAnsi="Arial"/>
          <w:sz w:val="11"/>
          <w:szCs w:val="11"/>
          <w:color w:val="auto"/>
        </w:rPr>
        <w:t>https://www.lilly.com.au/operating-responsibly/diversity-inclusion; https://blog.kelley.iupui.edu/2020/10/05/eli-lilly-ceo-to-lead-healthcare-focused-conversation-on-inclusive-leadership/</w:t>
      </w:r>
    </w:p>
    <w:p>
      <w:pPr>
        <w:spacing w:after="0" w:line="38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0" w:right="339" w:bottom="1440" w:gutter="0" w:footer="0" w:header="0"/>
        </w:sectPr>
      </w:pPr>
    </w:p>
    <w:bookmarkStart w:id="102" w:name="page103"/>
    <w:bookmarkEnd w:id="102"/>
    <w:p>
      <w:pPr>
        <w:ind w:left="7" w:right="240"/>
        <w:spacing w:after="0" w:line="271" w:lineRule="auto"/>
        <w:rPr>
          <w:sz w:val="20"/>
          <w:szCs w:val="20"/>
          <w:color w:val="auto"/>
        </w:rPr>
      </w:pPr>
      <w:r>
        <w:rPr>
          <w:rFonts w:ascii="Arial" w:cs="Arial" w:eastAsia="Arial" w:hAnsi="Arial"/>
          <w:sz w:val="16"/>
          <w:szCs w:val="16"/>
          <w:color w:val="auto"/>
        </w:rPr>
        <w:t>authentic selves to work every day in order to achieve our mission. Leaders at Lilly are expected to lead more inclusively by valuing differences, recognizing and overcoming bias and fostering a speak-up culture where all colleagues feel their ideas and contributions are welcome and valued.</w:t>
      </w:r>
    </w:p>
    <w:p>
      <w:pPr>
        <w:spacing w:after="0" w:line="98" w:lineRule="exact"/>
        <w:rPr>
          <w:sz w:val="20"/>
          <w:szCs w:val="20"/>
          <w:color w:val="auto"/>
        </w:rPr>
      </w:pPr>
    </w:p>
    <w:p>
      <w:pPr>
        <w:ind w:left="7"/>
        <w:spacing w:after="0" w:line="257" w:lineRule="auto"/>
        <w:rPr>
          <w:sz w:val="20"/>
          <w:szCs w:val="20"/>
          <w:color w:val="auto"/>
        </w:rPr>
      </w:pPr>
      <w:r>
        <w:rPr>
          <w:rFonts w:ascii="Arial" w:cs="Arial" w:eastAsia="Arial" w:hAnsi="Arial"/>
          <w:sz w:val="16"/>
          <w:szCs w:val="16"/>
          <w:color w:val="auto"/>
        </w:rPr>
        <w:t>Lilly employees have different experiences, perspectives and traditions, and we are committed to welcoming, respecting and valuing those differences. Our health benefit policies are intended to be responsive to what our employees are seeking and what our competitors are offering to their employees, with the goal of creating a welcoming and diverse workplace where all employees feel supported and valued.</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Lilly has a robust governance process in place to oversee risk and compliance.</w:t>
      </w:r>
    </w:p>
    <w:p>
      <w:pPr>
        <w:spacing w:after="0" w:line="145" w:lineRule="exact"/>
        <w:rPr>
          <w:sz w:val="20"/>
          <w:szCs w:val="20"/>
          <w:color w:val="auto"/>
        </w:rPr>
      </w:pPr>
    </w:p>
    <w:p>
      <w:pPr>
        <w:ind w:left="7" w:right="60"/>
        <w:spacing w:after="0" w:line="250" w:lineRule="auto"/>
        <w:rPr>
          <w:sz w:val="20"/>
          <w:szCs w:val="20"/>
          <w:color w:val="auto"/>
        </w:rPr>
      </w:pPr>
      <w:r>
        <w:rPr>
          <w:rFonts w:ascii="Arial" w:cs="Arial" w:eastAsia="Arial" w:hAnsi="Arial"/>
          <w:sz w:val="16"/>
          <w:szCs w:val="16"/>
          <w:color w:val="auto"/>
        </w:rPr>
        <w:t>The board and its committees receive regular updates from management, including related to human resources and compliance, and discuss management’s assessments from the company’s enterprise risk management process. Specifically, the company’s Compensation Committee advises management and the board regarding human capital management, diversity, equity and inclusion (DEI) efforts, and employee compensation and benefits matters. We believe these processes are reasonable and appropriate to assess and respond to any purported risks from any specific benefit policy without the need to commission the report requested by the proposal.</w:t>
      </w:r>
    </w:p>
    <w:p>
      <w:pPr>
        <w:spacing w:after="0" w:line="114" w:lineRule="exact"/>
        <w:rPr>
          <w:sz w:val="20"/>
          <w:szCs w:val="20"/>
          <w:color w:val="auto"/>
        </w:rPr>
      </w:pPr>
    </w:p>
    <w:p>
      <w:pPr>
        <w:ind w:left="7" w:right="200"/>
        <w:spacing w:after="0" w:line="284" w:lineRule="auto"/>
        <w:rPr>
          <w:sz w:val="20"/>
          <w:szCs w:val="20"/>
          <w:color w:val="auto"/>
        </w:rPr>
      </w:pPr>
      <w:r>
        <w:rPr>
          <w:rFonts w:ascii="Arial" w:cs="Arial" w:eastAsia="Arial" w:hAnsi="Arial"/>
          <w:sz w:val="16"/>
          <w:szCs w:val="16"/>
          <w:b w:val="1"/>
          <w:bCs w:val="1"/>
          <w:color w:val="auto"/>
        </w:rPr>
        <w:t>The scope of the requested report is framed so broadly and speculatively that we believe it would be extremely difficult for the company to produce a report that would provide value or utility to our shareholders, employees, and other stakeholders.</w:t>
      </w:r>
    </w:p>
    <w:p>
      <w:pPr>
        <w:spacing w:after="0" w:line="81" w:lineRule="exact"/>
        <w:rPr>
          <w:sz w:val="20"/>
          <w:szCs w:val="20"/>
          <w:color w:val="auto"/>
        </w:rPr>
      </w:pPr>
    </w:p>
    <w:p>
      <w:pPr>
        <w:ind w:left="7" w:right="20"/>
        <w:spacing w:after="0" w:line="295" w:lineRule="auto"/>
        <w:rPr>
          <w:sz w:val="20"/>
          <w:szCs w:val="20"/>
          <w:color w:val="auto"/>
        </w:rPr>
      </w:pPr>
      <w:r>
        <w:rPr>
          <w:rFonts w:ascii="Arial" w:cs="Arial" w:eastAsia="Arial" w:hAnsi="Arial"/>
          <w:sz w:val="14"/>
          <w:szCs w:val="14"/>
          <w:color w:val="auto"/>
        </w:rPr>
        <w:t>The requested report would involve a review and report of not only the laws in each of the states in which the company operates, but also all proposed bills, legislation in committee, speculation about the results or outcomes of relevant pending state-level litigation, and any current or proposed administrative policies of state governmental bodies. Moreover, it is not clear how the company could quantify what constitutes “risks and costs” caused by “opposing” or “altering” company policies and procedures “in response to enacted or proposed state policies” of the kind described in the proposal. Producing the requested report would prove to be a diversion of board and management time and other company resources that could be better spent running the business and managing the company’s workforce.</w:t>
      </w:r>
    </w:p>
    <w:p>
      <w:pPr>
        <w:spacing w:after="0" w:line="85" w:lineRule="exact"/>
        <w:rPr>
          <w:sz w:val="20"/>
          <w:szCs w:val="20"/>
          <w:color w:val="auto"/>
        </w:rPr>
      </w:pPr>
    </w:p>
    <w:p>
      <w:pPr>
        <w:ind w:left="7" w:right="100"/>
        <w:spacing w:after="0" w:line="257" w:lineRule="auto"/>
        <w:rPr>
          <w:sz w:val="20"/>
          <w:szCs w:val="20"/>
          <w:color w:val="auto"/>
        </w:rPr>
      </w:pPr>
      <w:r>
        <w:rPr>
          <w:rFonts w:ascii="Arial" w:cs="Arial" w:eastAsia="Arial" w:hAnsi="Arial"/>
          <w:sz w:val="16"/>
          <w:szCs w:val="16"/>
          <w:color w:val="auto"/>
        </w:rPr>
        <w:t>Lilly is committed to complying with any laws that are or may be enacted that apply to our company. We believe the company’s resources are better focused on its day-to-day review and design of our benefits plans and programs in order to remain competitive in our industry and in compliance with applicable regulatory requirements in the jurisdictions 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4992370" cy="47498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26" w:lineRule="exact"/>
        <w:rPr>
          <w:sz w:val="20"/>
          <w:szCs w:val="20"/>
          <w:color w:val="auto"/>
        </w:rPr>
      </w:pPr>
    </w:p>
    <w:p>
      <w:pPr>
        <w:ind w:left="887"/>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7"/>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ind w:left="7" w:right="220"/>
        <w:spacing w:after="0" w:line="269" w:lineRule="auto"/>
        <w:rPr>
          <w:sz w:val="20"/>
          <w:szCs w:val="20"/>
          <w:color w:val="auto"/>
        </w:rPr>
      </w:pPr>
      <w:r>
        <w:rPr>
          <w:rFonts w:ascii="Arial" w:cs="Arial" w:eastAsia="Arial" w:hAnsi="Arial"/>
          <w:sz w:val="28"/>
          <w:szCs w:val="28"/>
          <w:b w:val="1"/>
          <w:bCs w:val="1"/>
          <w:color w:val="D52B1E"/>
        </w:rPr>
        <w:t>Item 11. Proposal to Disclose Lobbying Activities and Alignment with Public Policy Positions and Statements</w:t>
      </w:r>
    </w:p>
    <w:p>
      <w:pPr>
        <w:spacing w:after="0" w:line="1" w:lineRule="exact"/>
        <w:rPr>
          <w:sz w:val="20"/>
          <w:szCs w:val="20"/>
          <w:color w:val="auto"/>
        </w:rPr>
      </w:pPr>
    </w:p>
    <w:p>
      <w:pPr>
        <w:ind w:left="7" w:right="200"/>
        <w:spacing w:after="0" w:line="271" w:lineRule="auto"/>
        <w:rPr>
          <w:sz w:val="20"/>
          <w:szCs w:val="20"/>
          <w:color w:val="auto"/>
        </w:rPr>
      </w:pPr>
      <w:r>
        <w:rPr>
          <w:rFonts w:ascii="Arial" w:cs="Arial" w:eastAsia="Arial" w:hAnsi="Arial"/>
          <w:sz w:val="16"/>
          <w:szCs w:val="16"/>
          <w:color w:val="auto"/>
        </w:rPr>
        <w:t>CommonSpirit Health, 444 West Lake Street, Chicago, IL 60606, as lead filer, along with several cofilers, each a beneficial owner of shares of our common stock having a market value in excess of $2,000, has submitted the following proposal:</w:t>
      </w:r>
    </w:p>
    <w:p>
      <w:pPr>
        <w:spacing w:after="0" w:line="98" w:lineRule="exact"/>
        <w:rPr>
          <w:sz w:val="20"/>
          <w:szCs w:val="20"/>
          <w:color w:val="auto"/>
        </w:rPr>
      </w:pPr>
    </w:p>
    <w:p>
      <w:pPr>
        <w:ind w:left="7" w:right="20"/>
        <w:spacing w:after="0" w:line="262" w:lineRule="auto"/>
        <w:rPr>
          <w:sz w:val="20"/>
          <w:szCs w:val="20"/>
          <w:color w:val="auto"/>
        </w:rPr>
      </w:pPr>
      <w:r>
        <w:rPr>
          <w:rFonts w:ascii="Arial" w:cs="Arial" w:eastAsia="Arial" w:hAnsi="Arial"/>
          <w:sz w:val="16"/>
          <w:szCs w:val="16"/>
          <w:color w:val="auto"/>
        </w:rPr>
        <w:t>Resolved: Shareholders request that the Board of Directors commission and publish a third party review within the next year (at reasonable cost, omitting proprietary information) of how Eli Lilly and Company (“Lilly”) reconciles the strong commitments to both innovation and patient access, reflected in Lilly’s statement that it “strike[s] a balance between access and patient affordability, while sustaining investments to research innovative life-changing treatments for some of today’s most serious diseases”</w:t>
      </w:r>
      <w:r>
        <w:rPr>
          <w:rFonts w:ascii="Arial" w:cs="Arial" w:eastAsia="Arial" w:hAnsi="Arial"/>
          <w:sz w:val="20"/>
          <w:szCs w:val="20"/>
          <w:color w:val="auto"/>
          <w:vertAlign w:val="superscript"/>
        </w:rPr>
        <w:t>20</w:t>
      </w:r>
      <w:r>
        <w:rPr>
          <w:rFonts w:ascii="Arial" w:cs="Arial" w:eastAsia="Arial" w:hAnsi="Arial"/>
          <w:sz w:val="16"/>
          <w:szCs w:val="16"/>
          <w:color w:val="auto"/>
        </w:rPr>
        <w:t>--when lobbying and engaging in other policy advocacy activities (both direct and through trade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483360" cy="762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19" w:lineRule="exact"/>
        <w:rPr>
          <w:sz w:val="20"/>
          <w:szCs w:val="20"/>
          <w:color w:val="auto"/>
        </w:rPr>
      </w:pPr>
    </w:p>
    <w:p>
      <w:pPr>
        <w:ind w:left="147" w:hanging="147"/>
        <w:spacing w:after="0"/>
        <w:tabs>
          <w:tab w:leader="none" w:pos="147" w:val="left"/>
        </w:tabs>
        <w:numPr>
          <w:ilvl w:val="0"/>
          <w:numId w:val="207"/>
        </w:numPr>
        <w:rPr>
          <w:rFonts w:ascii="Arial" w:cs="Arial" w:eastAsia="Arial" w:hAnsi="Arial"/>
          <w:sz w:val="19"/>
          <w:szCs w:val="19"/>
          <w:color w:val="auto"/>
          <w:vertAlign w:val="superscript"/>
        </w:rPr>
      </w:pPr>
      <w:r>
        <w:rPr>
          <w:rFonts w:ascii="Arial" w:cs="Arial" w:eastAsia="Arial" w:hAnsi="Arial"/>
          <w:sz w:val="12"/>
          <w:szCs w:val="12"/>
          <w:color w:val="auto"/>
        </w:rPr>
        <w:t>https://www.lilly.com/policies-reports/public-policy</w:t>
      </w: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6" w:right="339" w:bottom="1440" w:gutter="0" w:footer="0" w:header="0"/>
        </w:sectPr>
      </w:pPr>
    </w:p>
    <w:bookmarkStart w:id="103" w:name="page104"/>
    <w:bookmarkEnd w:id="103"/>
    <w:p>
      <w:pPr>
        <w:ind w:left="7"/>
        <w:spacing w:after="0"/>
        <w:rPr>
          <w:sz w:val="20"/>
          <w:szCs w:val="20"/>
          <w:color w:val="auto"/>
        </w:rPr>
      </w:pPr>
      <w:r>
        <w:rPr>
          <w:rFonts w:ascii="Arial" w:cs="Arial" w:eastAsia="Arial" w:hAnsi="Arial"/>
          <w:sz w:val="16"/>
          <w:szCs w:val="16"/>
          <w:b w:val="1"/>
          <w:bCs w:val="1"/>
          <w:color w:val="auto"/>
        </w:rPr>
        <w:t>Supporting Statement:</w:t>
      </w:r>
    </w:p>
    <w:p>
      <w:pPr>
        <w:spacing w:after="0" w:line="140" w:lineRule="exact"/>
        <w:rPr>
          <w:sz w:val="20"/>
          <w:szCs w:val="20"/>
          <w:color w:val="auto"/>
        </w:rPr>
      </w:pPr>
    </w:p>
    <w:p>
      <w:pPr>
        <w:ind w:left="7" w:right="20"/>
        <w:spacing w:after="0" w:line="214" w:lineRule="auto"/>
        <w:rPr>
          <w:sz w:val="20"/>
          <w:szCs w:val="20"/>
          <w:color w:val="auto"/>
        </w:rPr>
      </w:pPr>
      <w:r>
        <w:rPr>
          <w:rFonts w:ascii="Arial" w:cs="Arial" w:eastAsia="Arial" w:hAnsi="Arial"/>
          <w:sz w:val="16"/>
          <w:szCs w:val="16"/>
          <w:color w:val="auto"/>
        </w:rPr>
        <w:t>Lilly states that it “is committed to ensuring you can afford your Lilly insulin,”</w:t>
      </w:r>
      <w:r>
        <w:rPr>
          <w:rFonts w:ascii="Arial" w:cs="Arial" w:eastAsia="Arial" w:hAnsi="Arial"/>
          <w:sz w:val="20"/>
          <w:szCs w:val="20"/>
          <w:color w:val="auto"/>
          <w:vertAlign w:val="superscript"/>
        </w:rPr>
        <w:t>21</w:t>
      </w:r>
      <w:r>
        <w:rPr>
          <w:rFonts w:ascii="Arial" w:cs="Arial" w:eastAsia="Arial" w:hAnsi="Arial"/>
          <w:sz w:val="16"/>
          <w:szCs w:val="16"/>
          <w:color w:val="auto"/>
        </w:rPr>
        <w:t xml:space="preserve"> and says it wants to “help those with diabetes get the medication and care they need.”</w:t>
      </w:r>
      <w:r>
        <w:rPr>
          <w:rFonts w:ascii="Arial" w:cs="Arial" w:eastAsia="Arial" w:hAnsi="Arial"/>
          <w:sz w:val="20"/>
          <w:szCs w:val="20"/>
          <w:color w:val="auto"/>
          <w:vertAlign w:val="superscript"/>
        </w:rPr>
        <w:t>22</w:t>
      </w:r>
      <w:r>
        <w:rPr>
          <w:rFonts w:ascii="Arial" w:cs="Arial" w:eastAsia="Arial" w:hAnsi="Arial"/>
          <w:sz w:val="16"/>
          <w:szCs w:val="16"/>
          <w:color w:val="auto"/>
        </w:rPr>
        <w:t xml:space="preserve"> Though Lilly has a patient access program, there is not solid evidence that these programs reach the most vulnerable patients, with one study finding “limited evidence … that co-pay assistance was associated with improved treatment persistence/adherence across various diseases…”</w:t>
      </w:r>
      <w:r>
        <w:rPr>
          <w:rFonts w:ascii="Arial" w:cs="Arial" w:eastAsia="Arial" w:hAnsi="Arial"/>
          <w:sz w:val="20"/>
          <w:szCs w:val="20"/>
          <w:color w:val="auto"/>
          <w:vertAlign w:val="superscript"/>
        </w:rPr>
        <w:t>23</w:t>
      </w:r>
      <w:r>
        <w:rPr>
          <w:rFonts w:ascii="Arial" w:cs="Arial" w:eastAsia="Arial" w:hAnsi="Arial"/>
          <w:sz w:val="16"/>
          <w:szCs w:val="16"/>
          <w:color w:val="auto"/>
        </w:rPr>
        <w:t xml:space="preserve"> In March 2021, Lilly also made headlines for “deceptive trade practice claims” associated with “insulin price-gouging.”</w:t>
      </w:r>
      <w:r>
        <w:rPr>
          <w:rFonts w:ascii="Arial" w:cs="Arial" w:eastAsia="Arial" w:hAnsi="Arial"/>
          <w:sz w:val="20"/>
          <w:szCs w:val="20"/>
          <w:color w:val="auto"/>
          <w:vertAlign w:val="superscript"/>
        </w:rPr>
        <w:t>24</w:t>
      </w:r>
      <w:r>
        <w:rPr>
          <w:rFonts w:ascii="Arial" w:cs="Arial" w:eastAsia="Arial" w:hAnsi="Arial"/>
          <w:sz w:val="16"/>
          <w:szCs w:val="16"/>
          <w:color w:val="auto"/>
        </w:rPr>
        <w:t xml:space="preserve"> Lilly states, “Now more than ever, it’s vitally important that we demonstrate accountability and trustworthiness so we can continue to earn the confidence of patients, healthcare providers and other customers, as well as society as a whole.”</w:t>
      </w:r>
      <w:r>
        <w:rPr>
          <w:rFonts w:ascii="Arial" w:cs="Arial" w:eastAsia="Arial" w:hAnsi="Arial"/>
          <w:sz w:val="20"/>
          <w:szCs w:val="20"/>
          <w:color w:val="auto"/>
          <w:vertAlign w:val="superscript"/>
        </w:rPr>
        <w:t>25</w:t>
      </w:r>
      <w:r>
        <w:rPr>
          <w:rFonts w:ascii="Arial" w:cs="Arial" w:eastAsia="Arial" w:hAnsi="Arial"/>
          <w:sz w:val="16"/>
          <w:szCs w:val="16"/>
          <w:color w:val="auto"/>
        </w:rPr>
        <w:t xml:space="preserve"> However, Lilly has directly lobbied against drug pricing reform that advances affordability,</w:t>
      </w:r>
      <w:r>
        <w:rPr>
          <w:rFonts w:ascii="Arial" w:cs="Arial" w:eastAsia="Arial" w:hAnsi="Arial"/>
          <w:sz w:val="20"/>
          <w:szCs w:val="20"/>
          <w:color w:val="auto"/>
          <w:vertAlign w:val="superscript"/>
        </w:rPr>
        <w:t>26</w:t>
      </w:r>
      <w:r>
        <w:rPr>
          <w:rFonts w:ascii="Arial" w:cs="Arial" w:eastAsia="Arial" w:hAnsi="Arial"/>
          <w:sz w:val="16"/>
          <w:szCs w:val="16"/>
          <w:color w:val="auto"/>
        </w:rPr>
        <w:t xml:space="preserve"> hiring three lobbyists in March 2021 to defeat Democratic drug pricing proposals even while Lilly was under intense scrutiny for insulin price hikes.</w:t>
      </w:r>
      <w:r>
        <w:rPr>
          <w:rFonts w:ascii="Arial" w:cs="Arial" w:eastAsia="Arial" w:hAnsi="Arial"/>
          <w:sz w:val="20"/>
          <w:szCs w:val="20"/>
          <w:color w:val="auto"/>
          <w:vertAlign w:val="superscript"/>
        </w:rPr>
        <w:t>27</w:t>
      </w:r>
      <w:r>
        <w:rPr>
          <w:rFonts w:ascii="Arial" w:cs="Arial" w:eastAsia="Arial" w:hAnsi="Arial"/>
          <w:sz w:val="16"/>
          <w:szCs w:val="16"/>
          <w:color w:val="auto"/>
        </w:rPr>
        <w:t xml:space="preserve"> Lilly’s CEO Dave Ricks is a recent Board Chair for Pharmaceutical Research and Manufacturers of America (“PhRMA”), which raised nearly $527 million in 2020 and spent roughly $ 506 million, including donating millions to numerous other organizations for use in opposing congressional drug pricing reform efforts.</w:t>
      </w:r>
      <w:r>
        <w:rPr>
          <w:rFonts w:ascii="Arial" w:cs="Arial" w:eastAsia="Arial" w:hAnsi="Arial"/>
          <w:sz w:val="20"/>
          <w:szCs w:val="20"/>
          <w:color w:val="auto"/>
          <w:vertAlign w:val="superscript"/>
        </w:rPr>
        <w:t>28</w:t>
      </w:r>
      <w:r>
        <w:rPr>
          <w:rFonts w:ascii="Arial" w:cs="Arial" w:eastAsia="Arial" w:hAnsi="Arial"/>
          <w:sz w:val="16"/>
          <w:szCs w:val="16"/>
          <w:color w:val="auto"/>
        </w:rPr>
        <w:t xml:space="preserve"> PhRMA also sits on the Private Enterprise Advisory Council of the American Legislative Exchange Council, which has actively opposed bills to lower the costs of pharmaceuticals (H.R. 3 and its moderate counterpart S. 2534 (both 116th Congress)).</w:t>
      </w:r>
      <w:r>
        <w:rPr>
          <w:rFonts w:ascii="Arial" w:cs="Arial" w:eastAsia="Arial" w:hAnsi="Arial"/>
          <w:sz w:val="20"/>
          <w:szCs w:val="20"/>
          <w:color w:val="auto"/>
          <w:vertAlign w:val="superscript"/>
        </w:rPr>
        <w:t>29</w:t>
      </w:r>
    </w:p>
    <w:p>
      <w:pPr>
        <w:spacing w:after="0" w:line="63" w:lineRule="exact"/>
        <w:rPr>
          <w:sz w:val="20"/>
          <w:szCs w:val="20"/>
          <w:color w:val="auto"/>
        </w:rPr>
      </w:pPr>
    </w:p>
    <w:p>
      <w:pPr>
        <w:ind w:left="7"/>
        <w:spacing w:after="0" w:line="234" w:lineRule="auto"/>
        <w:rPr>
          <w:sz w:val="20"/>
          <w:szCs w:val="20"/>
          <w:color w:val="auto"/>
        </w:rPr>
      </w:pPr>
      <w:r>
        <w:rPr>
          <w:rFonts w:ascii="Arial" w:cs="Arial" w:eastAsia="Arial" w:hAnsi="Arial"/>
          <w:sz w:val="16"/>
          <w:szCs w:val="16"/>
          <w:color w:val="auto"/>
        </w:rPr>
        <w:t>Lilly spent $ 7.5M lobbying in 2021 and $5.3M in 2022 (through October 24).</w:t>
      </w:r>
      <w:r>
        <w:rPr>
          <w:rFonts w:ascii="Arial" w:cs="Arial" w:eastAsia="Arial" w:hAnsi="Arial"/>
          <w:sz w:val="20"/>
          <w:szCs w:val="20"/>
          <w:color w:val="auto"/>
          <w:vertAlign w:val="superscript"/>
        </w:rPr>
        <w:t>30</w:t>
      </w:r>
      <w:r>
        <w:rPr>
          <w:rFonts w:ascii="Arial" w:cs="Arial" w:eastAsia="Arial" w:hAnsi="Arial"/>
          <w:sz w:val="16"/>
          <w:szCs w:val="16"/>
          <w:color w:val="auto"/>
        </w:rPr>
        <w:t xml:space="preserve"> Given Lilly’s extensive direct and indirect lobbying against measures that would make drugs more affordable, investors need to better understand the balance Lilly is striking between its commitments to innovation, on the one hand, and access and affordability, on the other. For these reasons, we urge shareholders to support the proposal.</w:t>
      </w:r>
    </w:p>
    <w:p>
      <w:pPr>
        <w:spacing w:after="0" w:line="172" w:lineRule="exact"/>
        <w:rPr>
          <w:sz w:val="20"/>
          <w:szCs w:val="20"/>
          <w:color w:val="auto"/>
        </w:rPr>
      </w:pPr>
    </w:p>
    <w:p>
      <w:pPr>
        <w:ind w:left="7" w:right="720"/>
        <w:spacing w:after="0" w:line="286" w:lineRule="auto"/>
        <w:rPr>
          <w:sz w:val="20"/>
          <w:szCs w:val="20"/>
          <w:color w:val="auto"/>
        </w:rPr>
      </w:pPr>
      <w:r>
        <w:rPr>
          <w:rFonts w:ascii="Arial" w:cs="Arial" w:eastAsia="Arial" w:hAnsi="Arial"/>
          <w:sz w:val="19"/>
          <w:szCs w:val="19"/>
          <w:b w:val="1"/>
          <w:bCs w:val="1"/>
          <w:color w:val="auto"/>
        </w:rPr>
        <w:t>Statement in Opposition to the Shareholder Proposal to Disclose Lobbying Activities and Alignment with Public Policy Positions and Statements</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jc w:val="both"/>
        <w:ind w:left="7" w:right="540"/>
        <w:spacing w:after="0" w:line="257" w:lineRule="auto"/>
        <w:rPr>
          <w:sz w:val="20"/>
          <w:szCs w:val="20"/>
          <w:color w:val="auto"/>
        </w:rPr>
      </w:pPr>
      <w:r>
        <w:rPr>
          <w:rFonts w:ascii="Arial" w:cs="Arial" w:eastAsia="Arial" w:hAnsi="Arial"/>
          <w:sz w:val="16"/>
          <w:szCs w:val="16"/>
          <w:color w:val="auto"/>
        </w:rPr>
        <w:t>The proposal calls for the board to publish a report to shareholders disclosing how the company’s lobbying activities align with its public policy positions and statements, particularly regarding Lilly’s goals of promoting access and affordability of medicines, while at the same time sustaining investments to research innovative life-changing treatments for some of today’s most serious diseases.</w:t>
      </w:r>
    </w:p>
    <w:p>
      <w:pPr>
        <w:spacing w:after="0" w:line="110" w:lineRule="exact"/>
        <w:rPr>
          <w:sz w:val="20"/>
          <w:szCs w:val="20"/>
          <w:color w:val="auto"/>
        </w:rPr>
      </w:pPr>
    </w:p>
    <w:p>
      <w:pPr>
        <w:ind w:left="7" w:right="160"/>
        <w:spacing w:after="0" w:line="257" w:lineRule="auto"/>
        <w:rPr>
          <w:sz w:val="20"/>
          <w:szCs w:val="20"/>
          <w:color w:val="auto"/>
        </w:rPr>
      </w:pPr>
      <w:r>
        <w:rPr>
          <w:rFonts w:ascii="Arial" w:cs="Arial" w:eastAsia="Arial" w:hAnsi="Arial"/>
          <w:sz w:val="16"/>
          <w:szCs w:val="16"/>
          <w:color w:val="auto"/>
        </w:rPr>
        <w:t>The report requested by the proposal is unnecessary because Lilly already provides shareholders with sufficient information to assess the alignment of the company’s lobbying activities with its public positions and statements through existing disclosures. At Lilly, we provide public disclosures with respect to our direct and indirect lobbying activities, including disclosures regarding:</w:t>
      </w:r>
    </w:p>
    <w:p>
      <w:pPr>
        <w:spacing w:after="0" w:line="110" w:lineRule="exact"/>
        <w:rPr>
          <w:sz w:val="20"/>
          <w:szCs w:val="20"/>
          <w:color w:val="auto"/>
        </w:rPr>
      </w:pPr>
    </w:p>
    <w:p>
      <w:pPr>
        <w:ind w:left="547" w:hanging="266"/>
        <w:spacing w:after="0"/>
        <w:tabs>
          <w:tab w:leader="none" w:pos="547" w:val="left"/>
        </w:tabs>
        <w:numPr>
          <w:ilvl w:val="0"/>
          <w:numId w:val="208"/>
        </w:numPr>
        <w:rPr>
          <w:rFonts w:ascii="Arial" w:cs="Arial" w:eastAsia="Arial" w:hAnsi="Arial"/>
          <w:sz w:val="14"/>
          <w:szCs w:val="14"/>
          <w:color w:val="auto"/>
        </w:rPr>
      </w:pPr>
      <w:r>
        <w:rPr>
          <w:rFonts w:ascii="Arial" w:cs="Arial" w:eastAsia="Arial" w:hAnsi="Arial"/>
          <w:sz w:val="16"/>
          <w:szCs w:val="16"/>
          <w:color w:val="auto"/>
        </w:rPr>
        <w:t>our board’s oversight of political expenditures and lobbying activities;</w:t>
      </w:r>
    </w:p>
    <w:p>
      <w:pPr>
        <w:spacing w:after="0" w:line="143" w:lineRule="exact"/>
        <w:rPr>
          <w:rFonts w:ascii="Arial" w:cs="Arial" w:eastAsia="Arial" w:hAnsi="Arial"/>
          <w:sz w:val="14"/>
          <w:szCs w:val="14"/>
          <w:color w:val="auto"/>
        </w:rPr>
      </w:pPr>
    </w:p>
    <w:p>
      <w:pPr>
        <w:ind w:left="567" w:right="40" w:hanging="286"/>
        <w:spacing w:after="0" w:line="271" w:lineRule="auto"/>
        <w:tabs>
          <w:tab w:leader="none" w:pos="557" w:val="left"/>
        </w:tabs>
        <w:numPr>
          <w:ilvl w:val="0"/>
          <w:numId w:val="208"/>
        </w:numPr>
        <w:rPr>
          <w:rFonts w:ascii="Arial" w:cs="Arial" w:eastAsia="Arial" w:hAnsi="Arial"/>
          <w:sz w:val="14"/>
          <w:szCs w:val="14"/>
          <w:color w:val="auto"/>
        </w:rPr>
      </w:pPr>
      <w:r>
        <w:rPr>
          <w:rFonts w:ascii="Arial" w:cs="Arial" w:eastAsia="Arial" w:hAnsi="Arial"/>
          <w:sz w:val="16"/>
          <w:szCs w:val="16"/>
          <w:color w:val="auto"/>
        </w:rPr>
        <w:t>Lilly’s political contributions to candidates for public office (directly from Lilly and through the company’s exclusively employee-led political action committee (LillyPAC));</w:t>
      </w:r>
    </w:p>
    <w:p>
      <w:pPr>
        <w:spacing w:after="0" w:line="98" w:lineRule="exact"/>
        <w:rPr>
          <w:rFonts w:ascii="Arial" w:cs="Arial" w:eastAsia="Arial" w:hAnsi="Arial"/>
          <w:sz w:val="14"/>
          <w:szCs w:val="14"/>
          <w:color w:val="auto"/>
        </w:rPr>
      </w:pPr>
    </w:p>
    <w:p>
      <w:pPr>
        <w:ind w:left="547" w:hanging="266"/>
        <w:spacing w:after="0"/>
        <w:tabs>
          <w:tab w:leader="none" w:pos="547" w:val="left"/>
        </w:tabs>
        <w:numPr>
          <w:ilvl w:val="0"/>
          <w:numId w:val="208"/>
        </w:numPr>
        <w:rPr>
          <w:rFonts w:ascii="Arial" w:cs="Arial" w:eastAsia="Arial" w:hAnsi="Arial"/>
          <w:sz w:val="14"/>
          <w:szCs w:val="14"/>
          <w:color w:val="auto"/>
        </w:rPr>
      </w:pPr>
      <w:r>
        <w:rPr>
          <w:rFonts w:ascii="Arial" w:cs="Arial" w:eastAsia="Arial" w:hAnsi="Arial"/>
          <w:sz w:val="16"/>
          <w:szCs w:val="16"/>
          <w:color w:val="auto"/>
        </w:rPr>
        <w:t>recipients of Lilly’s political contributions;</w:t>
      </w:r>
    </w:p>
    <w:p>
      <w:pPr>
        <w:spacing w:after="0" w:line="143" w:lineRule="exact"/>
        <w:rPr>
          <w:rFonts w:ascii="Arial" w:cs="Arial" w:eastAsia="Arial" w:hAnsi="Arial"/>
          <w:sz w:val="14"/>
          <w:szCs w:val="14"/>
          <w:color w:val="auto"/>
        </w:rPr>
      </w:pPr>
    </w:p>
    <w:p>
      <w:pPr>
        <w:ind w:left="547" w:hanging="266"/>
        <w:spacing w:after="0"/>
        <w:tabs>
          <w:tab w:leader="none" w:pos="547" w:val="left"/>
        </w:tabs>
        <w:numPr>
          <w:ilvl w:val="0"/>
          <w:numId w:val="208"/>
        </w:numPr>
        <w:rPr>
          <w:rFonts w:ascii="Arial" w:cs="Arial" w:eastAsia="Arial" w:hAnsi="Arial"/>
          <w:sz w:val="14"/>
          <w:szCs w:val="14"/>
          <w:color w:val="auto"/>
        </w:rPr>
      </w:pPr>
      <w:r>
        <w:rPr>
          <w:rFonts w:ascii="Arial" w:cs="Arial" w:eastAsia="Arial" w:hAnsi="Arial"/>
          <w:sz w:val="16"/>
          <w:szCs w:val="16"/>
          <w:color w:val="auto"/>
        </w:rPr>
        <w:t>Lilly’s federal and state lobbying activities;</w:t>
      </w:r>
    </w:p>
    <w:p>
      <w:pPr>
        <w:spacing w:after="0" w:line="143" w:lineRule="exact"/>
        <w:rPr>
          <w:rFonts w:ascii="Arial" w:cs="Arial" w:eastAsia="Arial" w:hAnsi="Arial"/>
          <w:sz w:val="14"/>
          <w:szCs w:val="14"/>
          <w:color w:val="auto"/>
        </w:rPr>
      </w:pPr>
    </w:p>
    <w:p>
      <w:pPr>
        <w:ind w:left="547" w:hanging="266"/>
        <w:spacing w:after="0"/>
        <w:tabs>
          <w:tab w:leader="none" w:pos="547" w:val="left"/>
        </w:tabs>
        <w:numPr>
          <w:ilvl w:val="0"/>
          <w:numId w:val="208"/>
        </w:numPr>
        <w:rPr>
          <w:rFonts w:ascii="Arial" w:cs="Arial" w:eastAsia="Arial" w:hAnsi="Arial"/>
          <w:sz w:val="14"/>
          <w:szCs w:val="14"/>
          <w:color w:val="auto"/>
        </w:rPr>
      </w:pPr>
      <w:r>
        <w:rPr>
          <w:rFonts w:ascii="Arial" w:cs="Arial" w:eastAsia="Arial" w:hAnsi="Arial"/>
          <w:sz w:val="16"/>
          <w:szCs w:val="16"/>
          <w:color w:val="auto"/>
        </w:rPr>
        <w:t>trade associations to which Lilly pays annual membership dues of $50,000 or more (including those trade associations on which Lilly has a board seat);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483360" cy="762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216" w:lineRule="exact"/>
        <w:rPr>
          <w:sz w:val="20"/>
          <w:szCs w:val="20"/>
          <w:color w:val="auto"/>
        </w:rPr>
      </w:pPr>
    </w:p>
    <w:p>
      <w:pPr>
        <w:ind w:left="147" w:hanging="147"/>
        <w:spacing w:after="0"/>
        <w:tabs>
          <w:tab w:leader="none" w:pos="147" w:val="left"/>
        </w:tabs>
        <w:numPr>
          <w:ilvl w:val="0"/>
          <w:numId w:val="209"/>
        </w:numPr>
        <w:rPr>
          <w:rFonts w:ascii="Arial" w:cs="Arial" w:eastAsia="Arial" w:hAnsi="Arial"/>
          <w:sz w:val="19"/>
          <w:szCs w:val="19"/>
          <w:color w:val="auto"/>
          <w:vertAlign w:val="superscript"/>
        </w:rPr>
      </w:pPr>
      <w:r>
        <w:rPr>
          <w:rFonts w:ascii="Arial" w:cs="Arial" w:eastAsia="Arial" w:hAnsi="Arial"/>
          <w:sz w:val="12"/>
          <w:szCs w:val="12"/>
          <w:color w:val="auto"/>
        </w:rPr>
        <w:t>https://www.insulinaffordability.com/</w:t>
      </w:r>
    </w:p>
    <w:p>
      <w:pPr>
        <w:spacing w:after="0" w:line="70" w:lineRule="exact"/>
        <w:rPr>
          <w:rFonts w:ascii="Arial" w:cs="Arial" w:eastAsia="Arial" w:hAnsi="Arial"/>
          <w:sz w:val="19"/>
          <w:szCs w:val="19"/>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https://www.insulinaffordability.com/lilly-diabetes-solution-center</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https://www.ajmc.com/view/impact-of-co-pay-assistance-on-patient-clinical-and-economic-outcomes</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https://www.news.bloomberglaw.com/antitrust/sanofi-lilly-novo-must-face-more-insulin-price-gouging-claims</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https://www.lilly.com/impact/operating-ethically-and-responsibly</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https://www.fiercepharma.com/pharma/novo-faces-new-shareholder-suit-for-alleged-collusive-price-fixing</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https://www.opensecrets.org/news/2021/04/vaccine-access-pharma-lobbying-fight/</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https://www.opensecrets.org/news/2021/12/pharma-lobby-poured-millions-into-darkmoney-groups/</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https://www.alecaction.org/update/20-alec-lawmakers-say-no-to-importing-price-controls-and-socialized-medicine-to-america/</w:t>
      </w:r>
    </w:p>
    <w:p>
      <w:pPr>
        <w:spacing w:after="0" w:line="71" w:lineRule="exact"/>
        <w:rPr>
          <w:rFonts w:ascii="Arial" w:cs="Arial" w:eastAsia="Arial" w:hAnsi="Arial"/>
          <w:sz w:val="18"/>
          <w:szCs w:val="18"/>
          <w:color w:val="auto"/>
          <w:vertAlign w:val="superscript"/>
        </w:rPr>
      </w:pPr>
    </w:p>
    <w:p>
      <w:pPr>
        <w:ind w:left="147" w:hanging="147"/>
        <w:spacing w:after="0" w:line="188" w:lineRule="auto"/>
        <w:tabs>
          <w:tab w:leader="none" w:pos="147" w:val="left"/>
        </w:tabs>
        <w:numPr>
          <w:ilvl w:val="0"/>
          <w:numId w:val="209"/>
        </w:numPr>
        <w:rPr>
          <w:rFonts w:ascii="Arial" w:cs="Arial" w:eastAsia="Arial" w:hAnsi="Arial"/>
          <w:sz w:val="18"/>
          <w:szCs w:val="18"/>
          <w:color w:val="auto"/>
          <w:vertAlign w:val="superscript"/>
        </w:rPr>
      </w:pPr>
      <w:r>
        <w:rPr>
          <w:rFonts w:ascii="Arial" w:cs="Arial" w:eastAsia="Arial" w:hAnsi="Arial"/>
          <w:sz w:val="11"/>
          <w:szCs w:val="11"/>
          <w:color w:val="auto"/>
        </w:rPr>
        <w:t>https://www.opensecrets.orgs/orgs/eli-lilly-co/summary?id=d000000166</w:t>
      </w:r>
    </w:p>
    <w:p>
      <w:pPr>
        <w:spacing w:after="0" w:line="38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3" w:right="339" w:bottom="1440" w:gutter="0" w:footer="0" w:header="0"/>
        </w:sectPr>
      </w:pPr>
    </w:p>
    <w:bookmarkStart w:id="104" w:name="page105"/>
    <w:bookmarkEnd w:id="104"/>
    <w:p>
      <w:pPr>
        <w:ind w:left="560" w:right="80" w:hanging="286"/>
        <w:spacing w:after="0" w:line="271" w:lineRule="auto"/>
        <w:tabs>
          <w:tab w:leader="none" w:pos="550" w:val="left"/>
        </w:tabs>
        <w:numPr>
          <w:ilvl w:val="0"/>
          <w:numId w:val="210"/>
        </w:numPr>
        <w:rPr>
          <w:rFonts w:ascii="Arial" w:cs="Arial" w:eastAsia="Arial" w:hAnsi="Arial"/>
          <w:sz w:val="14"/>
          <w:szCs w:val="14"/>
          <w:color w:val="auto"/>
        </w:rPr>
      </w:pPr>
      <w:r>
        <w:rPr>
          <w:rFonts w:ascii="Arial" w:cs="Arial" w:eastAsia="Arial" w:hAnsi="Arial"/>
          <w:sz w:val="16"/>
          <w:szCs w:val="16"/>
          <w:color w:val="auto"/>
        </w:rPr>
        <w:t>our public policy positions and goals on the promotion of access and affordability of medicines as well as expanded development of innovation, all of which are detailed in our environmental, social and governance report (ESG Report); and</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210"/>
        </w:numPr>
        <w:rPr>
          <w:rFonts w:ascii="Arial" w:cs="Arial" w:eastAsia="Arial" w:hAnsi="Arial"/>
          <w:sz w:val="14"/>
          <w:szCs w:val="14"/>
          <w:color w:val="auto"/>
        </w:rPr>
      </w:pPr>
      <w:r>
        <w:rPr>
          <w:rFonts w:ascii="Arial" w:cs="Arial" w:eastAsia="Arial" w:hAnsi="Arial"/>
          <w:sz w:val="16"/>
          <w:szCs w:val="16"/>
          <w:color w:val="auto"/>
        </w:rPr>
        <w:t>Lilly’s core principles and key areas of public policy effort when advocating for improvements to the U.S. healthcare system.</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These extensive disclosures already enable shareholders (i) to understand Lilly’s perspective and approach to increasing access to medicines and innovative research and development, (ii) to assess whether the company’s lobbying activities align with its public policy positions and statements, and (iii) to assess the risks presented by any potential misalignment.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Lilly already publicly discloses the information requested by the proposal regarding the company’s lobbying activities.</w:t>
      </w:r>
    </w:p>
    <w:p>
      <w:pPr>
        <w:spacing w:after="0" w:line="14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Lilly makes extensive disclosures regarding its lobbying activities in the political participation page of its website (Political Participation Website), its proxy materials, its ESG Report, and through other publicly available disclosures regarding its political activities. For example, Lilly voluntarily discloses its corporate political contributions on a biannual basis. In addition to the public disclosures of lobbying expenditures by trade associations through which Lilly conducts its indirect lobbying activities (which are evaluated annually by the company’s U.S. government affairs leaders), Lilly’s Political Participation Website also contains information regarding the company’s trade association memberships for which the company pays annual dues of $50,000 or more, as well as information regarding the percentage of dues collected by such trade associations that is utilized for federal and state lobbying and political expenditures.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119"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b w:val="1"/>
          <w:bCs w:val="1"/>
          <w:color w:val="auto"/>
        </w:rPr>
        <w:t>Lilly already publicly discloses the information requested by the proposal regarding its public policy positions and statements with regard to access and affordability and investments in research.</w:t>
      </w:r>
    </w:p>
    <w:p>
      <w:pPr>
        <w:spacing w:after="0" w:line="8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this proxy statement, the Political Participation Website and Lilly’s public policy website, the company discloses its public policy positions regarding accessibility and affordability as well as fairness and transparency in the biopharmaceutical industry. These disclosures include Lilly’s commitment to advocate for improvements to the United States health care system that align with the company’s core principles of (1) encouraging and protecting innovation, (2) fairness and transparency in the biopharmaceutical industry and all of health care, and (3) lowering costs at the pharmacy counter for patients who use our medicines. Lilly’s lobbying activities are aligned with these public policy positions and our actions also clearly demonstrate this alignment. For example, Lilly advocates for insurers to pass through its negotiated rebates directly to consumers at the pharmacy counter, is supportive of efforts to exempt health care services for chronic conditions from a health insurance plan’s deductible and Lilly passes through estimated rebates directly to its employees at the pharmacy counter under its own healthcare coverage. In our proxy statement and other public disclosures, the company also discloses its support for various transparency initiatives globally, and explains that the company seeks to collaborate with policy makers, industry colleagues and key stakeholders to align on approaches that achieve these objectives. As demonstrations of delivering on its commitment to its public policy positions regarding drug pricing and access, Lilly introduced two additional lower-priced versions of Humalog in January 2020 and added the Lilly Insulin Value Program to Lilly’s comprehensive suite of insulin affordability solutions in September 2020, which now enables customers with commercial insurance or no insurance to purchase their monthly prescription of all Lilly insulins for $35. In addition, in September 2021, Lilly announced that it would lower the list price of all Lilly’s non-branded insulins, including Insulin Lispro Injection, by an additional 40 percent in the United States. That price reduction took effect January 1, 2022, effectively reducing the list price to 2008 levels. These examples, among others, demonstrate Lilly’s commitment to providing effective oversight over drug pricing and access as well as the public’s ability to evaluate this information.</w:t>
      </w:r>
    </w:p>
    <w:p>
      <w:pPr>
        <w:spacing w:after="0" w:line="28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color w:val="auto"/>
        </w:rPr>
        <w:t>Lilly already publicly discloses the information requested by the proposal regarding its oversight and plans to mitigate alleged risks presented by any misaligned lobbying activities.</w:t>
      </w:r>
    </w:p>
    <w:p>
      <w:pPr>
        <w:spacing w:after="0" w:line="8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In this proxy statement and the Political Participation Website, Lilly already discloses its governance and risk mitigation procedures that are in place to avoid and address any potential misalignment between Lilly’s lobbying activities and its public policy positions and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05" w:name="page106"/>
    <w:bookmarkEnd w:id="105"/>
    <w:p>
      <w:pPr>
        <w:ind w:left="7" w:right="260"/>
        <w:spacing w:after="0" w:line="252" w:lineRule="auto"/>
        <w:rPr>
          <w:sz w:val="20"/>
          <w:szCs w:val="20"/>
          <w:color w:val="auto"/>
        </w:rPr>
      </w:pPr>
      <w:r>
        <w:rPr>
          <w:rFonts w:ascii="Arial" w:cs="Arial" w:eastAsia="Arial" w:hAnsi="Arial"/>
          <w:sz w:val="16"/>
          <w:szCs w:val="16"/>
          <w:color w:val="auto"/>
        </w:rPr>
        <w:t>For example, the board exercises oversight of Lilly’s political expenditures and lobbying activities to ensure the company fulfills its commitment to stewardship of corporate funds and minimizes risk with respect to such activities. The board receives regular updates from the executive vice president, corporate affairs and communications regarding public policy issues and the company’s direct and indirect lobbying activities and the board also receives semi-annual updates on the company’s direct and indirect lobbying activities and trade association memberships.</w:t>
      </w:r>
    </w:p>
    <w:p>
      <w:pPr>
        <w:spacing w:after="0" w:line="115" w:lineRule="exact"/>
        <w:rPr>
          <w:sz w:val="20"/>
          <w:szCs w:val="20"/>
          <w:color w:val="auto"/>
        </w:rPr>
      </w:pPr>
    </w:p>
    <w:p>
      <w:pPr>
        <w:ind w:left="7" w:right="120"/>
        <w:spacing w:after="0" w:line="271" w:lineRule="auto"/>
        <w:rPr>
          <w:sz w:val="20"/>
          <w:szCs w:val="20"/>
          <w:color w:val="auto"/>
        </w:rPr>
      </w:pPr>
      <w:r>
        <w:rPr>
          <w:rFonts w:ascii="Arial" w:cs="Arial" w:eastAsia="Arial" w:hAnsi="Arial"/>
          <w:sz w:val="16"/>
          <w:szCs w:val="16"/>
          <w:color w:val="auto"/>
        </w:rPr>
        <w:t>Therefore, the board already takes substantial steps to oversee and mitigate the potential risks of misalignment between Lilly’s lobbying activities and public policy positions and statements and the company provides that information to the public.</w:t>
      </w:r>
    </w:p>
    <w:p>
      <w:pPr>
        <w:spacing w:after="0" w:line="96" w:lineRule="exact"/>
        <w:rPr>
          <w:sz w:val="20"/>
          <w:szCs w:val="20"/>
          <w:color w:val="auto"/>
        </w:rPr>
      </w:pPr>
    </w:p>
    <w:p>
      <w:pPr>
        <w:ind w:left="7" w:right="220"/>
        <w:spacing w:after="0" w:line="284" w:lineRule="auto"/>
        <w:rPr>
          <w:sz w:val="20"/>
          <w:szCs w:val="20"/>
          <w:color w:val="auto"/>
        </w:rPr>
      </w:pPr>
      <w:r>
        <w:rPr>
          <w:rFonts w:ascii="Arial" w:cs="Arial" w:eastAsia="Arial" w:hAnsi="Arial"/>
          <w:sz w:val="16"/>
          <w:szCs w:val="16"/>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1" w:lineRule="exact"/>
        <w:rPr>
          <w:sz w:val="20"/>
          <w:szCs w:val="20"/>
          <w:color w:val="auto"/>
        </w:rPr>
      </w:pPr>
    </w:p>
    <w:p>
      <w:pPr>
        <w:ind w:left="7" w:right="20"/>
        <w:spacing w:after="0" w:line="252" w:lineRule="auto"/>
        <w:rPr>
          <w:sz w:val="20"/>
          <w:szCs w:val="20"/>
          <w:color w:val="auto"/>
        </w:rPr>
      </w:pPr>
      <w:r>
        <w:rPr>
          <w:rFonts w:ascii="Arial" w:cs="Arial" w:eastAsia="Arial" w:hAnsi="Arial"/>
          <w:sz w:val="16"/>
          <w:szCs w:val="16"/>
          <w:color w:val="auto"/>
        </w:rPr>
        <w:t>We believe our existing disclosures regarding out lobbying activities provide meaningful information that allows shareholders to evaluate how our lobbying activities align with our public policy positions and statements. Additionally, we do not believe the standalone report requested by the proposal would provide meaningful additional information to shareholders to merit the resources required to provide the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4992370" cy="47498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31" w:lineRule="exact"/>
        <w:rPr>
          <w:sz w:val="20"/>
          <w:szCs w:val="20"/>
          <w:color w:val="auto"/>
        </w:rPr>
      </w:pPr>
    </w:p>
    <w:p>
      <w:pPr>
        <w:ind w:left="887"/>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7"/>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ind w:left="7"/>
        <w:spacing w:after="0" w:line="269" w:lineRule="auto"/>
        <w:rPr>
          <w:sz w:val="20"/>
          <w:szCs w:val="20"/>
          <w:color w:val="auto"/>
        </w:rPr>
      </w:pPr>
      <w:r>
        <w:rPr>
          <w:rFonts w:ascii="Arial" w:cs="Arial" w:eastAsia="Arial" w:hAnsi="Arial"/>
          <w:sz w:val="28"/>
          <w:szCs w:val="28"/>
          <w:b w:val="1"/>
          <w:bCs w:val="1"/>
          <w:color w:val="D52B1E"/>
        </w:rPr>
        <w:t>Item 12. Proposal to Report on Effectiveness of the Company’s Diversity, Equity, and Inclusion Efforts</w:t>
      </w:r>
    </w:p>
    <w:p>
      <w:pPr>
        <w:spacing w:after="0" w:line="1" w:lineRule="exact"/>
        <w:rPr>
          <w:sz w:val="20"/>
          <w:szCs w:val="20"/>
          <w:color w:val="auto"/>
        </w:rPr>
      </w:pPr>
    </w:p>
    <w:p>
      <w:pPr>
        <w:ind w:left="7" w:right="520"/>
        <w:spacing w:after="0" w:line="271" w:lineRule="auto"/>
        <w:rPr>
          <w:sz w:val="20"/>
          <w:szCs w:val="20"/>
          <w:color w:val="auto"/>
        </w:rPr>
      </w:pPr>
      <w:r>
        <w:rPr>
          <w:rFonts w:ascii="Arial" w:cs="Arial" w:eastAsia="Arial" w:hAnsi="Arial"/>
          <w:sz w:val="16"/>
          <w:szCs w:val="16"/>
          <w:color w:val="auto"/>
        </w:rPr>
        <w:t>As You Sow, on behalf of Leslie Oelsner Bene IRA of S Berman (S), Sarah B Sonnenfeld Rev Tr (S), Curtis Overway and Marcelina Cravat-Overway, each a beneficial owner of shares of our common stock having a market value in excess of $2,000, has submitted the following proposal:</w:t>
      </w:r>
    </w:p>
    <w:p>
      <w:pPr>
        <w:spacing w:after="0" w:line="98" w:lineRule="exact"/>
        <w:rPr>
          <w:sz w:val="20"/>
          <w:szCs w:val="20"/>
          <w:color w:val="auto"/>
        </w:rPr>
      </w:pPr>
    </w:p>
    <w:p>
      <w:pPr>
        <w:ind w:left="7" w:right="240"/>
        <w:spacing w:after="0" w:line="257" w:lineRule="auto"/>
        <w:rPr>
          <w:sz w:val="20"/>
          <w:szCs w:val="20"/>
          <w:color w:val="auto"/>
        </w:rPr>
      </w:pPr>
      <w:r>
        <w:rPr>
          <w:rFonts w:ascii="Arial" w:cs="Arial" w:eastAsia="Arial" w:hAnsi="Arial"/>
          <w:sz w:val="16"/>
          <w:szCs w:val="16"/>
          <w:color w:val="auto"/>
        </w:rPr>
        <w:t>RESOLVED: Shareholders request that Eli Lilly and Co. (“Eli Lilly”) report to shareholders on the effectiveness of the Company’s diversity, equity, and inclusion efforts. The report should be done at reasonable expense, exclude proprietary information, and provide transparency on outcomes, using quantitative metrics for hiring, retention, and promotion of employees, including data by gender, race, and ethnicity.</w:t>
      </w:r>
    </w:p>
    <w:p>
      <w:pPr>
        <w:spacing w:after="0" w:line="110" w:lineRule="exact"/>
        <w:rPr>
          <w:sz w:val="20"/>
          <w:szCs w:val="20"/>
          <w:color w:val="auto"/>
        </w:rPr>
      </w:pPr>
    </w:p>
    <w:p>
      <w:pPr>
        <w:ind w:left="7" w:right="160"/>
        <w:spacing w:after="0" w:line="271" w:lineRule="auto"/>
        <w:rPr>
          <w:sz w:val="20"/>
          <w:szCs w:val="20"/>
          <w:color w:val="auto"/>
        </w:rPr>
      </w:pPr>
      <w:r>
        <w:rPr>
          <w:rFonts w:ascii="Arial" w:cs="Arial" w:eastAsia="Arial" w:hAnsi="Arial"/>
          <w:sz w:val="16"/>
          <w:szCs w:val="16"/>
          <w:color w:val="auto"/>
        </w:rPr>
        <w:t>SUPPORTING STATEMENT: Quantitative data is sought so investors can assess and compare the effectiveness of the Company’s diversity, equity, and inclusion programs.</w:t>
      </w:r>
    </w:p>
    <w:p>
      <w:pPr>
        <w:spacing w:after="0" w:line="98" w:lineRule="exact"/>
        <w:rPr>
          <w:sz w:val="20"/>
          <w:szCs w:val="20"/>
          <w:color w:val="auto"/>
        </w:rPr>
      </w:pPr>
    </w:p>
    <w:p>
      <w:pPr>
        <w:ind w:left="7" w:right="60"/>
        <w:spacing w:after="0" w:line="234" w:lineRule="auto"/>
        <w:rPr>
          <w:sz w:val="20"/>
          <w:szCs w:val="20"/>
          <w:color w:val="auto"/>
        </w:rPr>
      </w:pPr>
      <w:r>
        <w:rPr>
          <w:rFonts w:ascii="Arial" w:cs="Arial" w:eastAsia="Arial" w:hAnsi="Arial"/>
          <w:sz w:val="16"/>
          <w:szCs w:val="16"/>
          <w:color w:val="auto"/>
        </w:rPr>
        <w:t>WHEREAS: Eli Lilly has not shared sufficient quantitative hiring, retention, and promotion data to allow investors to determine the effectiveness of its human capital management programs. Between September 2020 and September 2022, S&amp;P 100 companies increased by 298 percent their release of hiring rate data by gender, race, and ethnicity; retention rate data by 481 percent; and promotion rate data by 300 percent.</w:t>
      </w:r>
      <w:r>
        <w:rPr>
          <w:rFonts w:ascii="Arial" w:cs="Arial" w:eastAsia="Arial" w:hAnsi="Arial"/>
          <w:sz w:val="20"/>
          <w:szCs w:val="20"/>
          <w:color w:val="auto"/>
          <w:vertAlign w:val="superscript"/>
        </w:rPr>
        <w:t>31</w:t>
      </w:r>
      <w:r>
        <w:rPr>
          <w:rFonts w:ascii="Arial" w:cs="Arial" w:eastAsia="Arial" w:hAnsi="Arial"/>
          <w:sz w:val="16"/>
          <w:szCs w:val="16"/>
          <w:color w:val="auto"/>
        </w:rPr>
        <w:t xml:space="preserve"> Companies that release, or have committed to release, more inclusion data than Eli Lilly include CVS Health, Gilead Sciences, Illumina, Pfizer, and UnitedHealth Group.</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6"/>
          <w:szCs w:val="16"/>
          <w:color w:val="auto"/>
        </w:rPr>
        <w:t>Numerous studies have pointed to the benefits of a diverse workforce. Their findings include:</w:t>
      </w:r>
    </w:p>
    <w:p>
      <w:pPr>
        <w:spacing w:after="0" w:line="143" w:lineRule="exact"/>
        <w:rPr>
          <w:sz w:val="20"/>
          <w:szCs w:val="20"/>
          <w:color w:val="auto"/>
        </w:rPr>
      </w:pPr>
    </w:p>
    <w:p>
      <w:pPr>
        <w:ind w:left="547" w:hanging="266"/>
        <w:spacing w:after="0"/>
        <w:tabs>
          <w:tab w:leader="none" w:pos="547" w:val="left"/>
        </w:tabs>
        <w:numPr>
          <w:ilvl w:val="0"/>
          <w:numId w:val="211"/>
        </w:numPr>
        <w:rPr>
          <w:rFonts w:ascii="Arial" w:cs="Arial" w:eastAsia="Arial" w:hAnsi="Arial"/>
          <w:sz w:val="14"/>
          <w:szCs w:val="14"/>
          <w:color w:val="auto"/>
        </w:rPr>
      </w:pPr>
      <w:r>
        <w:rPr>
          <w:rFonts w:ascii="Arial" w:cs="Arial" w:eastAsia="Arial" w:hAnsi="Arial"/>
          <w:sz w:val="16"/>
          <w:szCs w:val="16"/>
          <w:color w:val="auto"/>
        </w:rPr>
        <w:t>There is a positive association between diversity in management and cash flow, net profit, revenue, and return on equity.</w:t>
      </w:r>
      <w:r>
        <w:rPr>
          <w:rFonts w:ascii="Arial" w:cs="Arial" w:eastAsia="Arial" w:hAnsi="Arial"/>
          <w:sz w:val="20"/>
          <w:szCs w:val="20"/>
          <w:color w:val="auto"/>
          <w:vertAlign w:val="superscript"/>
        </w:rPr>
        <w:t>32</w:t>
      </w:r>
    </w:p>
    <w:p>
      <w:pPr>
        <w:spacing w:after="0" w:line="97" w:lineRule="exact"/>
        <w:rPr>
          <w:rFonts w:ascii="Arial" w:cs="Arial" w:eastAsia="Arial" w:hAnsi="Arial"/>
          <w:sz w:val="14"/>
          <w:szCs w:val="14"/>
          <w:color w:val="auto"/>
        </w:rPr>
      </w:pPr>
    </w:p>
    <w:p>
      <w:pPr>
        <w:ind w:left="547" w:hanging="266"/>
        <w:spacing w:after="0"/>
        <w:tabs>
          <w:tab w:leader="none" w:pos="547" w:val="left"/>
        </w:tabs>
        <w:numPr>
          <w:ilvl w:val="0"/>
          <w:numId w:val="211"/>
        </w:numPr>
        <w:rPr>
          <w:rFonts w:ascii="Arial" w:cs="Arial" w:eastAsia="Arial" w:hAnsi="Arial"/>
          <w:sz w:val="14"/>
          <w:szCs w:val="14"/>
          <w:color w:val="auto"/>
        </w:rPr>
      </w:pPr>
      <w:r>
        <w:rPr>
          <w:rFonts w:ascii="Arial" w:cs="Arial" w:eastAsia="Arial" w:hAnsi="Arial"/>
          <w:sz w:val="16"/>
          <w:szCs w:val="16"/>
          <w:color w:val="auto"/>
        </w:rPr>
        <w:t>Companies in the top quartile for gender diversity are 21 percent more likely to outperform on profitability.</w:t>
      </w:r>
      <w:r>
        <w:rPr>
          <w:rFonts w:ascii="Arial" w:cs="Arial" w:eastAsia="Arial" w:hAnsi="Arial"/>
          <w:sz w:val="20"/>
          <w:szCs w:val="20"/>
          <w:color w:val="auto"/>
          <w:vertAlign w:val="super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483360" cy="762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70" w:lineRule="exact"/>
        <w:rPr>
          <w:sz w:val="20"/>
          <w:szCs w:val="20"/>
          <w:color w:val="auto"/>
        </w:rPr>
      </w:pPr>
    </w:p>
    <w:p>
      <w:pPr>
        <w:ind w:left="147" w:hanging="147"/>
        <w:spacing w:after="0"/>
        <w:tabs>
          <w:tab w:leader="none" w:pos="147" w:val="left"/>
        </w:tabs>
        <w:numPr>
          <w:ilvl w:val="0"/>
          <w:numId w:val="212"/>
        </w:numPr>
        <w:rPr>
          <w:rFonts w:ascii="Arial" w:cs="Arial" w:eastAsia="Arial" w:hAnsi="Arial"/>
          <w:sz w:val="19"/>
          <w:szCs w:val="19"/>
          <w:color w:val="auto"/>
          <w:vertAlign w:val="superscript"/>
        </w:rPr>
      </w:pPr>
      <w:r>
        <w:rPr>
          <w:rFonts w:ascii="Arial" w:cs="Arial" w:eastAsia="Arial" w:hAnsi="Arial"/>
          <w:sz w:val="12"/>
          <w:szCs w:val="12"/>
          <w:color w:val="auto"/>
        </w:rPr>
        <w:t>https://www.asyousow.org/our-work/social-justice/workplace-equity</w:t>
      </w:r>
    </w:p>
    <w:p>
      <w:pPr>
        <w:spacing w:after="0" w:line="70" w:lineRule="exact"/>
        <w:rPr>
          <w:rFonts w:ascii="Arial" w:cs="Arial" w:eastAsia="Arial" w:hAnsi="Arial"/>
          <w:sz w:val="19"/>
          <w:szCs w:val="19"/>
          <w:color w:val="auto"/>
          <w:vertAlign w:val="superscript"/>
        </w:rPr>
      </w:pPr>
    </w:p>
    <w:p>
      <w:pPr>
        <w:ind w:left="147" w:hanging="147"/>
        <w:spacing w:after="0" w:line="188" w:lineRule="auto"/>
        <w:tabs>
          <w:tab w:leader="none" w:pos="147" w:val="left"/>
        </w:tabs>
        <w:numPr>
          <w:ilvl w:val="0"/>
          <w:numId w:val="212"/>
        </w:numPr>
        <w:rPr>
          <w:rFonts w:ascii="Arial" w:cs="Arial" w:eastAsia="Arial" w:hAnsi="Arial"/>
          <w:sz w:val="18"/>
          <w:szCs w:val="18"/>
          <w:color w:val="auto"/>
          <w:vertAlign w:val="superscript"/>
        </w:rPr>
      </w:pPr>
      <w:r>
        <w:rPr>
          <w:rFonts w:ascii="Arial" w:cs="Arial" w:eastAsia="Arial" w:hAnsi="Arial"/>
          <w:sz w:val="11"/>
          <w:szCs w:val="11"/>
          <w:color w:val="auto"/>
        </w:rPr>
        <w:t>https://www.asyousow.org/report-pages/workplace-diversity-and-financial-performance</w:t>
      </w:r>
    </w:p>
    <w:p>
      <w:pPr>
        <w:spacing w:after="0" w:line="44" w:lineRule="exact"/>
        <w:rPr>
          <w:rFonts w:ascii="Arial" w:cs="Arial" w:eastAsia="Arial" w:hAnsi="Arial"/>
          <w:sz w:val="18"/>
          <w:szCs w:val="18"/>
          <w:color w:val="auto"/>
          <w:vertAlign w:val="superscript"/>
        </w:rPr>
      </w:pPr>
    </w:p>
    <w:p>
      <w:pPr>
        <w:ind w:left="147" w:hanging="147"/>
        <w:spacing w:after="0" w:line="208" w:lineRule="auto"/>
        <w:tabs>
          <w:tab w:leader="none" w:pos="147" w:val="left"/>
        </w:tabs>
        <w:numPr>
          <w:ilvl w:val="0"/>
          <w:numId w:val="212"/>
        </w:numPr>
        <w:rPr>
          <w:rFonts w:ascii="Arial" w:cs="Arial" w:eastAsia="Arial" w:hAnsi="Arial"/>
          <w:sz w:val="19"/>
          <w:szCs w:val="19"/>
          <w:color w:val="auto"/>
          <w:vertAlign w:val="superscript"/>
        </w:rPr>
      </w:pPr>
      <w:r>
        <w:rPr>
          <w:rFonts w:ascii="Arial" w:cs="Arial" w:eastAsia="Arial" w:hAnsi="Arial"/>
          <w:sz w:val="12"/>
          <w:szCs w:val="12"/>
          <w:color w:val="auto"/>
        </w:rPr>
        <w:t>Ibid</w:t>
      </w: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85" w:right="319" w:bottom="1440" w:gutter="0" w:footer="0" w:header="0"/>
        </w:sectPr>
      </w:pPr>
    </w:p>
    <w:bookmarkStart w:id="106" w:name="page107"/>
    <w:bookmarkEnd w:id="106"/>
    <w:p>
      <w:pPr>
        <w:ind w:left="547" w:hanging="266"/>
        <w:spacing w:after="0"/>
        <w:tabs>
          <w:tab w:leader="none" w:pos="547" w:val="left"/>
        </w:tabs>
        <w:numPr>
          <w:ilvl w:val="0"/>
          <w:numId w:val="213"/>
        </w:numPr>
        <w:rPr>
          <w:rFonts w:ascii="Arial" w:cs="Arial" w:eastAsia="Arial" w:hAnsi="Arial"/>
          <w:sz w:val="13"/>
          <w:szCs w:val="13"/>
          <w:color w:val="auto"/>
        </w:rPr>
      </w:pPr>
      <w:r>
        <w:rPr>
          <w:rFonts w:ascii="Arial" w:cs="Arial" w:eastAsia="Arial" w:hAnsi="Arial"/>
          <w:sz w:val="15"/>
          <w:szCs w:val="15"/>
          <w:color w:val="auto"/>
        </w:rPr>
        <w:t>The 20 most diverse companies had an average annual five year-stock return that was 5.8 percentage points higher than the 20 least diverse companies.</w:t>
      </w:r>
      <w:r>
        <w:rPr>
          <w:rFonts w:ascii="Arial" w:cs="Arial" w:eastAsia="Arial" w:hAnsi="Arial"/>
          <w:sz w:val="19"/>
          <w:szCs w:val="19"/>
          <w:color w:val="auto"/>
          <w:vertAlign w:val="superscript"/>
        </w:rPr>
        <w:t>34</w:t>
      </w:r>
    </w:p>
    <w:p>
      <w:pPr>
        <w:spacing w:after="0" w:line="114" w:lineRule="exact"/>
        <w:rPr>
          <w:sz w:val="20"/>
          <w:szCs w:val="20"/>
          <w:color w:val="auto"/>
        </w:rPr>
      </w:pPr>
    </w:p>
    <w:p>
      <w:pPr>
        <w:ind w:left="7" w:right="100"/>
        <w:spacing w:after="0" w:line="257" w:lineRule="auto"/>
        <w:rPr>
          <w:sz w:val="20"/>
          <w:szCs w:val="20"/>
          <w:color w:val="auto"/>
        </w:rPr>
      </w:pPr>
      <w:r>
        <w:rPr>
          <w:rFonts w:ascii="Arial" w:cs="Arial" w:eastAsia="Arial" w:hAnsi="Arial"/>
          <w:sz w:val="16"/>
          <w:szCs w:val="16"/>
          <w:color w:val="auto"/>
        </w:rPr>
        <w:t>Similar to how an income statement pairs with a balance sheet, hiring, promotion, and retention rate data show how well a company manages its workforce diversity. Without this data, investors are unable to assess the effectiveness of a company’s human capital management program. Companies should look to hire the best talent. However, Black and Latino applicants face hiring challenges. Results of a meta-analysis of 24 field experiments found that, with identical resumes, White applicants received an average of 36 percent more callbacks than Black applicants and 24 percent more callbacks than Latino applicants.</w:t>
      </w:r>
      <w:r>
        <w:rPr>
          <w:rFonts w:ascii="Arial" w:cs="Arial" w:eastAsia="Arial" w:hAnsi="Arial"/>
          <w:sz w:val="20"/>
          <w:szCs w:val="20"/>
          <w:color w:val="auto"/>
          <w:vertAlign w:val="superscript"/>
        </w:rPr>
        <w:t>35</w:t>
      </w:r>
    </w:p>
    <w:p>
      <w:pPr>
        <w:spacing w:after="0" w:line="50" w:lineRule="exact"/>
        <w:rPr>
          <w:sz w:val="20"/>
          <w:szCs w:val="20"/>
          <w:color w:val="auto"/>
        </w:rPr>
      </w:pPr>
    </w:p>
    <w:p>
      <w:pPr>
        <w:ind w:left="7" w:right="100"/>
        <w:spacing w:after="0" w:line="264" w:lineRule="auto"/>
        <w:rPr>
          <w:sz w:val="20"/>
          <w:szCs w:val="20"/>
          <w:color w:val="auto"/>
        </w:rPr>
      </w:pPr>
      <w:r>
        <w:rPr>
          <w:rFonts w:ascii="Arial" w:cs="Arial" w:eastAsia="Arial" w:hAnsi="Arial"/>
          <w:sz w:val="16"/>
          <w:szCs w:val="16"/>
          <w:color w:val="auto"/>
        </w:rPr>
        <w:t>Promotion rates show how well diverse talent is nurtured at a company. Unfortunately, women and employees of color experience “a broken rung” in their careers; for every 100 men who are promoted, only 86 women are. Women of color are particularly impacted, comprising 17 percent of the entry-level workforce and only four percent of executives.</w:t>
      </w:r>
      <w:r>
        <w:rPr>
          <w:rFonts w:ascii="Arial" w:cs="Arial" w:eastAsia="Arial" w:hAnsi="Arial"/>
          <w:sz w:val="20"/>
          <w:szCs w:val="20"/>
          <w:color w:val="auto"/>
          <w:vertAlign w:val="superscript"/>
        </w:rPr>
        <w:t>36</w:t>
      </w:r>
    </w:p>
    <w:p>
      <w:pPr>
        <w:spacing w:after="0" w:line="43" w:lineRule="exact"/>
        <w:rPr>
          <w:sz w:val="20"/>
          <w:szCs w:val="20"/>
          <w:color w:val="auto"/>
        </w:rPr>
      </w:pPr>
    </w:p>
    <w:p>
      <w:pPr>
        <w:jc w:val="both"/>
        <w:ind w:left="7" w:right="60"/>
        <w:spacing w:after="0" w:line="238" w:lineRule="auto"/>
        <w:rPr>
          <w:sz w:val="20"/>
          <w:szCs w:val="20"/>
          <w:color w:val="auto"/>
        </w:rPr>
      </w:pPr>
      <w:r>
        <w:rPr>
          <w:rFonts w:ascii="Arial" w:cs="Arial" w:eastAsia="Arial" w:hAnsi="Arial"/>
          <w:sz w:val="16"/>
          <w:szCs w:val="16"/>
          <w:color w:val="auto"/>
        </w:rPr>
        <w:t>Retention rates show whether employees choose to remain at a company. Morgan Stanley has found that employee retention above industry average can indicate a competitive advantage and higher levels of future profitability.</w:t>
      </w:r>
      <w:r>
        <w:rPr>
          <w:rFonts w:ascii="Arial" w:cs="Arial" w:eastAsia="Arial" w:hAnsi="Arial"/>
          <w:sz w:val="20"/>
          <w:szCs w:val="20"/>
          <w:color w:val="auto"/>
          <w:vertAlign w:val="superscript"/>
        </w:rPr>
        <w:t>37</w:t>
      </w:r>
      <w:r>
        <w:rPr>
          <w:rFonts w:ascii="Arial" w:cs="Arial" w:eastAsia="Arial" w:hAnsi="Arial"/>
          <w:sz w:val="16"/>
          <w:szCs w:val="16"/>
          <w:color w:val="auto"/>
        </w:rPr>
        <w:t xml:space="preserve"> Companies with high employee satisfaction have also been linked to annualized outperformance of over two percent.</w:t>
      </w:r>
      <w:r>
        <w:rPr>
          <w:rFonts w:ascii="Arial" w:cs="Arial" w:eastAsia="Arial" w:hAnsi="Arial"/>
          <w:sz w:val="20"/>
          <w:szCs w:val="20"/>
          <w:color w:val="auto"/>
          <w:vertAlign w:val="superscript"/>
        </w:rPr>
        <w:t>38</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color w:val="auto"/>
        </w:rPr>
        <w:t>Investors have reason to be concerned as Eli Lilly has faced allegations of age, sex, and race discrimination.</w:t>
      </w:r>
    </w:p>
    <w:p>
      <w:pPr>
        <w:spacing w:after="0" w:line="193" w:lineRule="exact"/>
        <w:rPr>
          <w:sz w:val="20"/>
          <w:szCs w:val="20"/>
          <w:color w:val="auto"/>
        </w:rPr>
      </w:pPr>
    </w:p>
    <w:p>
      <w:pPr>
        <w:ind w:left="7" w:right="220"/>
        <w:spacing w:after="0" w:line="286" w:lineRule="auto"/>
        <w:rPr>
          <w:sz w:val="20"/>
          <w:szCs w:val="20"/>
          <w:color w:val="auto"/>
        </w:rPr>
      </w:pPr>
      <w:r>
        <w:rPr>
          <w:rFonts w:ascii="Arial" w:cs="Arial" w:eastAsia="Arial" w:hAnsi="Arial"/>
          <w:sz w:val="19"/>
          <w:szCs w:val="19"/>
          <w:b w:val="1"/>
          <w:bCs w:val="1"/>
          <w:color w:val="auto"/>
        </w:rPr>
        <w:t>Statement in Opposition to the Shareholder Proposal to Report on the Effectiveness of the Company’s Diversity, Equity, and Inclusion Efforts</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ind w:left="7" w:right="820"/>
        <w:spacing w:after="0" w:line="344" w:lineRule="auto"/>
        <w:rPr>
          <w:sz w:val="20"/>
          <w:szCs w:val="20"/>
          <w:color w:val="auto"/>
        </w:rPr>
      </w:pPr>
      <w:r>
        <w:rPr>
          <w:rFonts w:ascii="Arial" w:cs="Arial" w:eastAsia="Arial" w:hAnsi="Arial"/>
          <w:sz w:val="14"/>
          <w:szCs w:val="14"/>
          <w:color w:val="auto"/>
        </w:rPr>
        <w:t>The proposal calls for the board to report to shareholders on the effectiveness of the company’s diversity, equity, and inclusion (DEI) efforts and provide transparency on outcomes using quantitative metrics hiring, retention, and promotion of employees, including data by gender, race, and ethnicity.</w:t>
      </w:r>
    </w:p>
    <w:p>
      <w:pPr>
        <w:spacing w:after="0" w:line="52" w:lineRule="exact"/>
        <w:rPr>
          <w:sz w:val="20"/>
          <w:szCs w:val="20"/>
          <w:color w:val="auto"/>
        </w:rPr>
      </w:pPr>
    </w:p>
    <w:p>
      <w:pPr>
        <w:ind w:left="7" w:right="540"/>
        <w:spacing w:after="0" w:line="271" w:lineRule="auto"/>
        <w:rPr>
          <w:sz w:val="20"/>
          <w:szCs w:val="20"/>
          <w:color w:val="auto"/>
        </w:rPr>
      </w:pPr>
      <w:r>
        <w:rPr>
          <w:rFonts w:ascii="Arial" w:cs="Arial" w:eastAsia="Arial" w:hAnsi="Arial"/>
          <w:sz w:val="16"/>
          <w:szCs w:val="16"/>
          <w:color w:val="auto"/>
        </w:rPr>
        <w:t>The report requested by the proposal is unnecessary because Lilly already establishes specific DEI goals, discloses progress towards these goals, and has consistently been evaluated and recognized by third parties for our DEI practices, programs and outcomes.</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Lilly is committed to DEI.</w:t>
      </w:r>
    </w:p>
    <w:p>
      <w:pPr>
        <w:spacing w:after="0" w:line="145" w:lineRule="exact"/>
        <w:rPr>
          <w:sz w:val="20"/>
          <w:szCs w:val="20"/>
          <w:color w:val="auto"/>
        </w:rPr>
      </w:pPr>
    </w:p>
    <w:p>
      <w:pPr>
        <w:ind w:left="7" w:right="140"/>
        <w:spacing w:after="0" w:line="250" w:lineRule="auto"/>
        <w:rPr>
          <w:sz w:val="20"/>
          <w:szCs w:val="20"/>
          <w:color w:val="auto"/>
        </w:rPr>
      </w:pPr>
      <w:r>
        <w:rPr>
          <w:rFonts w:ascii="Arial" w:cs="Arial" w:eastAsia="Arial" w:hAnsi="Arial"/>
          <w:sz w:val="16"/>
          <w:szCs w:val="16"/>
          <w:color w:val="auto"/>
        </w:rPr>
        <w:t>At Lilly, we believe in the power of DEI to fulfill our purpose of creating medicines that make life better for people around the world. At our core, we believe that by leveraging the varied backgrounds of our more than 39,000 employees—and by driving actionable and measurable strategies to improve DEI, including diversity within our clinical trials—we can better deliver scientific breakthroughs. We take a data-driven approach to DEI so that our business and employee base better reflect the world around us. We recognize that the wide array of races, ethnicities, abilities, ages, religions, sexual orientations, genders and political views in our communities serves as a catalyst for innovation and creativity that contributes to the health and prosperity of society.</w:t>
      </w:r>
    </w:p>
    <w:p>
      <w:pPr>
        <w:spacing w:after="0" w:line="116" w:lineRule="exact"/>
        <w:rPr>
          <w:sz w:val="20"/>
          <w:szCs w:val="20"/>
          <w:color w:val="auto"/>
        </w:rPr>
      </w:pPr>
    </w:p>
    <w:p>
      <w:pPr>
        <w:ind w:left="7" w:right="240"/>
        <w:spacing w:after="0" w:line="295" w:lineRule="auto"/>
        <w:rPr>
          <w:sz w:val="20"/>
          <w:szCs w:val="20"/>
          <w:color w:val="auto"/>
        </w:rPr>
      </w:pPr>
      <w:r>
        <w:rPr>
          <w:rFonts w:ascii="Arial" w:cs="Arial" w:eastAsia="Arial" w:hAnsi="Arial"/>
          <w:sz w:val="14"/>
          <w:szCs w:val="14"/>
          <w:color w:val="auto"/>
        </w:rPr>
        <w:t>The DEI commitment at Lilly includes, among other things, high-level oversight, purposeful corporate culture and ongoing data analyses to inform our approach. Our CEO and Executive Committee (EC) consistently set expectations for inclusive leadership and hold leaders accountable for building diverse and inclusive teams. The EC is dedicated to advising and driving corporate DEI strategy in order to promote diverse talent development, recruitment, and retainment as highlighted in our proxy statement and other public disclosures. The EC regularly reviews progress towards aspirational goals for women and minority group member talent for both recruiting and representation in management along with other DEI metrics, including employee survey data. Lilly is committed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1483360" cy="762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483360" cy="7620"/>
                    </a:xfrm>
                    <a:prstGeom prst="rect">
                      <a:avLst/>
                    </a:prstGeom>
                    <a:noFill/>
                  </pic:spPr>
                </pic:pic>
              </a:graphicData>
            </a:graphic>
          </wp:anchor>
        </w:drawing>
      </w:r>
    </w:p>
    <w:p>
      <w:pPr>
        <w:spacing w:after="0" w:line="170" w:lineRule="exact"/>
        <w:rPr>
          <w:sz w:val="20"/>
          <w:szCs w:val="20"/>
          <w:color w:val="auto"/>
        </w:rPr>
      </w:pPr>
    </w:p>
    <w:p>
      <w:pPr>
        <w:ind w:left="147" w:hanging="147"/>
        <w:spacing w:after="0"/>
        <w:tabs>
          <w:tab w:leader="none" w:pos="147" w:val="left"/>
        </w:tabs>
        <w:numPr>
          <w:ilvl w:val="0"/>
          <w:numId w:val="214"/>
        </w:numPr>
        <w:rPr>
          <w:rFonts w:ascii="Arial" w:cs="Arial" w:eastAsia="Arial" w:hAnsi="Arial"/>
          <w:sz w:val="19"/>
          <w:szCs w:val="19"/>
          <w:color w:val="auto"/>
          <w:vertAlign w:val="superscript"/>
        </w:rPr>
      </w:pPr>
      <w:r>
        <w:rPr>
          <w:rFonts w:ascii="Arial" w:cs="Arial" w:eastAsia="Arial" w:hAnsi="Arial"/>
          <w:sz w:val="12"/>
          <w:szCs w:val="12"/>
          <w:color w:val="auto"/>
        </w:rPr>
        <w:t>https://www.wsj.com/articles/the-business-case-for-more-diversity-11572091200</w:t>
      </w:r>
    </w:p>
    <w:p>
      <w:pPr>
        <w:spacing w:after="0" w:line="70" w:lineRule="exact"/>
        <w:rPr>
          <w:rFonts w:ascii="Arial" w:cs="Arial" w:eastAsia="Arial" w:hAnsi="Arial"/>
          <w:sz w:val="19"/>
          <w:szCs w:val="19"/>
          <w:color w:val="auto"/>
          <w:vertAlign w:val="superscript"/>
        </w:rPr>
      </w:pPr>
    </w:p>
    <w:p>
      <w:pPr>
        <w:ind w:left="147" w:hanging="147"/>
        <w:spacing w:after="0" w:line="230" w:lineRule="auto"/>
        <w:tabs>
          <w:tab w:leader="none" w:pos="147" w:val="left"/>
        </w:tabs>
        <w:numPr>
          <w:ilvl w:val="0"/>
          <w:numId w:val="214"/>
        </w:numPr>
        <w:rPr>
          <w:rFonts w:ascii="Arial" w:cs="Arial" w:eastAsia="Arial" w:hAnsi="Arial"/>
          <w:sz w:val="19"/>
          <w:szCs w:val="19"/>
          <w:color w:val="auto"/>
          <w:vertAlign w:val="superscript"/>
        </w:rPr>
      </w:pPr>
      <w:r>
        <w:rPr>
          <w:rFonts w:ascii="Arial" w:cs="Arial" w:eastAsia="Arial" w:hAnsi="Arial"/>
          <w:sz w:val="12"/>
          <w:szCs w:val="12"/>
          <w:color w:val="auto"/>
        </w:rPr>
        <w:t>https://www.hbr.org/2017/10/hiring-discrimination-against-black-amercians-hasnt-declined-in-25-years</w:t>
      </w:r>
    </w:p>
    <w:p>
      <w:pPr>
        <w:spacing w:after="0" w:line="70" w:lineRule="exact"/>
        <w:rPr>
          <w:rFonts w:ascii="Arial" w:cs="Arial" w:eastAsia="Arial" w:hAnsi="Arial"/>
          <w:sz w:val="19"/>
          <w:szCs w:val="19"/>
          <w:color w:val="auto"/>
          <w:vertAlign w:val="superscript"/>
        </w:rPr>
      </w:pPr>
    </w:p>
    <w:p>
      <w:pPr>
        <w:ind w:left="147" w:hanging="147"/>
        <w:spacing w:after="0" w:line="230" w:lineRule="auto"/>
        <w:tabs>
          <w:tab w:leader="none" w:pos="147" w:val="left"/>
        </w:tabs>
        <w:numPr>
          <w:ilvl w:val="0"/>
          <w:numId w:val="214"/>
        </w:numPr>
        <w:rPr>
          <w:rFonts w:ascii="Arial" w:cs="Arial" w:eastAsia="Arial" w:hAnsi="Arial"/>
          <w:sz w:val="19"/>
          <w:szCs w:val="19"/>
          <w:color w:val="auto"/>
          <w:vertAlign w:val="superscript"/>
        </w:rPr>
      </w:pPr>
      <w:r>
        <w:rPr>
          <w:rFonts w:ascii="Arial" w:cs="Arial" w:eastAsia="Arial" w:hAnsi="Arial"/>
          <w:sz w:val="12"/>
          <w:szCs w:val="12"/>
          <w:color w:val="auto"/>
        </w:rPr>
        <w:t>https://wiw-report.s3amazonaws.com/Women_in_the_Workplace_2021.pdf</w:t>
      </w:r>
    </w:p>
    <w:p>
      <w:pPr>
        <w:spacing w:after="0" w:line="70" w:lineRule="exact"/>
        <w:rPr>
          <w:rFonts w:ascii="Arial" w:cs="Arial" w:eastAsia="Arial" w:hAnsi="Arial"/>
          <w:sz w:val="19"/>
          <w:szCs w:val="19"/>
          <w:color w:val="auto"/>
          <w:vertAlign w:val="superscript"/>
        </w:rPr>
      </w:pPr>
    </w:p>
    <w:p>
      <w:pPr>
        <w:ind w:left="147" w:hanging="147"/>
        <w:spacing w:after="0" w:line="230" w:lineRule="auto"/>
        <w:tabs>
          <w:tab w:leader="none" w:pos="147" w:val="left"/>
        </w:tabs>
        <w:numPr>
          <w:ilvl w:val="0"/>
          <w:numId w:val="214"/>
        </w:numPr>
        <w:rPr>
          <w:rFonts w:ascii="Arial" w:cs="Arial" w:eastAsia="Arial" w:hAnsi="Arial"/>
          <w:sz w:val="19"/>
          <w:szCs w:val="19"/>
          <w:color w:val="auto"/>
          <w:vertAlign w:val="superscript"/>
        </w:rPr>
      </w:pPr>
      <w:r>
        <w:rPr>
          <w:rFonts w:ascii="Arial" w:cs="Arial" w:eastAsia="Arial" w:hAnsi="Arial"/>
          <w:sz w:val="12"/>
          <w:szCs w:val="12"/>
          <w:color w:val="auto"/>
        </w:rPr>
        <w:t>https://www.morganstanley.com/im/publication/insights/articles/article_culturequantframework_us.pdf</w:t>
      </w:r>
    </w:p>
    <w:p>
      <w:pPr>
        <w:spacing w:after="0" w:line="70" w:lineRule="exact"/>
        <w:rPr>
          <w:rFonts w:ascii="Arial" w:cs="Arial" w:eastAsia="Arial" w:hAnsi="Arial"/>
          <w:sz w:val="19"/>
          <w:szCs w:val="19"/>
          <w:color w:val="auto"/>
          <w:vertAlign w:val="superscript"/>
        </w:rPr>
      </w:pPr>
    </w:p>
    <w:p>
      <w:pPr>
        <w:ind w:left="147" w:hanging="147"/>
        <w:spacing w:after="0" w:line="230" w:lineRule="auto"/>
        <w:tabs>
          <w:tab w:leader="none" w:pos="147" w:val="left"/>
        </w:tabs>
        <w:numPr>
          <w:ilvl w:val="0"/>
          <w:numId w:val="214"/>
        </w:numPr>
        <w:rPr>
          <w:rFonts w:ascii="Arial" w:cs="Arial" w:eastAsia="Arial" w:hAnsi="Arial"/>
          <w:sz w:val="19"/>
          <w:szCs w:val="19"/>
          <w:color w:val="auto"/>
          <w:vertAlign w:val="superscript"/>
        </w:rPr>
      </w:pPr>
      <w:r>
        <w:rPr>
          <w:rFonts w:ascii="Arial" w:cs="Arial" w:eastAsia="Arial" w:hAnsi="Arial"/>
          <w:sz w:val="12"/>
          <w:szCs w:val="12"/>
          <w:color w:val="auto"/>
        </w:rPr>
        <w:t>https://www.institutionalinvestor.com/article/b1tx0zzdhhnf5x/Want-to-Pick-the-Best-Stocks-Pick-the-Happiest-Companies?</w:t>
      </w:r>
    </w:p>
    <w:p>
      <w:pPr>
        <w:spacing w:after="0" w:line="10" w:lineRule="exact"/>
        <w:rPr>
          <w:rFonts w:ascii="Arial" w:cs="Arial" w:eastAsia="Arial" w:hAnsi="Arial"/>
          <w:sz w:val="19"/>
          <w:szCs w:val="19"/>
          <w:color w:val="auto"/>
          <w:vertAlign w:val="superscript"/>
        </w:rPr>
      </w:pPr>
    </w:p>
    <w:p>
      <w:pPr>
        <w:ind w:left="147" w:right="1280"/>
        <w:spacing w:after="0" w:line="289" w:lineRule="auto"/>
        <w:rPr>
          <w:rFonts w:ascii="Arial" w:cs="Arial" w:eastAsia="Arial" w:hAnsi="Arial"/>
          <w:sz w:val="19"/>
          <w:szCs w:val="19"/>
          <w:color w:val="auto"/>
          <w:vertAlign w:val="superscript"/>
        </w:rPr>
      </w:pPr>
      <w:r>
        <w:rPr>
          <w:rFonts w:ascii="Arial" w:cs="Arial" w:eastAsia="Arial" w:hAnsi="Arial"/>
          <w:sz w:val="12"/>
          <w:szCs w:val="12"/>
          <w:color w:val="auto"/>
        </w:rPr>
        <w:t>utm_medium=email&amp;utm_campaign=The%20Essential20II20100721&amp;utm_content= The20Essential%20II20100721%20CID_eb103a9e15359075f72a85f7ff534c79&amp;utm_source= CampaignMonitorEmail&amp;utm_term=Want%20to%20Pick%20the%20Best%20Stocks%20Pick%20the%20Happiest%20Companies</w:t>
      </w:r>
    </w:p>
    <w:p>
      <w:pPr>
        <w:spacing w:after="0" w:line="387"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76135" cy="4000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680" w:right="359" w:bottom="1440" w:gutter="0" w:footer="0" w:header="0"/>
        </w:sectPr>
      </w:pPr>
    </w:p>
    <w:bookmarkStart w:id="107" w:name="page108"/>
    <w:bookmarkEnd w:id="107"/>
    <w:p>
      <w:pPr>
        <w:ind w:right="100"/>
        <w:spacing w:after="0" w:line="271" w:lineRule="auto"/>
        <w:rPr>
          <w:sz w:val="20"/>
          <w:szCs w:val="20"/>
          <w:color w:val="auto"/>
        </w:rPr>
      </w:pPr>
      <w:r>
        <w:rPr>
          <w:rFonts w:ascii="Arial" w:cs="Arial" w:eastAsia="Arial" w:hAnsi="Arial"/>
          <w:sz w:val="16"/>
          <w:szCs w:val="16"/>
          <w:color w:val="auto"/>
        </w:rPr>
        <w:t>data-driven results, and metrics are used to develop annual DEI plans, track progress and implement Lilly’s strategies, which are reviewed at least annually by the Board.</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executive leadership team purposefully integrates DEI within our human resources talent management organization. Lilly’s executive vice president for human resources and diversity, a member of the EC, reports directly to our chair and CEO and is ultimately accountable for DEI at Lilly. Our chief DEI officer is a senior vice president reporting to the executive vice president for human resources and diversity and is also responsible for leading our talent management functions. As a result, DEI is integrated into how we recruit, develop, promote and retain talent.</w:t>
      </w:r>
    </w:p>
    <w:p>
      <w:pPr>
        <w:spacing w:after="0" w:line="115" w:lineRule="exact"/>
        <w:rPr>
          <w:sz w:val="20"/>
          <w:szCs w:val="20"/>
          <w:color w:val="auto"/>
        </w:rPr>
      </w:pPr>
    </w:p>
    <w:p>
      <w:pPr>
        <w:jc w:val="both"/>
        <w:ind w:right="320"/>
        <w:spacing w:after="0" w:line="257" w:lineRule="auto"/>
        <w:rPr>
          <w:sz w:val="20"/>
          <w:szCs w:val="20"/>
          <w:color w:val="auto"/>
        </w:rPr>
      </w:pPr>
      <w:r>
        <w:rPr>
          <w:rFonts w:ascii="Arial" w:cs="Arial" w:eastAsia="Arial" w:hAnsi="Arial"/>
          <w:sz w:val="16"/>
          <w:szCs w:val="16"/>
          <w:color w:val="auto"/>
        </w:rPr>
        <w:t>Employee resource groups (ERGs) are another important component of developing talent at Lilly. Our ERGs represent groups including women, minority group members,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Lilly already provides extensive information on its DEI efforts and has posted its consolidated EEO-1 reports.</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already disclose Lilly’s DEI efforts, including the information provided above, in our proxy statement and other public disclosures along with quantitative diversity data, including the gender and ethnicity breakdown of both Lilly’s workforce and management. In addition, the company publishes its EEO-1 reports on the company’s website, which provides additional transparency and accountability with respect to Lilly’s workforce diversity data.</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Lilly continues to be recognized for its DEI efforts.</w:t>
      </w:r>
    </w:p>
    <w:p>
      <w:pPr>
        <w:spacing w:after="0" w:line="145"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Finally, Lilly has been recognized externally several times for its DEI efforts. Lilly is and has been ranked in the Top 5 Companies in effective DEI practices by DiversityInc for the past 4 years and in the Top 50 the past twelve (12) years running. DiversityInc has a systematic, rigorous process that reviews companies’ data across six categories: Leadership Accountability, Talent Programs, Human Capital and Diversity Metrics, Workplace Practices, Supplier Diversity and Philanthropy.</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Additionally, Lilly has been recognized in Forbes, America’s Best Large Employers list; Seramount, Top Company for Executive Women and Best Company for Multicultural Women; DisabilityIN, Disability Equality Index Best Places to Work – Perfect Score; Human Rights Campaign Foundation, Corporate Equality Index – Perfect Score to name a few.</w:t>
      </w:r>
    </w:p>
    <w:p>
      <w:pPr>
        <w:spacing w:after="0" w:line="10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b w:val="1"/>
          <w:bCs w:val="1"/>
          <w:color w:val="auto"/>
        </w:rPr>
        <w:t>Requiring Lilly to prepare a separate report with this information would place an undue administrative burden on the company and would not provide meaningful additional information to shareholders.</w:t>
      </w:r>
    </w:p>
    <w:p>
      <w:pPr>
        <w:spacing w:after="0" w:line="81"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We believe our existing DEI practices, and significant disclosures, provide meaningful information that allows shareholders to determine the effectiveness of our policies related to workplace diversity. Additionally, we do not believe the standalone report requested by the proposal would provide meaningful additional information to shareholders to merit the resources required to provide the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4992370" cy="47498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9" w:lineRule="exact"/>
        <w:rPr>
          <w:sz w:val="20"/>
          <w:szCs w:val="20"/>
          <w:color w:val="auto"/>
        </w:rPr>
      </w:pPr>
    </w:p>
    <w:p>
      <w:pPr>
        <w:jc w:val="both"/>
        <w:ind w:right="180"/>
        <w:spacing w:after="0" w:line="263" w:lineRule="auto"/>
        <w:rPr>
          <w:sz w:val="20"/>
          <w:szCs w:val="20"/>
          <w:color w:val="auto"/>
        </w:rPr>
      </w:pPr>
      <w:r>
        <w:rPr>
          <w:rFonts w:ascii="Arial" w:cs="Arial" w:eastAsia="Arial" w:hAnsi="Arial"/>
          <w:sz w:val="28"/>
          <w:szCs w:val="28"/>
          <w:b w:val="1"/>
          <w:bCs w:val="1"/>
          <w:color w:val="D52B1E"/>
        </w:rPr>
        <w:t>Item 13. Proposal to Adopt a Policy to Require Certain Third-Party Organizations to Annually Report Expenditures for Political Activities before Lilly Contributes to an Organization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Change Finance, P.B.C., a beneficial owner of shares of our common stock having a market value in excess of $2,000, has submitted the following proposal: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Eli Lilly &amp; Company Model Code Proposal</w:t>
      </w:r>
    </w:p>
    <w:p>
      <w:pPr>
        <w:spacing w:after="0" w:line="9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The shareholders of Eli Lilly &amp; Company (“Lilly” or “Company”) ask the Company to adopt a policy requiring that, prior to making a donation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 that supports the political activities of any trade association, social welfare organization, or organization organized and operated primarily to engage in political activities, Lilly will require that the organization report, at least annually, the organization’s expenditures for political activities, including the amount spent and the recipient, and that each such report be posted on Lilly’s website. For purposes of this proposal, “political activities” are (i) influencing or attempting to influence the selection, nomination, election, or appointment of any individual to a public office; or (ii) supporting a party, committee, association, fund, or other organization organized and operated primarily for the purpose of directly or indirectly accepting contributions or making expenditures to engage in the activities described in (i). This proposal does not encompass lobbying spending.</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Supporting Statement</w:t>
      </w:r>
    </w:p>
    <w:p>
      <w:pPr>
        <w:spacing w:after="0" w:line="9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long-term Lilly shareholders we support transparency and accountability in corporate electoral spending, including indirect political spending that is the subject of this proposal. Misaligned or non-transparent funding creates reputational risk that can harm shareholder value and place a company in legal jeopardy. Without knowing which candidates and political causes its funds ultimately support, our Company cannot assure shareholders, employees, or other stakeholders that its spending aligns with core values, business objectives, and policy positions. Without this information, none of the board, senior management, or shareowners can assess the risks associated with political spending.</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risks are especially serious when giving to trade associations, Super PACs, 527 committees, and “social welfare” organizations – groups that routinely pass money to or spend on behalf of candidates and political causes that a company might not otherwise wish to support. The Conference Board’s 2021 “Under a Microscope” report details these risks, discusses how to effectively manage them, and recommends the process suggested in this proposal. Media coverage amplifies the risk a company’s spending can pose and contributions to third-party groups can also embroil companies in scandal. Public records show Lilly has contributed at least $8.4 million in corporate funds to third-party groups dating to the 2010 election cycle. Beneficiaries of this spending have been tied to attacks on voting rights, efforts to deny climate change, and efforts to impose extreme restrictions on abortion – associations many companies wish to avoid.</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It is unclear whether Lilly and its board received sufficient information from these groups to assess (a) the potential risks for the Company and stockholders, and (b) whether the groups’ expenditures aligned with our Company’s core values, business objectives, and policy positions. Mandating reports from third-party groups receiving Lilly political money would demonstrate our Company’s commitment to robust risk management and responsible civic engagement.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We urge a vote FOR the commonsense risk management measures contained in this proposal.</w:t>
      </w:r>
    </w:p>
    <w:p>
      <w:pPr>
        <w:spacing w:after="0" w:line="193" w:lineRule="exact"/>
        <w:rPr>
          <w:sz w:val="20"/>
          <w:szCs w:val="20"/>
          <w:color w:val="auto"/>
        </w:rPr>
      </w:pPr>
    </w:p>
    <w:p>
      <w:pPr>
        <w:ind w:right="720"/>
        <w:spacing w:after="0" w:line="286" w:lineRule="auto"/>
        <w:rPr>
          <w:sz w:val="20"/>
          <w:szCs w:val="20"/>
          <w:color w:val="auto"/>
        </w:rPr>
      </w:pPr>
      <w:r>
        <w:rPr>
          <w:rFonts w:ascii="Arial" w:cs="Arial" w:eastAsia="Arial" w:hAnsi="Arial"/>
          <w:sz w:val="19"/>
          <w:szCs w:val="19"/>
          <w:b w:val="1"/>
          <w:bCs w:val="1"/>
          <w:color w:val="auto"/>
        </w:rPr>
        <w:t>Statement in Opposition to the Shareholder Proposal to Adopt a Policy to Require Certain Third-Party Organizations to Annually Report Expenditures for Political Activities before Lilly Contributes to an Organization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4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proposal calls for the board to adopt a policy requiring that, prior to making a contribution or expenditure that supports the political activities of any trade association, social welfare organization, or organization organized and operated primarily to engage in political activities, Lilly will require that the organization report, at least annually, the organization’s expenditures or political activities, including the amount spent and the recipient, and that each such report be posted on Lilly’s website.</w:t>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actions requested by the proposal are unnecessary, impracticable, and could exclude Lilly from important public policy discussions vital to Lilly’s business or restrict Lilly’s ability to further the public policy goals that are important to the company’s objectives.</w:t>
      </w:r>
    </w:p>
    <w:p>
      <w:pPr>
        <w:spacing w:after="0" w:line="9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b w:val="1"/>
          <w:bCs w:val="1"/>
          <w:color w:val="auto"/>
        </w:rPr>
        <w:t>Lilly already publicly discloses information regarding its lobbying activities and trade association memberships, including the extent of management and board oversight of the Company’s participation.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109" w:name="page110"/>
    <w:bookmarkEnd w:id="109"/>
    <w:p>
      <w:pPr>
        <w:ind w:right="20"/>
        <w:spacing w:after="0" w:line="247" w:lineRule="auto"/>
        <w:rPr>
          <w:sz w:val="20"/>
          <w:szCs w:val="20"/>
          <w:color w:val="auto"/>
        </w:rPr>
      </w:pPr>
      <w:r>
        <w:rPr>
          <w:rFonts w:ascii="Arial" w:cs="Arial" w:eastAsia="Arial" w:hAnsi="Arial"/>
          <w:sz w:val="16"/>
          <w:szCs w:val="16"/>
          <w:color w:val="auto"/>
        </w:rPr>
        <w:t>Lilly makes extensive disclosures regarding its lobbying activities in the political participation page of its website (Political Participation Website), its proxy materials, its environmental, social and governance report (ESG Report), and through other publicly available disclosures regarding its political activities. For example, Lilly voluntarily discloses its corporate political contributions on a biannual basis. In addition to the public disclosures of lobbying expenditures by trade associations through which Lilly conducts its indirect activities (which are evaluated annually by the company’s U.S. government affairs leaders), Lilly’s Political Participation Website also contains information regarding the company’s trade association memberships for which the company pays annual dues of $50,000 or more, as well as information regarding the percentage of dues collected by such trade associations that is utilized for federal and state lobbying and political expenditures.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121" w:lineRule="exact"/>
        <w:rPr>
          <w:sz w:val="20"/>
          <w:szCs w:val="20"/>
          <w:color w:val="auto"/>
        </w:rPr>
      </w:pPr>
    </w:p>
    <w:p>
      <w:pPr>
        <w:ind w:right="400"/>
        <w:spacing w:after="0" w:line="311" w:lineRule="auto"/>
        <w:rPr>
          <w:sz w:val="20"/>
          <w:szCs w:val="20"/>
          <w:color w:val="auto"/>
        </w:rPr>
      </w:pPr>
      <w:r>
        <w:rPr>
          <w:rFonts w:ascii="Arial" w:cs="Arial" w:eastAsia="Arial" w:hAnsi="Arial"/>
          <w:sz w:val="14"/>
          <w:szCs w:val="14"/>
          <w:color w:val="auto"/>
        </w:rPr>
        <w:t>Our contributions to these organizations are evaluated annually by the company’s U.S. Government Affairs leaders based on these organizations’ expertise in healthcare policy and advocacy and support of key issues of importance to Lilly. In addition to their positions on health care and business policy issues, we recognize that these organizations may engage in a broad range of other issues that extend beyond matters of primary importance to Lilly.</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concerns arise about an organization’s activities or involvement, we convey our concerns to them and evaluate whether the organization’s actions align with our core values, business objectives, and policy positions such that Lilly should maintain its relationship with that organization. We contribute to and participate in certain organizations because we believe there is value in ensuring our positions on issues important to Lilly and our industry are communicated and understood within the trade associations to which we belong. Lilly’s membership in these groups comes with the understanding that we may not always agree with the positions of the larger organization and/or other members.</w:t>
      </w:r>
    </w:p>
    <w:p>
      <w:pPr>
        <w:spacing w:after="0" w:line="11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Furthermore, as described in this proxy statement and on our Political Participation Website, Lilly discloses its decision-making process and the board’s oversight over the company’s political expenditures and direct and indirect lobbying activities. The board receives regular updates from the executive vice president, corporate affairs and communications regarding public policy issues and the company’s direct and indirect lobbying activities and receives semi-annual updates on direct and indirect lobbying activities and trade association memberships. This communication enables the board to oversee the company’s fulfillment of its commitment to stewardship of corporate funds and minimizes risk with respect to such activities. See “</w:t>
      </w:r>
      <w:r>
        <w:rPr>
          <w:rFonts w:ascii="Arial" w:cs="Arial" w:eastAsia="Arial" w:hAnsi="Arial"/>
          <w:sz w:val="16"/>
          <w:szCs w:val="16"/>
          <w:u w:val="single" w:color="auto"/>
          <w:color w:val="0000FF"/>
        </w:rPr>
        <w:t>Governance—Governance Practices—Human Capital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Management—Political and Policy Participation</w:t>
      </w:r>
      <w:r>
        <w:rPr>
          <w:rFonts w:ascii="Arial" w:cs="Arial" w:eastAsia="Arial" w:hAnsi="Arial"/>
          <w:sz w:val="16"/>
          <w:szCs w:val="16"/>
          <w:color w:val="000000"/>
        </w:rPr>
        <w:t>” for additional information. This robust internal oversight as well as the extensive public disclosure provided by the</w:t>
      </w:r>
      <w:r>
        <w:rPr>
          <w:rFonts w:ascii="Arial" w:cs="Arial" w:eastAsia="Arial" w:hAnsi="Arial"/>
          <w:sz w:val="16"/>
          <w:szCs w:val="16"/>
          <w:color w:val="0000FF"/>
        </w:rPr>
        <w:t xml:space="preserve"> </w:t>
      </w:r>
      <w:r>
        <w:rPr>
          <w:rFonts w:ascii="Arial" w:cs="Arial" w:eastAsia="Arial" w:hAnsi="Arial"/>
          <w:sz w:val="16"/>
          <w:szCs w:val="16"/>
          <w:color w:val="000000"/>
        </w:rPr>
        <w:t>company allow the board, senior management, and our shareholders to assess the risks associated with political spending.</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color w:val="auto"/>
        </w:rPr>
        <w:t>Lilly does not have the power to control third-party disclosure and it is important for our business that we have flexibility to appropriately evaluate and engage in the public policymaking process.</w:t>
      </w:r>
    </w:p>
    <w:p>
      <w:pPr>
        <w:spacing w:after="0" w:line="8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believe our membership in, or association with, certain trade associations allow us to work collaboratively and create consensus with organizations with similar interests on key policy issues and advocate in favor of those interests. However, our limited participation does not afford us the influence to require third parties to provide the detailed reports requested by the proposal, and mandating that organizations must produce these reports in order to receive contributions from Lilly could severely limit the number and types of organizations in which we could participate. Most of these organizations already provide some level of disclosure regarding their political spending activities, either voluntarily or based on legal obligations to do so. Trade associations, for example, are subject to public disclosure obligations with respect to their lobbying and political contributions and expenditures.</w:t>
      </w:r>
    </w:p>
    <w:p>
      <w:pPr>
        <w:spacing w:after="0" w:line="116"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We do not believe that requiring additional disclosure from these groups would be beneficial to our shareholders and believe the disadvantage from more limited participation would far exceed any perceived advantage from more disclosure. In addition, even if we were to receive such reports from organizations, we do not have the ability to ensure that such reports are accurate prior to posting on our website. Inaccurate records could undermine the disclosure and subject Lilly to unnecessary risk without benefiting shareholders.</w:t>
      </w:r>
    </w:p>
    <w:p>
      <w:pPr>
        <w:spacing w:after="0" w:line="115"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We believe that our current practices, as described above, provide sufficient transparency and accountability with respect to our political spending and the governance and oversight of that spending, and that restricting the organizations that may receive contributions to those that are willing or able to prepare the reports requested by this proposal only harms Lilly by excluding the company from important public policy discussions that are critical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10" w:name="page111"/>
    <w:bookmarkEnd w:id="110"/>
    <w:p>
      <w:pPr>
        <w:ind w:right="200"/>
        <w:spacing w:after="0" w:line="271" w:lineRule="auto"/>
        <w:rPr>
          <w:sz w:val="20"/>
          <w:szCs w:val="20"/>
          <w:color w:val="auto"/>
        </w:rPr>
      </w:pPr>
      <w:r>
        <w:rPr>
          <w:rFonts w:ascii="Arial" w:cs="Arial" w:eastAsia="Arial" w:hAnsi="Arial"/>
          <w:sz w:val="16"/>
          <w:szCs w:val="16"/>
          <w:color w:val="auto"/>
        </w:rPr>
        <w:t>to our business and restricting the furtherance of our public policy agenda.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4992370" cy="47498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4992370" cy="474980"/>
                    </a:xfrm>
                    <a:prstGeom prst="rect">
                      <a:avLst/>
                    </a:prstGeom>
                    <a:noFill/>
                  </pic:spPr>
                </pic:pic>
              </a:graphicData>
            </a:graphic>
          </wp:anchor>
        </w:drawing>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D52B1E"/>
        </w:rPr>
        <w:t>RECOMMENDATION AGAINST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Meeting and Voting Logistics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Quorum</w:t>
      </w:r>
    </w:p>
    <w:p>
      <w:pPr>
        <w:spacing w:after="0" w:line="46" w:lineRule="exact"/>
        <w:rPr>
          <w:sz w:val="20"/>
          <w:szCs w:val="20"/>
          <w:color w:val="auto"/>
        </w:rPr>
      </w:pPr>
    </w:p>
    <w:p>
      <w:pPr>
        <w:ind w:right="480"/>
        <w:spacing w:after="0" w:line="254" w:lineRule="auto"/>
        <w:rPr>
          <w:sz w:val="20"/>
          <w:szCs w:val="20"/>
          <w:color w:val="auto"/>
        </w:rPr>
      </w:pPr>
      <w:r>
        <w:rPr>
          <w:rFonts w:ascii="Arial" w:cs="Arial" w:eastAsia="Arial" w:hAnsi="Arial"/>
          <w:sz w:val="16"/>
          <w:szCs w:val="16"/>
          <w:color w:val="auto"/>
        </w:rPr>
        <w:t>A majority of the outstanding shares entitled to vote, present or represented by proxy, constitutes a quorum for the Annual Meeting. As of February 21, 2023, 950,296,153 shares of company common stock were issued and outstanding.</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Who Can Vote</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Shareholders as of the close of business on February 21, 2023 (the record date) may vote or have their shares voted at the Annual Meeting. You have one vote for each share of common stock you held on the record date, including shares:</w:t>
      </w:r>
    </w:p>
    <w:p>
      <w:pPr>
        <w:spacing w:after="0" w:line="5" w:lineRule="exact"/>
        <w:rPr>
          <w:sz w:val="20"/>
          <w:szCs w:val="20"/>
          <w:color w:val="auto"/>
        </w:rPr>
      </w:pPr>
    </w:p>
    <w:p>
      <w:pPr>
        <w:ind w:left="280" w:hanging="146"/>
        <w:spacing w:after="0"/>
        <w:tabs>
          <w:tab w:leader="none" w:pos="2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held directly in your name as the shareholder of record;</w:t>
      </w:r>
    </w:p>
    <w:p>
      <w:pPr>
        <w:spacing w:after="0" w:line="49" w:lineRule="exact"/>
        <w:rPr>
          <w:rFonts w:ascii="Arial" w:cs="Arial" w:eastAsia="Arial" w:hAnsi="Arial"/>
          <w:sz w:val="16"/>
          <w:szCs w:val="16"/>
          <w:color w:val="auto"/>
        </w:rPr>
      </w:pPr>
    </w:p>
    <w:p>
      <w:pPr>
        <w:ind w:left="280" w:hanging="146"/>
        <w:spacing w:after="0"/>
        <w:tabs>
          <w:tab w:leader="none" w:pos="2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held for you in an account with a broker, bank, or other nominee; and</w:t>
      </w:r>
    </w:p>
    <w:p>
      <w:pPr>
        <w:spacing w:after="0" w:line="49" w:lineRule="exact"/>
        <w:rPr>
          <w:rFonts w:ascii="Arial" w:cs="Arial" w:eastAsia="Arial" w:hAnsi="Arial"/>
          <w:sz w:val="16"/>
          <w:szCs w:val="16"/>
          <w:color w:val="auto"/>
        </w:rPr>
      </w:pPr>
    </w:p>
    <w:p>
      <w:pPr>
        <w:ind w:left="280" w:hanging="146"/>
        <w:spacing w:after="0"/>
        <w:tabs>
          <w:tab w:leader="none" w:pos="2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attributed to your account in the company’s 401(k) Plan.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Why You May Receive Multiple Notices, Proxy Materials, or Emails</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 xml:space="preserve">If you received more than one notice, full set of proxy materials, or email related to proxy materials, you hold shares in more than one account. </w:t>
      </w:r>
      <w:r>
        <w:rPr>
          <w:rFonts w:ascii="Arial" w:cs="Arial" w:eastAsia="Arial" w:hAnsi="Arial"/>
          <w:sz w:val="14"/>
          <w:szCs w:val="14"/>
          <w:b w:val="1"/>
          <w:bCs w:val="1"/>
          <w:color w:val="auto"/>
        </w:rPr>
        <w:t>You will need to</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cast a vote for each notice, full set of proxy materials, or email you receive. </w:t>
      </w:r>
      <w:r>
        <w:rPr>
          <w:rFonts w:ascii="Arial" w:cs="Arial" w:eastAsia="Arial" w:hAnsi="Arial"/>
          <w:sz w:val="14"/>
          <w:szCs w:val="14"/>
          <w:color w:val="auto"/>
        </w:rPr>
        <w:t>If you do not receive a proxy card, you may have elected to receive your proxy</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electronically, in which case you should have received an email with directions on how to access this proxy statement and how to vote your shares. If you wish to request a paper copy of these materials and a proxy card, please call 1-800-579-1639 on or before April 17, 2023, to facilitate timely delivery.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11" w:name="page112"/>
    <w:bookmarkEnd w:id="111"/>
    <w:p>
      <w:pPr>
        <w:ind w:left="7"/>
        <w:spacing w:after="0"/>
        <w:rPr>
          <w:sz w:val="20"/>
          <w:szCs w:val="20"/>
          <w:color w:val="auto"/>
        </w:rPr>
      </w:pPr>
      <w:r>
        <w:rPr>
          <w:rFonts w:ascii="Arial" w:cs="Arial" w:eastAsia="Arial" w:hAnsi="Arial"/>
          <w:sz w:val="22"/>
          <w:szCs w:val="22"/>
          <w:b w:val="1"/>
          <w:bCs w:val="1"/>
          <w:color w:val="00A1DE"/>
        </w:rPr>
        <w:t>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4999355" cy="762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38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Effect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Effect of</w:t>
            </w:r>
          </w:p>
        </w:tc>
        <w:tc>
          <w:tcPr>
            <w:tcW w:w="0" w:type="dxa"/>
            <w:vAlign w:val="bottom"/>
          </w:tcPr>
          <w:p>
            <w:pPr>
              <w:spacing w:after="0"/>
              <w:rPr>
                <w:sz w:val="1"/>
                <w:szCs w:val="1"/>
                <w:color w:val="auto"/>
              </w:rPr>
            </w:pPr>
          </w:p>
        </w:tc>
      </w:tr>
      <w:tr>
        <w:trPr>
          <w:trHeight w:val="140"/>
        </w:trPr>
        <w:tc>
          <w:tcPr>
            <w:tcW w:w="22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Voting Matter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Required Vote</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Voting Options</w:t>
            </w:r>
          </w:p>
        </w:tc>
        <w:tc>
          <w:tcPr>
            <w:tcW w:w="1060" w:type="dxa"/>
            <w:vAlign w:val="bottom"/>
            <w:vMerge w:val="continue"/>
          </w:tcPr>
          <w:p>
            <w:pPr>
              <w:spacing w:after="0"/>
              <w:rPr>
                <w:sz w:val="12"/>
                <w:szCs w:val="12"/>
                <w:color w:val="auto"/>
              </w:rPr>
            </w:pPr>
          </w:p>
        </w:tc>
        <w:tc>
          <w:tcPr>
            <w:tcW w:w="12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Discretionary</w:t>
            </w:r>
          </w:p>
        </w:tc>
        <w:tc>
          <w:tcPr>
            <w:tcW w:w="8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2200" w:type="dxa"/>
            <w:vAlign w:val="bottom"/>
            <w:tcBorders>
              <w:bottom w:val="single" w:sz="8" w:color="666666"/>
            </w:tcBorders>
            <w:vMerge w:val="continue"/>
          </w:tcPr>
          <w:p>
            <w:pPr>
              <w:spacing w:after="0"/>
              <w:rPr>
                <w:sz w:val="16"/>
                <w:szCs w:val="16"/>
                <w:color w:val="auto"/>
              </w:rPr>
            </w:pPr>
          </w:p>
        </w:tc>
        <w:tc>
          <w:tcPr>
            <w:tcW w:w="1020" w:type="dxa"/>
            <w:vAlign w:val="bottom"/>
            <w:tcBorders>
              <w:bottom w:val="single" w:sz="8" w:color="666666"/>
            </w:tcBorders>
            <w:vMerge w:val="continue"/>
          </w:tcPr>
          <w:p>
            <w:pPr>
              <w:spacing w:after="0"/>
              <w:rPr>
                <w:sz w:val="16"/>
                <w:szCs w:val="16"/>
                <w:color w:val="auto"/>
              </w:rPr>
            </w:pPr>
          </w:p>
        </w:tc>
        <w:tc>
          <w:tcPr>
            <w:tcW w:w="1480" w:type="dxa"/>
            <w:vAlign w:val="bottom"/>
            <w:tcBorders>
              <w:bottom w:val="single" w:sz="8" w:color="666666"/>
            </w:tcBorders>
            <w:vMerge w:val="continue"/>
          </w:tcPr>
          <w:p>
            <w:pPr>
              <w:spacing w:after="0"/>
              <w:rPr>
                <w:sz w:val="16"/>
                <w:szCs w:val="16"/>
                <w:color w:val="auto"/>
              </w:rPr>
            </w:pPr>
          </w:p>
        </w:tc>
        <w:tc>
          <w:tcPr>
            <w:tcW w:w="10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12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b w:val="1"/>
                <w:bCs w:val="1"/>
                <w:color w:val="auto"/>
                <w:w w:val="98"/>
              </w:rPr>
              <w:t>Voting Allowed?</w:t>
            </w:r>
          </w:p>
        </w:tc>
        <w:tc>
          <w:tcPr>
            <w:tcW w:w="880" w:type="dxa"/>
            <w:vAlign w:val="bottom"/>
            <w:tcBorders>
              <w:bottom w:val="single" w:sz="8" w:color="666666"/>
            </w:tcBorders>
          </w:tcPr>
          <w:p>
            <w:pPr>
              <w:jc w:val="center"/>
              <w:spacing w:after="0"/>
              <w:rPr>
                <w:sz w:val="20"/>
                <w:szCs w:val="20"/>
                <w:color w:val="auto"/>
              </w:rPr>
            </w:pPr>
            <w:r>
              <w:rPr>
                <w:rFonts w:ascii="Arial" w:cs="Arial" w:eastAsia="Arial" w:hAnsi="Arial"/>
                <w:sz w:val="14"/>
                <w:szCs w:val="14"/>
                <w:b w:val="1"/>
                <w:bCs w:val="1"/>
                <w:color w:val="auto"/>
                <w:w w:val="99"/>
              </w:rPr>
              <w:t>Votes</w:t>
            </w:r>
          </w:p>
        </w:tc>
        <w:tc>
          <w:tcPr>
            <w:tcW w:w="0" w:type="dxa"/>
            <w:vAlign w:val="bottom"/>
          </w:tcPr>
          <w:p>
            <w:pPr>
              <w:spacing w:after="0"/>
              <w:rPr>
                <w:sz w:val="1"/>
                <w:szCs w:val="1"/>
                <w:color w:val="auto"/>
              </w:rPr>
            </w:pPr>
          </w:p>
        </w:tc>
      </w:tr>
      <w:tr>
        <w:trPr>
          <w:trHeight w:val="132"/>
        </w:trPr>
        <w:tc>
          <w:tcPr>
            <w:tcW w:w="2200" w:type="dxa"/>
            <w:vAlign w:val="bottom"/>
            <w:shd w:val="clear" w:color="auto" w:fill="F2F2F2"/>
          </w:tcPr>
          <w:p>
            <w:pPr>
              <w:ind w:left="20"/>
              <w:spacing w:after="0" w:line="132" w:lineRule="exact"/>
              <w:rPr>
                <w:sz w:val="20"/>
                <w:szCs w:val="20"/>
                <w:color w:val="auto"/>
              </w:rPr>
            </w:pPr>
            <w:r>
              <w:rPr>
                <w:rFonts w:ascii="Arial" w:cs="Arial" w:eastAsia="Arial" w:hAnsi="Arial"/>
                <w:sz w:val="14"/>
                <w:szCs w:val="14"/>
                <w:b w:val="1"/>
                <w:bCs w:val="1"/>
                <w:color w:val="auto"/>
              </w:rPr>
              <w:t>Election of directors</w:t>
            </w:r>
          </w:p>
        </w:tc>
        <w:tc>
          <w:tcPr>
            <w:tcW w:w="1020" w:type="dxa"/>
            <w:vAlign w:val="bottom"/>
            <w:shd w:val="clear" w:color="auto" w:fill="F2F2F2"/>
          </w:tcPr>
          <w:p>
            <w:pPr>
              <w:jc w:val="center"/>
              <w:spacing w:after="0" w:line="132" w:lineRule="exact"/>
              <w:rPr>
                <w:sz w:val="20"/>
                <w:szCs w:val="20"/>
                <w:color w:val="auto"/>
              </w:rPr>
            </w:pPr>
            <w:r>
              <w:rPr>
                <w:rFonts w:ascii="Arial" w:cs="Arial" w:eastAsia="Arial" w:hAnsi="Arial"/>
                <w:sz w:val="14"/>
                <w:szCs w:val="14"/>
                <w:color w:val="auto"/>
              </w:rPr>
              <w:t>Majority of</w:t>
            </w:r>
          </w:p>
        </w:tc>
        <w:tc>
          <w:tcPr>
            <w:tcW w:w="1480" w:type="dxa"/>
            <w:vAlign w:val="bottom"/>
            <w:shd w:val="clear" w:color="auto" w:fill="F2F2F2"/>
          </w:tcPr>
          <w:p>
            <w:pPr>
              <w:jc w:val="center"/>
              <w:spacing w:after="0" w:line="132" w:lineRule="exact"/>
              <w:rPr>
                <w:sz w:val="20"/>
                <w:szCs w:val="20"/>
                <w:color w:val="auto"/>
              </w:rPr>
            </w:pPr>
            <w:r>
              <w:rPr>
                <w:rFonts w:ascii="Arial" w:cs="Arial" w:eastAsia="Arial" w:hAnsi="Arial"/>
                <w:sz w:val="14"/>
                <w:szCs w:val="14"/>
                <w:color w:val="auto"/>
                <w:w w:val="98"/>
              </w:rPr>
              <w:t>FOR, AGAINST or</w:t>
            </w:r>
          </w:p>
        </w:tc>
        <w:tc>
          <w:tcPr>
            <w:tcW w:w="1060" w:type="dxa"/>
            <w:vAlign w:val="bottom"/>
            <w:shd w:val="clear" w:color="auto" w:fill="F2F2F2"/>
          </w:tcPr>
          <w:p>
            <w:pPr>
              <w:jc w:val="center"/>
              <w:spacing w:after="0" w:line="132" w:lineRule="exact"/>
              <w:rPr>
                <w:sz w:val="20"/>
                <w:szCs w:val="20"/>
                <w:color w:val="auto"/>
              </w:rPr>
            </w:pPr>
            <w:r>
              <w:rPr>
                <w:rFonts w:ascii="Arial" w:cs="Arial" w:eastAsia="Arial" w:hAnsi="Arial"/>
                <w:sz w:val="14"/>
                <w:szCs w:val="14"/>
                <w:color w:val="auto"/>
              </w:rPr>
              <w:t>No effect - not</w:t>
            </w:r>
          </w:p>
        </w:tc>
        <w:tc>
          <w:tcPr>
            <w:tcW w:w="1220" w:type="dxa"/>
            <w:vAlign w:val="bottom"/>
            <w:shd w:val="clear" w:color="auto" w:fill="F2F2F2"/>
          </w:tcPr>
          <w:p>
            <w:pPr>
              <w:jc w:val="center"/>
              <w:spacing w:after="0" w:line="132" w:lineRule="exact"/>
              <w:rPr>
                <w:sz w:val="20"/>
                <w:szCs w:val="20"/>
                <w:color w:val="auto"/>
              </w:rPr>
            </w:pPr>
            <w:r>
              <w:rPr>
                <w:rFonts w:ascii="Arial" w:cs="Arial" w:eastAsia="Arial" w:hAnsi="Arial"/>
                <w:sz w:val="14"/>
                <w:szCs w:val="14"/>
                <w:color w:val="auto"/>
              </w:rPr>
              <w:t>No</w:t>
            </w:r>
          </w:p>
        </w:tc>
        <w:tc>
          <w:tcPr>
            <w:tcW w:w="880" w:type="dxa"/>
            <w:vAlign w:val="bottom"/>
            <w:shd w:val="clear" w:color="auto" w:fill="F2F2F2"/>
          </w:tcPr>
          <w:p>
            <w:pPr>
              <w:jc w:val="center"/>
              <w:spacing w:after="0" w:line="132" w:lineRule="exact"/>
              <w:rPr>
                <w:sz w:val="20"/>
                <w:szCs w:val="20"/>
                <w:color w:val="auto"/>
              </w:rPr>
            </w:pPr>
            <w:r>
              <w:rPr>
                <w:rFonts w:ascii="Arial" w:cs="Arial" w:eastAsia="Arial" w:hAnsi="Arial"/>
                <w:sz w:val="14"/>
                <w:szCs w:val="14"/>
                <w:color w:val="auto"/>
                <w:w w:val="99"/>
              </w:rPr>
              <w:t>No effect</w:t>
            </w: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spacing w:after="0"/>
              <w:rPr>
                <w:sz w:val="12"/>
                <w:szCs w:val="12"/>
                <w:color w:val="auto"/>
              </w:rPr>
            </w:pP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8"/>
              </w:rPr>
              <w:t>votes cast</w:t>
            </w:r>
          </w:p>
        </w:tc>
        <w:tc>
          <w:tcPr>
            <w:tcW w:w="14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ABSTAIN (for each</w:t>
            </w: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counted as a</w:t>
            </w:r>
          </w:p>
        </w:tc>
        <w:tc>
          <w:tcPr>
            <w:tcW w:w="122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F2F2F2"/>
            </w:tcBorders>
            <w:shd w:val="clear" w:color="auto" w:fill="F2F2F2"/>
          </w:tcPr>
          <w:p>
            <w:pPr>
              <w:spacing w:after="0"/>
              <w:rPr>
                <w:sz w:val="16"/>
                <w:szCs w:val="16"/>
                <w:color w:val="auto"/>
              </w:rPr>
            </w:pPr>
          </w:p>
        </w:tc>
        <w:tc>
          <w:tcPr>
            <w:tcW w:w="1020" w:type="dxa"/>
            <w:vAlign w:val="bottom"/>
            <w:tcBorders>
              <w:bottom w:val="single" w:sz="8" w:color="F2F2F2"/>
            </w:tcBorders>
            <w:shd w:val="clear" w:color="auto" w:fill="F2F2F2"/>
          </w:tcPr>
          <w:p>
            <w:pPr>
              <w:spacing w:after="0"/>
              <w:rPr>
                <w:sz w:val="16"/>
                <w:szCs w:val="16"/>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director nominee)</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“vote cast”</w:t>
            </w:r>
          </w:p>
        </w:tc>
        <w:tc>
          <w:tcPr>
            <w:tcW w:w="122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Advisory vote on compensation</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rPr>
              <w:t>Majority of</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8"/>
              </w:rPr>
              <w:t>FOR, AGAINST or</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rPr>
              <w:t>No effect - not</w:t>
            </w:r>
          </w:p>
        </w:tc>
        <w:tc>
          <w:tcPr>
            <w:tcW w:w="1220" w:type="dxa"/>
            <w:vAlign w:val="bottom"/>
          </w:tcPr>
          <w:p>
            <w:pPr>
              <w:jc w:val="center"/>
              <w:spacing w:after="0" w:line="140" w:lineRule="exact"/>
              <w:rPr>
                <w:sz w:val="20"/>
                <w:szCs w:val="20"/>
                <w:color w:val="auto"/>
              </w:rPr>
            </w:pPr>
            <w:r>
              <w:rPr>
                <w:rFonts w:ascii="Arial" w:cs="Arial" w:eastAsia="Arial" w:hAnsi="Arial"/>
                <w:sz w:val="14"/>
                <w:szCs w:val="14"/>
                <w:color w:val="auto"/>
              </w:rPr>
              <w:t>No</w:t>
            </w: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w w:val="99"/>
              </w:rPr>
              <w:t>No effect</w:t>
            </w: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paid to named executive</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w w:val="98"/>
              </w:rPr>
              <w:t>votes cast</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6"/>
              </w:rPr>
              <w:t>ABSTAIN</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w w:val="99"/>
              </w:rPr>
              <w:t>counted as a</w:t>
            </w: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officers</w:t>
            </w: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“vote cast”</w:t>
            </w: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Advisory vote on frequency of</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Majority of</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 YEAR, 2 YEARS, 3</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No effect - not</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No</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No effect</w:t>
            </w: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ind w:left="20"/>
              <w:spacing w:after="0" w:line="140" w:lineRule="exact"/>
              <w:rPr>
                <w:sz w:val="20"/>
                <w:szCs w:val="20"/>
                <w:color w:val="auto"/>
              </w:rPr>
            </w:pPr>
            <w:r>
              <w:rPr>
                <w:rFonts w:ascii="Arial" w:cs="Arial" w:eastAsia="Arial" w:hAnsi="Arial"/>
                <w:sz w:val="14"/>
                <w:szCs w:val="14"/>
                <w:b w:val="1"/>
                <w:bCs w:val="1"/>
                <w:color w:val="auto"/>
              </w:rPr>
              <w:t>future advisory votes on named</w:t>
            </w: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3"/>
                <w:szCs w:val="13"/>
                <w:color w:val="auto"/>
              </w:rPr>
              <w:t>votes cast</w:t>
            </w:r>
            <w:r>
              <w:rPr>
                <w:rFonts w:ascii="Arial" w:cs="Arial" w:eastAsia="Arial" w:hAnsi="Arial"/>
                <w:sz w:val="16"/>
                <w:szCs w:val="16"/>
                <w:color w:val="auto"/>
                <w:vertAlign w:val="superscript"/>
              </w:rPr>
              <w:t>1</w:t>
            </w:r>
          </w:p>
        </w:tc>
        <w:tc>
          <w:tcPr>
            <w:tcW w:w="14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8"/>
              </w:rPr>
              <w:t>YEARS, ABSTAIN</w:t>
            </w: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counted as a</w:t>
            </w:r>
          </w:p>
        </w:tc>
        <w:tc>
          <w:tcPr>
            <w:tcW w:w="122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executive officer compensation</w:t>
            </w:r>
          </w:p>
        </w:tc>
        <w:tc>
          <w:tcPr>
            <w:tcW w:w="102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“vote cast”</w:t>
            </w:r>
          </w:p>
        </w:tc>
        <w:tc>
          <w:tcPr>
            <w:tcW w:w="122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Ratification of the appointment</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rPr>
              <w:t>Majority of</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8"/>
              </w:rPr>
              <w:t>FOR, AGAINST or</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rPr>
              <w:t>No effect - not</w:t>
            </w:r>
          </w:p>
        </w:tc>
        <w:tc>
          <w:tcPr>
            <w:tcW w:w="1220" w:type="dxa"/>
            <w:vAlign w:val="bottom"/>
          </w:tcPr>
          <w:p>
            <w:pPr>
              <w:jc w:val="center"/>
              <w:spacing w:after="0" w:line="140" w:lineRule="exact"/>
              <w:rPr>
                <w:sz w:val="20"/>
                <w:szCs w:val="20"/>
                <w:color w:val="auto"/>
              </w:rPr>
            </w:pPr>
            <w:r>
              <w:rPr>
                <w:rFonts w:ascii="Arial" w:cs="Arial" w:eastAsia="Arial" w:hAnsi="Arial"/>
                <w:sz w:val="14"/>
                <w:szCs w:val="14"/>
                <w:color w:val="auto"/>
                <w:w w:val="99"/>
              </w:rPr>
              <w:t>Yes</w:t>
            </w: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rPr>
              <w:t>Not</w:t>
            </w: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of the independent auditor</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w w:val="98"/>
              </w:rPr>
              <w:t>votes cast</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6"/>
              </w:rPr>
              <w:t>ABSTAIN</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w w:val="99"/>
              </w:rPr>
              <w:t>counted as a</w:t>
            </w:r>
          </w:p>
        </w:tc>
        <w:tc>
          <w:tcPr>
            <w:tcW w:w="122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w w:val="98"/>
              </w:rPr>
              <w:t>applicable</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“vote cast”</w:t>
            </w: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200" w:type="dxa"/>
            <w:vAlign w:val="bottom"/>
            <w:shd w:val="clear" w:color="auto" w:fill="F2F2F2"/>
          </w:tcPr>
          <w:p>
            <w:pPr>
              <w:ind w:left="20"/>
              <w:spacing w:after="0" w:line="141" w:lineRule="exact"/>
              <w:rPr>
                <w:sz w:val="20"/>
                <w:szCs w:val="20"/>
                <w:color w:val="auto"/>
              </w:rPr>
            </w:pPr>
            <w:r>
              <w:rPr>
                <w:rFonts w:ascii="Arial" w:cs="Arial" w:eastAsia="Arial" w:hAnsi="Arial"/>
                <w:sz w:val="14"/>
                <w:szCs w:val="14"/>
                <w:b w:val="1"/>
                <w:bCs w:val="1"/>
                <w:color w:val="auto"/>
              </w:rPr>
              <w:t>Proposal to amend the</w:t>
            </w:r>
          </w:p>
        </w:tc>
        <w:tc>
          <w:tcPr>
            <w:tcW w:w="1020" w:type="dxa"/>
            <w:vAlign w:val="bottom"/>
            <w:shd w:val="clear" w:color="auto" w:fill="F2F2F2"/>
          </w:tcPr>
          <w:p>
            <w:pPr>
              <w:jc w:val="center"/>
              <w:spacing w:after="0" w:line="141" w:lineRule="exact"/>
              <w:rPr>
                <w:sz w:val="20"/>
                <w:szCs w:val="20"/>
                <w:color w:val="auto"/>
              </w:rPr>
            </w:pPr>
            <w:r>
              <w:rPr>
                <w:rFonts w:ascii="Arial" w:cs="Arial" w:eastAsia="Arial" w:hAnsi="Arial"/>
                <w:sz w:val="14"/>
                <w:szCs w:val="14"/>
                <w:color w:val="auto"/>
                <w:w w:val="96"/>
              </w:rPr>
              <w:t>80% of</w:t>
            </w:r>
          </w:p>
        </w:tc>
        <w:tc>
          <w:tcPr>
            <w:tcW w:w="1480" w:type="dxa"/>
            <w:vAlign w:val="bottom"/>
            <w:shd w:val="clear" w:color="auto" w:fill="F2F2F2"/>
          </w:tcPr>
          <w:p>
            <w:pPr>
              <w:jc w:val="center"/>
              <w:spacing w:after="0" w:line="141" w:lineRule="exact"/>
              <w:rPr>
                <w:sz w:val="20"/>
                <w:szCs w:val="20"/>
                <w:color w:val="auto"/>
              </w:rPr>
            </w:pPr>
            <w:r>
              <w:rPr>
                <w:rFonts w:ascii="Arial" w:cs="Arial" w:eastAsia="Arial" w:hAnsi="Arial"/>
                <w:sz w:val="14"/>
                <w:szCs w:val="14"/>
                <w:color w:val="auto"/>
                <w:w w:val="98"/>
              </w:rPr>
              <w:t>FOR, AGAINST or</w:t>
            </w:r>
          </w:p>
        </w:tc>
        <w:tc>
          <w:tcPr>
            <w:tcW w:w="1060" w:type="dxa"/>
            <w:vAlign w:val="bottom"/>
            <w:shd w:val="clear" w:color="auto" w:fill="F2F2F2"/>
          </w:tcPr>
          <w:p>
            <w:pPr>
              <w:jc w:val="center"/>
              <w:spacing w:after="0" w:line="141" w:lineRule="exact"/>
              <w:rPr>
                <w:sz w:val="20"/>
                <w:szCs w:val="20"/>
                <w:color w:val="auto"/>
              </w:rPr>
            </w:pPr>
            <w:r>
              <w:rPr>
                <w:rFonts w:ascii="Arial" w:cs="Arial" w:eastAsia="Arial" w:hAnsi="Arial"/>
                <w:sz w:val="14"/>
                <w:szCs w:val="14"/>
                <w:color w:val="auto"/>
                <w:w w:val="99"/>
              </w:rPr>
              <w:t>Treated as a</w:t>
            </w:r>
          </w:p>
        </w:tc>
        <w:tc>
          <w:tcPr>
            <w:tcW w:w="1220" w:type="dxa"/>
            <w:vAlign w:val="bottom"/>
            <w:shd w:val="clear" w:color="auto" w:fill="F2F2F2"/>
          </w:tcPr>
          <w:p>
            <w:pPr>
              <w:jc w:val="center"/>
              <w:spacing w:after="0" w:line="141" w:lineRule="exact"/>
              <w:rPr>
                <w:sz w:val="20"/>
                <w:szCs w:val="20"/>
                <w:color w:val="auto"/>
              </w:rPr>
            </w:pPr>
            <w:r>
              <w:rPr>
                <w:rFonts w:ascii="Arial" w:cs="Arial" w:eastAsia="Arial" w:hAnsi="Arial"/>
                <w:sz w:val="14"/>
                <w:szCs w:val="14"/>
                <w:color w:val="auto"/>
              </w:rPr>
              <w:t>No</w:t>
            </w:r>
          </w:p>
        </w:tc>
        <w:tc>
          <w:tcPr>
            <w:tcW w:w="880" w:type="dxa"/>
            <w:vAlign w:val="bottom"/>
            <w:shd w:val="clear" w:color="auto" w:fill="F2F2F2"/>
          </w:tcPr>
          <w:p>
            <w:pPr>
              <w:jc w:val="center"/>
              <w:spacing w:after="0" w:line="141" w:lineRule="exact"/>
              <w:rPr>
                <w:sz w:val="20"/>
                <w:szCs w:val="20"/>
                <w:color w:val="auto"/>
              </w:rPr>
            </w:pPr>
            <w:r>
              <w:rPr>
                <w:rFonts w:ascii="Arial" w:cs="Arial" w:eastAsia="Arial" w:hAnsi="Arial"/>
                <w:sz w:val="14"/>
                <w:szCs w:val="14"/>
                <w:color w:val="auto"/>
                <w:w w:val="99"/>
              </w:rPr>
              <w:t>Treated as a</w:t>
            </w: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ind w:left="20"/>
              <w:spacing w:after="0" w:line="140" w:lineRule="exact"/>
              <w:rPr>
                <w:sz w:val="20"/>
                <w:szCs w:val="20"/>
                <w:color w:val="auto"/>
              </w:rPr>
            </w:pPr>
            <w:r>
              <w:rPr>
                <w:rFonts w:ascii="Arial" w:cs="Arial" w:eastAsia="Arial" w:hAnsi="Arial"/>
                <w:sz w:val="14"/>
                <w:szCs w:val="14"/>
                <w:b w:val="1"/>
                <w:bCs w:val="1"/>
                <w:color w:val="auto"/>
              </w:rPr>
              <w:t>company's articles of</w:t>
            </w: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outstanding</w:t>
            </w:r>
          </w:p>
        </w:tc>
        <w:tc>
          <w:tcPr>
            <w:tcW w:w="14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6"/>
              </w:rPr>
              <w:t>ABSTAIN</w:t>
            </w: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vote AGAINST</w:t>
            </w:r>
          </w:p>
        </w:tc>
        <w:tc>
          <w:tcPr>
            <w:tcW w:w="1220" w:type="dxa"/>
            <w:vAlign w:val="bottom"/>
            <w:shd w:val="clear" w:color="auto" w:fill="F2F2F2"/>
          </w:tcPr>
          <w:p>
            <w:pPr>
              <w:spacing w:after="0"/>
              <w:rPr>
                <w:sz w:val="12"/>
                <w:szCs w:val="12"/>
                <w:color w:val="auto"/>
              </w:rPr>
            </w:pPr>
          </w:p>
        </w:tc>
        <w:tc>
          <w:tcPr>
            <w:tcW w:w="8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8"/>
              </w:rPr>
              <w:t>vote</w:t>
            </w: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ind w:left="20"/>
              <w:spacing w:after="0" w:line="140" w:lineRule="exact"/>
              <w:rPr>
                <w:sz w:val="20"/>
                <w:szCs w:val="20"/>
                <w:color w:val="auto"/>
              </w:rPr>
            </w:pPr>
            <w:r>
              <w:rPr>
                <w:rFonts w:ascii="Arial" w:cs="Arial" w:eastAsia="Arial" w:hAnsi="Arial"/>
                <w:sz w:val="14"/>
                <w:szCs w:val="14"/>
                <w:b w:val="1"/>
                <w:bCs w:val="1"/>
                <w:color w:val="auto"/>
              </w:rPr>
              <w:t>incorporation to eliminate the</w:t>
            </w: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shares</w:t>
            </w:r>
          </w:p>
        </w:tc>
        <w:tc>
          <w:tcPr>
            <w:tcW w:w="1480" w:type="dxa"/>
            <w:vAlign w:val="bottom"/>
            <w:shd w:val="clear" w:color="auto" w:fill="F2F2F2"/>
          </w:tcPr>
          <w:p>
            <w:pPr>
              <w:spacing w:after="0"/>
              <w:rPr>
                <w:sz w:val="12"/>
                <w:szCs w:val="12"/>
                <w:color w:val="auto"/>
              </w:rPr>
            </w:pP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the proposal</w:t>
            </w:r>
          </w:p>
        </w:tc>
        <w:tc>
          <w:tcPr>
            <w:tcW w:w="1220" w:type="dxa"/>
            <w:vAlign w:val="bottom"/>
            <w:shd w:val="clear" w:color="auto" w:fill="F2F2F2"/>
          </w:tcPr>
          <w:p>
            <w:pPr>
              <w:spacing w:after="0"/>
              <w:rPr>
                <w:sz w:val="12"/>
                <w:szCs w:val="12"/>
                <w:color w:val="auto"/>
              </w:rPr>
            </w:pPr>
          </w:p>
        </w:tc>
        <w:tc>
          <w:tcPr>
            <w:tcW w:w="8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93"/>
        </w:trPr>
        <w:tc>
          <w:tcPr>
            <w:tcW w:w="220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classified board structure</w:t>
            </w:r>
          </w:p>
        </w:tc>
        <w:tc>
          <w:tcPr>
            <w:tcW w:w="1020" w:type="dxa"/>
            <w:vAlign w:val="bottom"/>
            <w:shd w:val="clear" w:color="auto" w:fill="F2F2F2"/>
          </w:tcPr>
          <w:p>
            <w:pPr>
              <w:spacing w:after="0"/>
              <w:rPr>
                <w:sz w:val="16"/>
                <w:szCs w:val="16"/>
                <w:color w:val="auto"/>
              </w:rPr>
            </w:pPr>
          </w:p>
        </w:tc>
        <w:tc>
          <w:tcPr>
            <w:tcW w:w="148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the proposal</w:t>
            </w:r>
          </w:p>
        </w:tc>
        <w:tc>
          <w:tcPr>
            <w:tcW w:w="0" w:type="dxa"/>
            <w:vAlign w:val="bottom"/>
          </w:tcPr>
          <w:p>
            <w:pPr>
              <w:spacing w:after="0"/>
              <w:rPr>
                <w:sz w:val="1"/>
                <w:szCs w:val="1"/>
                <w:color w:val="auto"/>
              </w:rPr>
            </w:pPr>
          </w:p>
        </w:tc>
      </w:tr>
      <w:tr>
        <w:trPr>
          <w:trHeight w:val="169"/>
        </w:trPr>
        <w:tc>
          <w:tcPr>
            <w:tcW w:w="220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148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122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Proposal to amend the</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w w:val="96"/>
              </w:rPr>
              <w:t>80% of</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8"/>
              </w:rPr>
              <w:t>FOR, AGAINST or</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w w:val="99"/>
              </w:rPr>
              <w:t>Treated as a</w:t>
            </w:r>
          </w:p>
        </w:tc>
        <w:tc>
          <w:tcPr>
            <w:tcW w:w="1220" w:type="dxa"/>
            <w:vAlign w:val="bottom"/>
          </w:tcPr>
          <w:p>
            <w:pPr>
              <w:jc w:val="center"/>
              <w:spacing w:after="0" w:line="140" w:lineRule="exact"/>
              <w:rPr>
                <w:sz w:val="20"/>
                <w:szCs w:val="20"/>
                <w:color w:val="auto"/>
              </w:rPr>
            </w:pPr>
            <w:r>
              <w:rPr>
                <w:rFonts w:ascii="Arial" w:cs="Arial" w:eastAsia="Arial" w:hAnsi="Arial"/>
                <w:sz w:val="14"/>
                <w:szCs w:val="14"/>
                <w:color w:val="auto"/>
              </w:rPr>
              <w:t>No</w:t>
            </w: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w w:val="99"/>
              </w:rPr>
              <w:t>Treated as a</w:t>
            </w: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company's articles of</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rPr>
              <w:t>outstanding</w:t>
            </w:r>
          </w:p>
        </w:tc>
        <w:tc>
          <w:tcPr>
            <w:tcW w:w="1480" w:type="dxa"/>
            <w:vAlign w:val="bottom"/>
          </w:tcPr>
          <w:p>
            <w:pPr>
              <w:jc w:val="center"/>
              <w:spacing w:after="0" w:line="140" w:lineRule="exact"/>
              <w:rPr>
                <w:sz w:val="20"/>
                <w:szCs w:val="20"/>
                <w:color w:val="auto"/>
              </w:rPr>
            </w:pPr>
            <w:r>
              <w:rPr>
                <w:rFonts w:ascii="Arial" w:cs="Arial" w:eastAsia="Arial" w:hAnsi="Arial"/>
                <w:sz w:val="14"/>
                <w:szCs w:val="14"/>
                <w:color w:val="auto"/>
                <w:w w:val="96"/>
              </w:rPr>
              <w:t>ABSTAIN</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rPr>
              <w:t>vote AGAINST</w:t>
            </w:r>
          </w:p>
        </w:tc>
        <w:tc>
          <w:tcPr>
            <w:tcW w:w="122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w w:val="98"/>
              </w:rPr>
              <w:t>vote</w:t>
            </w:r>
          </w:p>
        </w:tc>
        <w:tc>
          <w:tcPr>
            <w:tcW w:w="0" w:type="dxa"/>
            <w:vAlign w:val="bottom"/>
          </w:tcPr>
          <w:p>
            <w:pPr>
              <w:spacing w:after="0"/>
              <w:rPr>
                <w:sz w:val="1"/>
                <w:szCs w:val="1"/>
                <w:color w:val="auto"/>
              </w:rPr>
            </w:pPr>
          </w:p>
        </w:tc>
      </w:tr>
      <w:tr>
        <w:trPr>
          <w:trHeight w:val="140"/>
        </w:trPr>
        <w:tc>
          <w:tcPr>
            <w:tcW w:w="220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incorporation to eliminate</w:t>
            </w:r>
          </w:p>
        </w:tc>
        <w:tc>
          <w:tcPr>
            <w:tcW w:w="1020" w:type="dxa"/>
            <w:vAlign w:val="bottom"/>
          </w:tcPr>
          <w:p>
            <w:pPr>
              <w:jc w:val="center"/>
              <w:spacing w:after="0" w:line="140" w:lineRule="exact"/>
              <w:rPr>
                <w:sz w:val="20"/>
                <w:szCs w:val="20"/>
                <w:color w:val="auto"/>
              </w:rPr>
            </w:pPr>
            <w:r>
              <w:rPr>
                <w:rFonts w:ascii="Arial" w:cs="Arial" w:eastAsia="Arial" w:hAnsi="Arial"/>
                <w:sz w:val="14"/>
                <w:szCs w:val="14"/>
                <w:color w:val="auto"/>
                <w:w w:val="99"/>
              </w:rPr>
              <w:t>shares</w:t>
            </w:r>
          </w:p>
        </w:tc>
        <w:tc>
          <w:tcPr>
            <w:tcW w:w="148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rPr>
              <w:t>the proposal</w:t>
            </w:r>
          </w:p>
        </w:tc>
        <w:tc>
          <w:tcPr>
            <w:tcW w:w="122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93"/>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supermajority voting provisions</w:t>
            </w: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the proposal</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ind w:left="20"/>
              <w:spacing w:after="0" w:line="140" w:lineRule="exact"/>
              <w:rPr>
                <w:sz w:val="20"/>
                <w:szCs w:val="20"/>
                <w:color w:val="auto"/>
              </w:rPr>
            </w:pPr>
            <w:r>
              <w:rPr>
                <w:rFonts w:ascii="Arial" w:cs="Arial" w:eastAsia="Arial" w:hAnsi="Arial"/>
                <w:sz w:val="14"/>
                <w:szCs w:val="14"/>
                <w:b w:val="1"/>
                <w:bCs w:val="1"/>
                <w:color w:val="auto"/>
              </w:rPr>
              <w:t>Shareholder Proposals</w:t>
            </w: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Majority of</w:t>
            </w:r>
          </w:p>
        </w:tc>
        <w:tc>
          <w:tcPr>
            <w:tcW w:w="14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8"/>
              </w:rPr>
              <w:t>FOR, AGAINST or</w:t>
            </w: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No effect - not</w:t>
            </w:r>
          </w:p>
        </w:tc>
        <w:tc>
          <w:tcPr>
            <w:tcW w:w="12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rPr>
              <w:t>No</w:t>
            </w:r>
          </w:p>
        </w:tc>
        <w:tc>
          <w:tcPr>
            <w:tcW w:w="8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No effect</w:t>
            </w:r>
          </w:p>
        </w:tc>
        <w:tc>
          <w:tcPr>
            <w:tcW w:w="0" w:type="dxa"/>
            <w:vAlign w:val="bottom"/>
          </w:tcPr>
          <w:p>
            <w:pPr>
              <w:spacing w:after="0"/>
              <w:rPr>
                <w:sz w:val="1"/>
                <w:szCs w:val="1"/>
                <w:color w:val="auto"/>
              </w:rPr>
            </w:pPr>
          </w:p>
        </w:tc>
      </w:tr>
      <w:tr>
        <w:trPr>
          <w:trHeight w:val="140"/>
        </w:trPr>
        <w:tc>
          <w:tcPr>
            <w:tcW w:w="2200" w:type="dxa"/>
            <w:vAlign w:val="bottom"/>
            <w:shd w:val="clear" w:color="auto" w:fill="F2F2F2"/>
          </w:tcPr>
          <w:p>
            <w:pPr>
              <w:spacing w:after="0"/>
              <w:rPr>
                <w:sz w:val="12"/>
                <w:szCs w:val="12"/>
                <w:color w:val="auto"/>
              </w:rPr>
            </w:pPr>
          </w:p>
        </w:tc>
        <w:tc>
          <w:tcPr>
            <w:tcW w:w="102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8"/>
              </w:rPr>
              <w:t>votes cast</w:t>
            </w:r>
          </w:p>
        </w:tc>
        <w:tc>
          <w:tcPr>
            <w:tcW w:w="148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ABSTAIN (for each</w:t>
            </w:r>
          </w:p>
        </w:tc>
        <w:tc>
          <w:tcPr>
            <w:tcW w:w="1060" w:type="dxa"/>
            <w:vAlign w:val="bottom"/>
            <w:shd w:val="clear" w:color="auto" w:fill="F2F2F2"/>
          </w:tcPr>
          <w:p>
            <w:pPr>
              <w:jc w:val="center"/>
              <w:spacing w:after="0" w:line="140" w:lineRule="exact"/>
              <w:rPr>
                <w:sz w:val="20"/>
                <w:szCs w:val="20"/>
                <w:color w:val="auto"/>
              </w:rPr>
            </w:pPr>
            <w:r>
              <w:rPr>
                <w:rFonts w:ascii="Arial" w:cs="Arial" w:eastAsia="Arial" w:hAnsi="Arial"/>
                <w:sz w:val="14"/>
                <w:szCs w:val="14"/>
                <w:color w:val="auto"/>
                <w:w w:val="99"/>
              </w:rPr>
              <w:t>counted as a</w:t>
            </w:r>
          </w:p>
        </w:tc>
        <w:tc>
          <w:tcPr>
            <w:tcW w:w="122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tcBorders>
              <w:bottom w:val="single" w:sz="8" w:color="F2F2F2"/>
            </w:tcBorders>
            <w:shd w:val="clear" w:color="auto" w:fill="F2F2F2"/>
          </w:tcPr>
          <w:p>
            <w:pPr>
              <w:spacing w:after="0"/>
              <w:rPr>
                <w:sz w:val="17"/>
                <w:szCs w:val="17"/>
                <w:color w:val="auto"/>
              </w:rPr>
            </w:pPr>
          </w:p>
        </w:tc>
        <w:tc>
          <w:tcPr>
            <w:tcW w:w="1020" w:type="dxa"/>
            <w:vAlign w:val="bottom"/>
            <w:tcBorders>
              <w:bottom w:val="single" w:sz="8" w:color="F2F2F2"/>
            </w:tcBorders>
            <w:shd w:val="clear" w:color="auto" w:fill="F2F2F2"/>
          </w:tcPr>
          <w:p>
            <w:pPr>
              <w:spacing w:after="0"/>
              <w:rPr>
                <w:sz w:val="17"/>
                <w:szCs w:val="17"/>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shareholder proposal)</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“vote cast”</w:t>
            </w:r>
          </w:p>
        </w:tc>
        <w:tc>
          <w:tcPr>
            <w:tcW w:w="1220" w:type="dxa"/>
            <w:vAlign w:val="bottom"/>
            <w:tcBorders>
              <w:bottom w:val="single" w:sz="8" w:color="F2F2F2"/>
            </w:tcBorders>
            <w:shd w:val="clear" w:color="auto" w:fill="F2F2F2"/>
          </w:tcPr>
          <w:p>
            <w:pPr>
              <w:spacing w:after="0"/>
              <w:rPr>
                <w:sz w:val="17"/>
                <w:szCs w:val="17"/>
                <w:color w:val="auto"/>
              </w:rPr>
            </w:pPr>
          </w:p>
        </w:tc>
        <w:tc>
          <w:tcPr>
            <w:tcW w:w="88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87" w:hanging="187"/>
        <w:spacing w:after="0"/>
        <w:tabs>
          <w:tab w:leader="none" w:pos="187" w:val="left"/>
        </w:tabs>
        <w:numPr>
          <w:ilvl w:val="0"/>
          <w:numId w:val="216"/>
        </w:numPr>
        <w:rPr>
          <w:rFonts w:ascii="Arial" w:cs="Arial" w:eastAsia="Arial" w:hAnsi="Arial"/>
          <w:sz w:val="16"/>
          <w:szCs w:val="16"/>
          <w:color w:val="auto"/>
          <w:vertAlign w:val="superscript"/>
        </w:rPr>
      </w:pPr>
      <w:r>
        <w:rPr>
          <w:rFonts w:ascii="Arial" w:cs="Arial" w:eastAsia="Arial" w:hAnsi="Arial"/>
          <w:sz w:val="12"/>
          <w:szCs w:val="12"/>
          <w:color w:val="auto"/>
        </w:rPr>
        <w:t>If no frequency receives a majority of votes cast, then we will consider the option that receives the highest number of votes cast to be the frequency recommended by shareholders.</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Additional Items of Business</w:t>
      </w:r>
    </w:p>
    <w:p>
      <w:pPr>
        <w:spacing w:after="0" w:line="57" w:lineRule="exact"/>
        <w:rPr>
          <w:sz w:val="20"/>
          <w:szCs w:val="20"/>
          <w:color w:val="auto"/>
        </w:rPr>
      </w:pPr>
    </w:p>
    <w:p>
      <w:pPr>
        <w:ind w:left="7" w:right="160"/>
        <w:spacing w:after="0" w:line="257" w:lineRule="auto"/>
        <w:rPr>
          <w:sz w:val="20"/>
          <w:szCs w:val="20"/>
          <w:color w:val="auto"/>
        </w:rPr>
      </w:pPr>
      <w:r>
        <w:rPr>
          <w:rFonts w:ascii="Arial" w:cs="Arial" w:eastAsia="Arial" w:hAnsi="Arial"/>
          <w:sz w:val="16"/>
          <w:szCs w:val="16"/>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Vote Tabulation</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6"/>
          <w:szCs w:val="16"/>
          <w:color w:val="auto"/>
        </w:rPr>
        <w:t>Votes are tabulated by an independent inspector of election, Broadridge Financial Solutions, Inc.</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List of Shareholders of Record</w:t>
      </w:r>
    </w:p>
    <w:p>
      <w:pPr>
        <w:spacing w:after="0" w:line="57" w:lineRule="exact"/>
        <w:rPr>
          <w:sz w:val="20"/>
          <w:szCs w:val="20"/>
          <w:color w:val="auto"/>
        </w:rPr>
      </w:pPr>
    </w:p>
    <w:p>
      <w:pPr>
        <w:ind w:left="7"/>
        <w:spacing w:after="0" w:line="252" w:lineRule="auto"/>
        <w:rPr>
          <w:sz w:val="20"/>
          <w:szCs w:val="20"/>
          <w:color w:val="auto"/>
        </w:rPr>
      </w:pPr>
      <w:r>
        <w:rPr>
          <w:rFonts w:ascii="Arial" w:cs="Arial" w:eastAsia="Arial" w:hAnsi="Arial"/>
          <w:sz w:val="16"/>
          <w:szCs w:val="16"/>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6"/>
          <w:szCs w:val="16"/>
          <w:color w:val="D52B1E"/>
        </w:rPr>
        <w:t>shareholderproposals@lilly.com</w:t>
      </w:r>
      <w:r>
        <w:rPr>
          <w:rFonts w:ascii="Arial" w:cs="Arial" w:eastAsia="Arial" w:hAnsi="Arial"/>
          <w:sz w:val="16"/>
          <w:szCs w:val="16"/>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6"/>
          <w:szCs w:val="16"/>
          <w:color w:val="D52B1E"/>
        </w:rPr>
        <w:t>virtualshareholdermeeting.com/LLY2023</w:t>
      </w:r>
      <w:r>
        <w:rPr>
          <w:rFonts w:ascii="Arial" w:cs="Arial" w:eastAsia="Arial" w:hAnsi="Arial"/>
          <w:sz w:val="16"/>
          <w:szCs w:val="16"/>
          <w:color w:val="auto"/>
        </w:rPr>
        <w:t>.</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A1DE"/>
        </w:rPr>
        <w:t>The 2024 Annual Meeting</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company’s 2024 annual meeting of shareholders is currently scheduled for May 6, 2024.</w:t>
      </w:r>
    </w:p>
    <w:p>
      <w:pPr>
        <w:spacing w:after="0" w:line="200" w:lineRule="exact"/>
        <w:rPr>
          <w:sz w:val="20"/>
          <w:szCs w:val="20"/>
          <w:color w:val="auto"/>
        </w:rPr>
      </w:pPr>
    </w:p>
    <w:p>
      <w:pPr>
        <w:spacing w:after="0" w:line="29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76135" cy="4000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820" w:right="3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00A1DE"/>
        </w:rPr>
        <w:t>How to Vote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You may vote by any one of the following methods: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20" w:type="dxa"/>
            <w:vAlign w:val="bottom"/>
            <w:tcBorders>
              <w:top w:val="single" w:sz="8" w:color="auto"/>
            </w:tcBorders>
            <w:vMerge w:val="restart"/>
          </w:tcPr>
          <w:p>
            <w:pPr>
              <w:ind w:left="1420"/>
              <w:spacing w:after="0"/>
              <w:rPr>
                <w:sz w:val="20"/>
                <w:szCs w:val="20"/>
                <w:color w:val="auto"/>
              </w:rPr>
            </w:pPr>
            <w:r>
              <w:rPr>
                <w:rFonts w:ascii="Arial" w:cs="Arial" w:eastAsia="Arial" w:hAnsi="Arial"/>
                <w:sz w:val="16"/>
                <w:szCs w:val="16"/>
                <w:b w:val="1"/>
                <w:bCs w:val="1"/>
                <w:color w:val="auto"/>
              </w:rPr>
              <w:t>Shareholders of Record</w:t>
            </w:r>
          </w:p>
        </w:tc>
        <w:tc>
          <w:tcPr>
            <w:tcW w:w="2320" w:type="dxa"/>
            <w:vAlign w:val="bottom"/>
            <w:tcBorders>
              <w:top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Shares Held by a Broker</w:t>
            </w:r>
          </w:p>
        </w:tc>
        <w:tc>
          <w:tcPr>
            <w:tcW w:w="200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5"/>
              </w:rPr>
              <w:t>Shares Held in the</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Company 401(k)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4984750" cy="348615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4984750" cy="348615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41910</wp:posOffset>
            </wp:positionV>
            <wp:extent cx="445135" cy="44513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clrChange>
                        <a:clrFrom>
                          <a:srgbClr val="000000"/>
                        </a:clrFrom>
                        <a:clrTo>
                          <a:srgbClr val="000000">
                            <a:alpha val="0"/>
                          </a:srgbClr>
                        </a:clrTo>
                      </a:clrChange>
                      <a:extLst>
                        <a:ext uri="{28A0092B-C50C-407E-A947-70E740481C1C}"/>
                      </a:extLst>
                    </a:blip>
                    <a:srcRect/>
                    <a:stretch>
                      <a:fillRect/>
                    </a:stretch>
                  </pic:blipFill>
                  <pic:spPr bwMode="auto">
                    <a:xfrm>
                      <a:off x="0" y="0"/>
                      <a:ext cx="445135" cy="44513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41910</wp:posOffset>
            </wp:positionV>
            <wp:extent cx="445135" cy="44513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clrChange>
                        <a:clrFrom>
                          <a:srgbClr val="FFFFFF"/>
                        </a:clrFrom>
                        <a:clrTo>
                          <a:srgbClr val="FFFFFF">
                            <a:alpha val="0"/>
                          </a:srgbClr>
                        </a:clrTo>
                      </a:clrChange>
                      <a:extLst>
                        <a:ext uri="{28A0092B-C50C-407E-A947-70E740481C1C}"/>
                      </a:extLst>
                    </a:blip>
                    <a:srcRect/>
                    <a:stretch>
                      <a:fillRect/>
                    </a:stretch>
                  </pic:blipFill>
                  <pic:spPr bwMode="auto">
                    <a:xfrm>
                      <a:off x="0" y="0"/>
                      <a:ext cx="44513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131445</wp:posOffset>
            </wp:positionV>
            <wp:extent cx="445135" cy="44513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clrChange>
                        <a:clrFrom>
                          <a:srgbClr val="000000"/>
                        </a:clrFrom>
                        <a:clrTo>
                          <a:srgbClr val="000000">
                            <a:alpha val="0"/>
                          </a:srgbClr>
                        </a:clrTo>
                      </a:clrChange>
                      <a:extLst>
                        <a:ext uri="{28A0092B-C50C-407E-A947-70E740481C1C}"/>
                      </a:extLst>
                    </a:blip>
                    <a:srcRect/>
                    <a:stretch>
                      <a:fillRect/>
                    </a:stretch>
                  </pic:blipFill>
                  <pic:spPr bwMode="auto">
                    <a:xfrm>
                      <a:off x="0" y="0"/>
                      <a:ext cx="445135" cy="44513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131445</wp:posOffset>
            </wp:positionV>
            <wp:extent cx="445135" cy="44513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clrChange>
                        <a:clrFrom>
                          <a:srgbClr val="FFFFFF"/>
                        </a:clrFrom>
                        <a:clrTo>
                          <a:srgbClr val="FFFFFF">
                            <a:alpha val="0"/>
                          </a:srgbClr>
                        </a:clrTo>
                      </a:clrChange>
                      <a:extLst>
                        <a:ext uri="{28A0092B-C50C-407E-A947-70E740481C1C}"/>
                      </a:extLst>
                    </a:blip>
                    <a:srcRect/>
                    <a:stretch>
                      <a:fillRect/>
                    </a:stretch>
                  </pic:blipFill>
                  <pic:spPr bwMode="auto">
                    <a:xfrm>
                      <a:off x="0" y="0"/>
                      <a:ext cx="44513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auto"/>
        </w:rPr>
        <w:t>At the</w:t>
      </w:r>
    </w:p>
    <w:p>
      <w:pPr>
        <w:spacing w:after="0" w:line="19"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auto"/>
        </w:rPr>
        <w:t>Meeting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40" w:type="dxa"/>
            <w:vAlign w:val="bottom"/>
            <w:vMerge w:val="restart"/>
          </w:tcPr>
          <w:p>
            <w:pPr>
              <w:spacing w:after="0"/>
              <w:rPr>
                <w:sz w:val="20"/>
                <w:szCs w:val="20"/>
                <w:color w:val="auto"/>
              </w:rPr>
            </w:pPr>
            <w:r>
              <w:rPr>
                <w:rFonts w:ascii="Arial" w:cs="Arial" w:eastAsia="Arial" w:hAnsi="Arial"/>
                <w:sz w:val="16"/>
                <w:szCs w:val="16"/>
                <w:color w:val="auto"/>
              </w:rPr>
              <w:t xml:space="preserve">Vote online at </w:t>
            </w:r>
            <w:r>
              <w:rPr>
                <w:rFonts w:ascii="Arial" w:cs="Arial" w:eastAsia="Arial" w:hAnsi="Arial"/>
                <w:sz w:val="16"/>
                <w:szCs w:val="16"/>
                <w:color w:val="D52B1E"/>
              </w:rPr>
              <w:t>ProxyVote.com</w:t>
            </w:r>
            <w:r>
              <w:rPr>
                <w:rFonts w:ascii="Arial" w:cs="Arial" w:eastAsia="Arial" w:hAnsi="Arial"/>
                <w:sz w:val="16"/>
                <w:szCs w:val="16"/>
                <w:color w:val="auto"/>
              </w:rPr>
              <w:t>.</w:t>
            </w:r>
          </w:p>
        </w:tc>
        <w:tc>
          <w:tcPr>
            <w:tcW w:w="3520" w:type="dxa"/>
            <w:vAlign w:val="bottom"/>
          </w:tcPr>
          <w:p>
            <w:pPr>
              <w:ind w:left="2440"/>
              <w:spacing w:after="0"/>
              <w:rPr>
                <w:sz w:val="20"/>
                <w:szCs w:val="20"/>
                <w:color w:val="auto"/>
              </w:rPr>
            </w:pPr>
            <w:r>
              <w:rPr>
                <w:rFonts w:ascii="Arial" w:cs="Arial" w:eastAsia="Arial" w:hAnsi="Arial"/>
                <w:sz w:val="16"/>
                <w:szCs w:val="16"/>
                <w:color w:val="auto"/>
              </w:rPr>
              <w:t>Vote online at</w:t>
            </w:r>
          </w:p>
        </w:tc>
        <w:tc>
          <w:tcPr>
            <w:tcW w:w="0" w:type="dxa"/>
            <w:vAlign w:val="bottom"/>
          </w:tcPr>
          <w:p>
            <w:pPr>
              <w:spacing w:after="0"/>
              <w:rPr>
                <w:sz w:val="1"/>
                <w:szCs w:val="1"/>
                <w:color w:val="auto"/>
              </w:rPr>
            </w:pPr>
          </w:p>
        </w:tc>
      </w:tr>
      <w:tr>
        <w:trPr>
          <w:trHeight w:val="143"/>
        </w:trPr>
        <w:tc>
          <w:tcPr>
            <w:tcW w:w="2440" w:type="dxa"/>
            <w:vAlign w:val="bottom"/>
            <w:vMerge w:val="continue"/>
          </w:tcPr>
          <w:p>
            <w:pPr>
              <w:spacing w:after="0"/>
              <w:rPr>
                <w:sz w:val="12"/>
                <w:szCs w:val="12"/>
                <w:color w:val="auto"/>
              </w:rPr>
            </w:pPr>
          </w:p>
        </w:tc>
        <w:tc>
          <w:tcPr>
            <w:tcW w:w="3520" w:type="dxa"/>
            <w:vAlign w:val="bottom"/>
            <w:vMerge w:val="restart"/>
          </w:tcPr>
          <w:p>
            <w:pPr>
              <w:ind w:left="380"/>
              <w:spacing w:after="0" w:line="187" w:lineRule="exact"/>
              <w:rPr>
                <w:sz w:val="20"/>
                <w:szCs w:val="20"/>
                <w:color w:val="auto"/>
              </w:rPr>
            </w:pPr>
            <w:r>
              <w:rPr>
                <w:rFonts w:ascii="Arial" w:cs="Arial" w:eastAsia="Arial" w:hAnsi="Arial"/>
                <w:sz w:val="12"/>
                <w:szCs w:val="12"/>
                <w:color w:val="auto"/>
              </w:rPr>
              <w:t xml:space="preserve">The broker will ask you how  </w:t>
            </w:r>
            <w:r>
              <w:rPr>
                <w:rFonts w:ascii="Arial" w:cs="Arial" w:eastAsia="Arial" w:hAnsi="Arial"/>
                <w:sz w:val="21"/>
                <w:szCs w:val="21"/>
                <w:color w:val="D52B1E"/>
                <w:vertAlign w:val="subscript"/>
              </w:rPr>
              <w:t>ProxyVote.com</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43"/>
        </w:trPr>
        <w:tc>
          <w:tcPr>
            <w:tcW w:w="2440" w:type="dxa"/>
            <w:vAlign w:val="bottom"/>
          </w:tcPr>
          <w:p>
            <w:pPr>
              <w:spacing w:after="0"/>
              <w:rPr>
                <w:sz w:val="3"/>
                <w:szCs w:val="3"/>
                <w:color w:val="auto"/>
              </w:rPr>
            </w:pPr>
          </w:p>
        </w:tc>
        <w:tc>
          <w:tcPr>
            <w:tcW w:w="3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3520" w:type="dxa"/>
            <w:vAlign w:val="bottom"/>
          </w:tcPr>
          <w:p>
            <w:pPr>
              <w:ind w:left="380"/>
              <w:spacing w:after="0"/>
              <w:rPr>
                <w:sz w:val="20"/>
                <w:szCs w:val="20"/>
                <w:color w:val="auto"/>
              </w:rPr>
            </w:pPr>
            <w:r>
              <w:rPr>
                <w:rFonts w:ascii="Arial" w:cs="Arial" w:eastAsia="Arial" w:hAnsi="Arial"/>
                <w:sz w:val="16"/>
                <w:szCs w:val="16"/>
                <w:color w:val="auto"/>
              </w:rPr>
              <w:t>you want your shares to be</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3520" w:type="dxa"/>
            <w:vAlign w:val="bottom"/>
          </w:tcPr>
          <w:p>
            <w:pPr>
              <w:ind w:left="380"/>
              <w:spacing w:after="0"/>
              <w:rPr>
                <w:sz w:val="20"/>
                <w:szCs w:val="20"/>
                <w:color w:val="auto"/>
              </w:rPr>
            </w:pPr>
            <w:r>
              <w:rPr>
                <w:rFonts w:ascii="Arial" w:cs="Arial" w:eastAsia="Arial" w:hAnsi="Arial"/>
                <w:sz w:val="16"/>
                <w:szCs w:val="16"/>
                <w:color w:val="auto"/>
              </w:rPr>
              <w:t>voted. You may instruct your</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3520" w:type="dxa"/>
            <w:vAlign w:val="bottom"/>
          </w:tcPr>
          <w:p>
            <w:pPr>
              <w:ind w:left="380"/>
              <w:spacing w:after="0"/>
              <w:rPr>
                <w:sz w:val="20"/>
                <w:szCs w:val="20"/>
                <w:color w:val="auto"/>
              </w:rPr>
            </w:pPr>
            <w:r>
              <w:rPr>
                <w:rFonts w:ascii="Arial" w:cs="Arial" w:eastAsia="Arial" w:hAnsi="Arial"/>
                <w:sz w:val="16"/>
                <w:szCs w:val="16"/>
                <w:color w:val="auto"/>
              </w:rPr>
              <w:t>broker or other nominee to</w:t>
            </w:r>
          </w:p>
        </w:tc>
        <w:tc>
          <w:tcPr>
            <w:tcW w:w="0" w:type="dxa"/>
            <w:vAlign w:val="bottom"/>
          </w:tcPr>
          <w:p>
            <w:pPr>
              <w:spacing w:after="0"/>
              <w:rPr>
                <w:sz w:val="1"/>
                <w:szCs w:val="1"/>
                <w:color w:val="auto"/>
              </w:rPr>
            </w:pPr>
          </w:p>
        </w:tc>
      </w:tr>
      <w:tr>
        <w:trPr>
          <w:trHeight w:val="178"/>
        </w:trPr>
        <w:tc>
          <w:tcPr>
            <w:tcW w:w="2440" w:type="dxa"/>
            <w:vAlign w:val="bottom"/>
          </w:tcPr>
          <w:p>
            <w:pPr>
              <w:spacing w:after="0"/>
              <w:rPr>
                <w:sz w:val="15"/>
                <w:szCs w:val="15"/>
                <w:color w:val="auto"/>
              </w:rPr>
            </w:pPr>
          </w:p>
        </w:tc>
        <w:tc>
          <w:tcPr>
            <w:tcW w:w="3520" w:type="dxa"/>
            <w:vAlign w:val="bottom"/>
          </w:tcPr>
          <w:p>
            <w:pPr>
              <w:ind w:left="380"/>
              <w:spacing w:after="0" w:line="178" w:lineRule="exact"/>
              <w:rPr>
                <w:sz w:val="20"/>
                <w:szCs w:val="20"/>
                <w:color w:val="auto"/>
              </w:rPr>
            </w:pPr>
            <w:r>
              <w:rPr>
                <w:rFonts w:ascii="Arial" w:cs="Arial" w:eastAsia="Arial" w:hAnsi="Arial"/>
                <w:sz w:val="16"/>
                <w:szCs w:val="16"/>
                <w:color w:val="auto"/>
              </w:rPr>
              <w:t>vote your shares by following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gridSpan w:val="2"/>
          </w:tcPr>
          <w:p>
            <w:pPr>
              <w:ind w:left="20"/>
              <w:spacing w:after="0" w:line="173" w:lineRule="exact"/>
              <w:rPr>
                <w:sz w:val="20"/>
                <w:szCs w:val="20"/>
                <w:color w:val="auto"/>
              </w:rPr>
            </w:pPr>
            <w:r>
              <w:rPr>
                <w:rFonts w:ascii="Arial" w:cs="Arial" w:eastAsia="Arial" w:hAnsi="Arial"/>
                <w:sz w:val="16"/>
                <w:szCs w:val="16"/>
                <w:color w:val="auto"/>
                <w:w w:val="97"/>
              </w:rPr>
              <w:t>Call 1-800-690-6903 using a touch-tone instructions that the broker or</w:t>
            </w:r>
          </w:p>
        </w:tc>
        <w:tc>
          <w:tcPr>
            <w:tcW w:w="2060" w:type="dxa"/>
            <w:vAlign w:val="bottom"/>
          </w:tcPr>
          <w:p>
            <w:pPr>
              <w:ind w:left="20"/>
              <w:spacing w:after="0" w:line="173" w:lineRule="exact"/>
              <w:rPr>
                <w:sz w:val="20"/>
                <w:szCs w:val="20"/>
                <w:color w:val="auto"/>
              </w:rPr>
            </w:pPr>
            <w:r>
              <w:rPr>
                <w:rFonts w:ascii="Arial" w:cs="Arial" w:eastAsia="Arial" w:hAnsi="Arial"/>
                <w:sz w:val="16"/>
                <w:szCs w:val="16"/>
                <w:color w:val="auto"/>
              </w:rPr>
              <w:t>Call 1-800-690-6903 using a</w:t>
            </w:r>
          </w:p>
        </w:tc>
        <w:tc>
          <w:tcPr>
            <w:tcW w:w="0" w:type="dxa"/>
            <w:vAlign w:val="bottom"/>
          </w:tcPr>
          <w:p>
            <w:pPr>
              <w:spacing w:after="0"/>
              <w:rPr>
                <w:sz w:val="1"/>
                <w:szCs w:val="1"/>
                <w:color w:val="auto"/>
              </w:rPr>
            </w:pPr>
          </w:p>
        </w:tc>
      </w:tr>
      <w:tr>
        <w:trPr>
          <w:trHeight w:val="187"/>
        </w:trPr>
        <w:tc>
          <w:tcPr>
            <w:tcW w:w="2760" w:type="dxa"/>
            <w:vAlign w:val="bottom"/>
          </w:tcPr>
          <w:p>
            <w:pPr>
              <w:jc w:val="center"/>
              <w:spacing w:after="0"/>
              <w:rPr>
                <w:sz w:val="20"/>
                <w:szCs w:val="20"/>
                <w:color w:val="auto"/>
              </w:rPr>
            </w:pPr>
            <w:r>
              <w:rPr>
                <w:rFonts w:ascii="Arial" w:cs="Arial" w:eastAsia="Arial" w:hAnsi="Arial"/>
                <w:sz w:val="16"/>
                <w:szCs w:val="16"/>
                <w:color w:val="auto"/>
                <w:w w:val="96"/>
              </w:rPr>
              <w:t>phone and follow the instructions</w:t>
            </w:r>
          </w:p>
        </w:tc>
        <w:tc>
          <w:tcPr>
            <w:tcW w:w="2100" w:type="dxa"/>
            <w:vAlign w:val="bottom"/>
          </w:tcPr>
          <w:p>
            <w:pPr>
              <w:ind w:left="60"/>
              <w:spacing w:after="0"/>
              <w:rPr>
                <w:sz w:val="20"/>
                <w:szCs w:val="20"/>
                <w:color w:val="auto"/>
              </w:rPr>
            </w:pPr>
            <w:r>
              <w:rPr>
                <w:rFonts w:ascii="Arial" w:cs="Arial" w:eastAsia="Arial" w:hAnsi="Arial"/>
                <w:sz w:val="16"/>
                <w:szCs w:val="16"/>
                <w:color w:val="auto"/>
              </w:rPr>
              <w:t>nominee provides to you.</w:t>
            </w:r>
          </w:p>
        </w:tc>
        <w:tc>
          <w:tcPr>
            <w:tcW w:w="2060" w:type="dxa"/>
            <w:vAlign w:val="bottom"/>
          </w:tcPr>
          <w:p>
            <w:pPr>
              <w:ind w:left="20"/>
              <w:spacing w:after="0"/>
              <w:rPr>
                <w:sz w:val="20"/>
                <w:szCs w:val="20"/>
                <w:color w:val="auto"/>
              </w:rPr>
            </w:pPr>
            <w:r>
              <w:rPr>
                <w:rFonts w:ascii="Arial" w:cs="Arial" w:eastAsia="Arial" w:hAnsi="Arial"/>
                <w:sz w:val="16"/>
                <w:szCs w:val="16"/>
                <w:color w:val="auto"/>
              </w:rPr>
              <w:t>touch-tone phone and follow</w:t>
            </w:r>
          </w:p>
        </w:tc>
        <w:tc>
          <w:tcPr>
            <w:tcW w:w="0" w:type="dxa"/>
            <w:vAlign w:val="bottom"/>
          </w:tcPr>
          <w:p>
            <w:pPr>
              <w:spacing w:after="0"/>
              <w:rPr>
                <w:sz w:val="1"/>
                <w:szCs w:val="1"/>
                <w:color w:val="auto"/>
              </w:rPr>
            </w:pPr>
          </w:p>
        </w:tc>
      </w:tr>
      <w:tr>
        <w:trPr>
          <w:trHeight w:val="210"/>
        </w:trPr>
        <w:tc>
          <w:tcPr>
            <w:tcW w:w="2760" w:type="dxa"/>
            <w:vAlign w:val="bottom"/>
          </w:tcPr>
          <w:p>
            <w:pPr>
              <w:jc w:val="center"/>
              <w:spacing w:after="0"/>
              <w:rPr>
                <w:sz w:val="20"/>
                <w:szCs w:val="20"/>
                <w:color w:val="auto"/>
              </w:rPr>
            </w:pPr>
            <w:r>
              <w:rPr>
                <w:rFonts w:ascii="Arial" w:cs="Arial" w:eastAsia="Arial" w:hAnsi="Arial"/>
                <w:sz w:val="16"/>
                <w:szCs w:val="16"/>
                <w:color w:val="auto"/>
                <w:w w:val="97"/>
              </w:rPr>
              <w:t>provided.</w:t>
            </w:r>
          </w:p>
        </w:tc>
        <w:tc>
          <w:tcPr>
            <w:tcW w:w="2100" w:type="dxa"/>
            <w:vAlign w:val="bottom"/>
          </w:tcPr>
          <w:p>
            <w:pPr>
              <w:ind w:left="60"/>
              <w:spacing w:after="0"/>
              <w:rPr>
                <w:sz w:val="20"/>
                <w:szCs w:val="20"/>
                <w:color w:val="auto"/>
              </w:rPr>
            </w:pPr>
            <w:r>
              <w:rPr>
                <w:rFonts w:ascii="Arial" w:cs="Arial" w:eastAsia="Arial" w:hAnsi="Arial"/>
                <w:sz w:val="16"/>
                <w:szCs w:val="16"/>
                <w:color w:val="auto"/>
              </w:rPr>
              <w:t>Most brokers offer voting by</w:t>
            </w:r>
          </w:p>
        </w:tc>
        <w:tc>
          <w:tcPr>
            <w:tcW w:w="2060" w:type="dxa"/>
            <w:vAlign w:val="bottom"/>
          </w:tcPr>
          <w:p>
            <w:pPr>
              <w:ind w:left="20"/>
              <w:spacing w:after="0"/>
              <w:rPr>
                <w:sz w:val="20"/>
                <w:szCs w:val="20"/>
                <w:color w:val="auto"/>
              </w:rPr>
            </w:pPr>
            <w:r>
              <w:rPr>
                <w:rFonts w:ascii="Arial" w:cs="Arial" w:eastAsia="Arial" w:hAnsi="Arial"/>
                <w:sz w:val="16"/>
                <w:szCs w:val="16"/>
                <w:color w:val="auto"/>
              </w:rPr>
              <w:t>the instructions provided.</w:t>
            </w: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rPr>
              <w:t>mail, by telephone, and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2100" w:type="dxa"/>
            <w:vAlign w:val="bottom"/>
            <w:vMerge w:val="restart"/>
          </w:tcPr>
          <w:p>
            <w:pPr>
              <w:ind w:left="60"/>
              <w:spacing w:after="0"/>
              <w:rPr>
                <w:sz w:val="20"/>
                <w:szCs w:val="20"/>
                <w:color w:val="auto"/>
              </w:rPr>
            </w:pPr>
            <w:r>
              <w:rPr>
                <w:rFonts w:ascii="Arial" w:cs="Arial" w:eastAsia="Arial" w:hAnsi="Arial"/>
                <w:sz w:val="16"/>
                <w:szCs w:val="16"/>
                <w:color w:val="auto"/>
              </w:rPr>
              <w:t>online. You may submit new</w:t>
            </w: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6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06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rPr>
              <w:t>voting instructions by</w:t>
            </w:r>
          </w:p>
        </w:tc>
        <w:tc>
          <w:tcPr>
            <w:tcW w:w="206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Sign, date, and return the</w:t>
            </w:r>
          </w:p>
        </w:tc>
        <w:tc>
          <w:tcPr>
            <w:tcW w:w="0" w:type="dxa"/>
            <w:vAlign w:val="bottom"/>
          </w:tcPr>
          <w:p>
            <w:pPr>
              <w:spacing w:after="0"/>
              <w:rPr>
                <w:sz w:val="1"/>
                <w:szCs w:val="1"/>
                <w:color w:val="auto"/>
              </w:rPr>
            </w:pPr>
          </w:p>
        </w:tc>
      </w:tr>
      <w:tr>
        <w:trPr>
          <w:trHeight w:val="105"/>
        </w:trPr>
        <w:tc>
          <w:tcPr>
            <w:tcW w:w="2760" w:type="dxa"/>
            <w:vAlign w:val="bottom"/>
          </w:tcPr>
          <w:p>
            <w:pPr>
              <w:spacing w:after="0"/>
              <w:rPr>
                <w:sz w:val="9"/>
                <w:szCs w:val="9"/>
                <w:color w:val="auto"/>
              </w:rPr>
            </w:pPr>
          </w:p>
        </w:tc>
        <w:tc>
          <w:tcPr>
            <w:tcW w:w="2100" w:type="dxa"/>
            <w:vAlign w:val="bottom"/>
            <w:vMerge w:val="restart"/>
          </w:tcPr>
          <w:p>
            <w:pPr>
              <w:ind w:left="60"/>
              <w:spacing w:after="0"/>
              <w:rPr>
                <w:sz w:val="20"/>
                <w:szCs w:val="20"/>
                <w:color w:val="auto"/>
              </w:rPr>
            </w:pPr>
            <w:r>
              <w:rPr>
                <w:rFonts w:ascii="Arial" w:cs="Arial" w:eastAsia="Arial" w:hAnsi="Arial"/>
                <w:sz w:val="16"/>
                <w:szCs w:val="16"/>
                <w:color w:val="auto"/>
              </w:rPr>
              <w:t>contacting your broker or</w:t>
            </w:r>
          </w:p>
        </w:tc>
        <w:tc>
          <w:tcPr>
            <w:tcW w:w="206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760" w:type="dxa"/>
            <w:vAlign w:val="bottom"/>
            <w:vMerge w:val="restart"/>
          </w:tcPr>
          <w:p>
            <w:pPr>
              <w:jc w:val="center"/>
              <w:spacing w:after="0"/>
              <w:rPr>
                <w:sz w:val="20"/>
                <w:szCs w:val="20"/>
                <w:color w:val="auto"/>
              </w:rPr>
            </w:pPr>
            <w:r>
              <w:rPr>
                <w:rFonts w:ascii="Arial" w:cs="Arial" w:eastAsia="Arial" w:hAnsi="Arial"/>
                <w:sz w:val="16"/>
                <w:szCs w:val="16"/>
                <w:color w:val="auto"/>
                <w:w w:val="97"/>
              </w:rPr>
              <w:t>Sign, date, and return each proxy card</w:t>
            </w:r>
          </w:p>
        </w:tc>
        <w:tc>
          <w:tcPr>
            <w:tcW w:w="2100" w:type="dxa"/>
            <w:vAlign w:val="bottom"/>
            <w:vMerge w:val="continue"/>
          </w:tcPr>
          <w:p>
            <w:pPr>
              <w:spacing w:after="0"/>
              <w:rPr>
                <w:sz w:val="7"/>
                <w:szCs w:val="7"/>
                <w:color w:val="auto"/>
              </w:rPr>
            </w:pPr>
          </w:p>
        </w:tc>
        <w:tc>
          <w:tcPr>
            <w:tcW w:w="206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voting instruction form you</w:t>
            </w:r>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2100" w:type="dxa"/>
            <w:vAlign w:val="bottom"/>
          </w:tcPr>
          <w:p>
            <w:pPr>
              <w:ind w:left="60"/>
              <w:spacing w:after="0" w:line="155" w:lineRule="exact"/>
              <w:rPr>
                <w:sz w:val="20"/>
                <w:szCs w:val="20"/>
                <w:color w:val="auto"/>
              </w:rPr>
            </w:pPr>
            <w:r>
              <w:rPr>
                <w:rFonts w:ascii="Arial" w:cs="Arial" w:eastAsia="Arial" w:hAnsi="Arial"/>
                <w:sz w:val="16"/>
                <w:szCs w:val="16"/>
                <w:color w:val="auto"/>
              </w:rPr>
              <w:t>other nominee or, if your</w:t>
            </w:r>
          </w:p>
        </w:tc>
        <w:tc>
          <w:tcPr>
            <w:tcW w:w="206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60" w:type="dxa"/>
            <w:vAlign w:val="bottom"/>
          </w:tcPr>
          <w:p>
            <w:pPr>
              <w:jc w:val="center"/>
              <w:spacing w:after="0"/>
              <w:rPr>
                <w:sz w:val="20"/>
                <w:szCs w:val="20"/>
                <w:color w:val="auto"/>
              </w:rPr>
            </w:pPr>
            <w:r>
              <w:rPr>
                <w:rFonts w:ascii="Arial" w:cs="Arial" w:eastAsia="Arial" w:hAnsi="Arial"/>
                <w:sz w:val="16"/>
                <w:szCs w:val="16"/>
                <w:color w:val="auto"/>
                <w:w w:val="97"/>
              </w:rPr>
              <w:t>you received in the prepaid envelope.</w:t>
            </w:r>
          </w:p>
        </w:tc>
        <w:tc>
          <w:tcPr>
            <w:tcW w:w="2100" w:type="dxa"/>
            <w:vAlign w:val="bottom"/>
          </w:tcPr>
          <w:p>
            <w:pPr>
              <w:ind w:left="60"/>
              <w:spacing w:after="0"/>
              <w:rPr>
                <w:sz w:val="20"/>
                <w:szCs w:val="20"/>
                <w:color w:val="auto"/>
              </w:rPr>
            </w:pPr>
            <w:r>
              <w:rPr>
                <w:rFonts w:ascii="Arial" w:cs="Arial" w:eastAsia="Arial" w:hAnsi="Arial"/>
                <w:sz w:val="16"/>
                <w:szCs w:val="16"/>
                <w:color w:val="auto"/>
              </w:rPr>
              <w:t>broker provides you with a</w:t>
            </w:r>
          </w:p>
        </w:tc>
        <w:tc>
          <w:tcPr>
            <w:tcW w:w="2060" w:type="dxa"/>
            <w:vAlign w:val="bottom"/>
            <w:shd w:val="clear" w:color="auto" w:fill="F2F2F2"/>
          </w:tcPr>
          <w:p>
            <w:pPr>
              <w:ind w:left="20"/>
              <w:spacing w:after="0"/>
              <w:rPr>
                <w:sz w:val="20"/>
                <w:szCs w:val="20"/>
                <w:color w:val="auto"/>
              </w:rPr>
            </w:pPr>
            <w:r>
              <w:rPr>
                <w:rFonts w:ascii="Arial" w:cs="Arial" w:eastAsia="Arial" w:hAnsi="Arial"/>
                <w:sz w:val="16"/>
                <w:szCs w:val="16"/>
                <w:color w:val="auto"/>
              </w:rPr>
              <w:t>received in the prepaid</w:t>
            </w:r>
          </w:p>
        </w:tc>
        <w:tc>
          <w:tcPr>
            <w:tcW w:w="0" w:type="dxa"/>
            <w:vAlign w:val="bottom"/>
          </w:tcPr>
          <w:p>
            <w:pPr>
              <w:spacing w:after="0"/>
              <w:rPr>
                <w:sz w:val="1"/>
                <w:szCs w:val="1"/>
                <w:color w:val="auto"/>
              </w:rPr>
            </w:pPr>
          </w:p>
        </w:tc>
      </w:tr>
      <w:tr>
        <w:trPr>
          <w:trHeight w:val="219"/>
        </w:trPr>
        <w:tc>
          <w:tcPr>
            <w:tcW w:w="2760" w:type="dxa"/>
            <w:vAlign w:val="bottom"/>
          </w:tcPr>
          <w:p>
            <w:pPr>
              <w:spacing w:after="0"/>
              <w:rPr>
                <w:sz w:val="19"/>
                <w:szCs w:val="19"/>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w w:val="97"/>
              </w:rPr>
              <w:t>16-digit control number found</w:t>
            </w:r>
          </w:p>
        </w:tc>
        <w:tc>
          <w:tcPr>
            <w:tcW w:w="2060" w:type="dxa"/>
            <w:vAlign w:val="bottom"/>
            <w:shd w:val="clear" w:color="auto" w:fill="F2F2F2"/>
          </w:tcPr>
          <w:p>
            <w:pPr>
              <w:ind w:left="20"/>
              <w:spacing w:after="0"/>
              <w:rPr>
                <w:sz w:val="20"/>
                <w:szCs w:val="20"/>
                <w:color w:val="auto"/>
              </w:rPr>
            </w:pPr>
            <w:r>
              <w:rPr>
                <w:rFonts w:ascii="Arial" w:cs="Arial" w:eastAsia="Arial" w:hAnsi="Arial"/>
                <w:sz w:val="16"/>
                <w:szCs w:val="16"/>
                <w:color w:val="auto"/>
              </w:rPr>
              <w:t>envelope.</w:t>
            </w:r>
          </w:p>
        </w:tc>
        <w:tc>
          <w:tcPr>
            <w:tcW w:w="0" w:type="dxa"/>
            <w:vAlign w:val="bottom"/>
          </w:tcPr>
          <w:p>
            <w:pPr>
              <w:spacing w:after="0"/>
              <w:rPr>
                <w:sz w:val="1"/>
                <w:szCs w:val="1"/>
                <w:color w:val="auto"/>
              </w:rPr>
            </w:pPr>
          </w:p>
        </w:tc>
      </w:tr>
      <w:tr>
        <w:trPr>
          <w:trHeight w:val="143"/>
        </w:trPr>
        <w:tc>
          <w:tcPr>
            <w:tcW w:w="2760" w:type="dxa"/>
            <w:vAlign w:val="bottom"/>
          </w:tcPr>
          <w:p>
            <w:pPr>
              <w:spacing w:after="0"/>
              <w:rPr>
                <w:sz w:val="12"/>
                <w:szCs w:val="12"/>
                <w:color w:val="auto"/>
              </w:rPr>
            </w:pPr>
          </w:p>
        </w:tc>
        <w:tc>
          <w:tcPr>
            <w:tcW w:w="2100" w:type="dxa"/>
            <w:vAlign w:val="bottom"/>
            <w:vMerge w:val="restart"/>
          </w:tcPr>
          <w:p>
            <w:pPr>
              <w:ind w:left="60"/>
              <w:spacing w:after="0"/>
              <w:rPr>
                <w:sz w:val="20"/>
                <w:szCs w:val="20"/>
                <w:color w:val="auto"/>
              </w:rPr>
            </w:pPr>
            <w:r>
              <w:rPr>
                <w:rFonts w:ascii="Arial" w:cs="Arial" w:eastAsia="Arial" w:hAnsi="Arial"/>
                <w:sz w:val="16"/>
                <w:szCs w:val="16"/>
                <w:color w:val="auto"/>
                <w:w w:val="98"/>
              </w:rPr>
              <w:t>on the voting instruction form</w:t>
            </w:r>
          </w:p>
        </w:tc>
        <w:tc>
          <w:tcPr>
            <w:tcW w:w="20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760" w:type="dxa"/>
            <w:vAlign w:val="bottom"/>
          </w:tcPr>
          <w:p>
            <w:pPr>
              <w:spacing w:after="0"/>
              <w:rPr>
                <w:sz w:val="3"/>
                <w:szCs w:val="3"/>
                <w:color w:val="auto"/>
              </w:rPr>
            </w:pPr>
          </w:p>
        </w:tc>
        <w:tc>
          <w:tcPr>
            <w:tcW w:w="2100" w:type="dxa"/>
            <w:vAlign w:val="bottom"/>
            <w:vMerge w:val="continue"/>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auto"/>
              </w:rPr>
              <w:t>for ProxyVote.com, by</w:t>
            </w:r>
          </w:p>
        </w:tc>
        <w:tc>
          <w:tcPr>
            <w:tcW w:w="2060" w:type="dxa"/>
            <w:vAlign w:val="bottom"/>
          </w:tcPr>
          <w:p>
            <w:pPr>
              <w:ind w:left="20"/>
              <w:spacing w:after="0"/>
              <w:rPr>
                <w:sz w:val="20"/>
                <w:szCs w:val="20"/>
                <w:color w:val="auto"/>
              </w:rPr>
            </w:pPr>
            <w:r>
              <w:rPr>
                <w:rFonts w:ascii="Arial" w:cs="Arial" w:eastAsia="Arial" w:hAnsi="Arial"/>
                <w:sz w:val="16"/>
                <w:szCs w:val="16"/>
                <w:color w:val="FFFFFF"/>
                <w:w w:val="99"/>
              </w:rPr>
              <w:t>Plan shares cannot be voted</w:t>
            </w:r>
          </w:p>
        </w:tc>
        <w:tc>
          <w:tcPr>
            <w:tcW w:w="0" w:type="dxa"/>
            <w:vAlign w:val="bottom"/>
          </w:tcPr>
          <w:p>
            <w:pPr>
              <w:spacing w:after="0"/>
              <w:rPr>
                <w:sz w:val="1"/>
                <w:szCs w:val="1"/>
                <w:color w:val="auto"/>
              </w:rPr>
            </w:pPr>
          </w:p>
        </w:tc>
      </w:tr>
      <w:tr>
        <w:trPr>
          <w:trHeight w:val="210"/>
        </w:trPr>
        <w:tc>
          <w:tcPr>
            <w:tcW w:w="2760" w:type="dxa"/>
            <w:vAlign w:val="bottom"/>
          </w:tcPr>
          <w:p>
            <w:pPr>
              <w:jc w:val="center"/>
              <w:spacing w:after="0"/>
              <w:rPr>
                <w:sz w:val="20"/>
                <w:szCs w:val="20"/>
                <w:color w:val="auto"/>
              </w:rPr>
            </w:pPr>
            <w:r>
              <w:rPr>
                <w:rFonts w:ascii="Arial" w:cs="Arial" w:eastAsia="Arial" w:hAnsi="Arial"/>
                <w:sz w:val="16"/>
                <w:szCs w:val="16"/>
                <w:color w:val="auto"/>
                <w:w w:val="96"/>
              </w:rPr>
              <w:t>Follow the instructions at</w:t>
            </w:r>
          </w:p>
        </w:tc>
        <w:tc>
          <w:tcPr>
            <w:tcW w:w="2100" w:type="dxa"/>
            <w:vAlign w:val="bottom"/>
          </w:tcPr>
          <w:p>
            <w:pPr>
              <w:ind w:left="60"/>
              <w:spacing w:after="0"/>
              <w:rPr>
                <w:sz w:val="20"/>
                <w:szCs w:val="20"/>
                <w:color w:val="auto"/>
              </w:rPr>
            </w:pPr>
            <w:r>
              <w:rPr>
                <w:rFonts w:ascii="Arial" w:cs="Arial" w:eastAsia="Arial" w:hAnsi="Arial"/>
                <w:sz w:val="16"/>
                <w:szCs w:val="16"/>
                <w:color w:val="auto"/>
              </w:rPr>
              <w:t>signing in with your 16-digit</w:t>
            </w:r>
          </w:p>
        </w:tc>
        <w:tc>
          <w:tcPr>
            <w:tcW w:w="2060" w:type="dxa"/>
            <w:vAlign w:val="bottom"/>
          </w:tcPr>
          <w:p>
            <w:pPr>
              <w:ind w:left="20"/>
              <w:spacing w:after="0"/>
              <w:rPr>
                <w:sz w:val="20"/>
                <w:szCs w:val="20"/>
                <w:color w:val="auto"/>
              </w:rPr>
            </w:pPr>
            <w:r>
              <w:rPr>
                <w:rFonts w:ascii="Arial" w:cs="Arial" w:eastAsia="Arial" w:hAnsi="Arial"/>
                <w:sz w:val="16"/>
                <w:szCs w:val="16"/>
                <w:color w:val="FFFFFF"/>
              </w:rPr>
              <w:t>at the meeting. The Trustee</w:t>
            </w:r>
          </w:p>
        </w:tc>
        <w:tc>
          <w:tcPr>
            <w:tcW w:w="0" w:type="dxa"/>
            <w:vAlign w:val="bottom"/>
          </w:tcPr>
          <w:p>
            <w:pPr>
              <w:spacing w:after="0"/>
              <w:rPr>
                <w:sz w:val="1"/>
                <w:szCs w:val="1"/>
                <w:color w:val="auto"/>
              </w:rPr>
            </w:pPr>
          </w:p>
        </w:tc>
      </w:tr>
      <w:tr>
        <w:trPr>
          <w:trHeight w:val="187"/>
        </w:trPr>
        <w:tc>
          <w:tcPr>
            <w:tcW w:w="4860" w:type="dxa"/>
            <w:vAlign w:val="bottom"/>
            <w:gridSpan w:val="2"/>
          </w:tcPr>
          <w:p>
            <w:pPr>
              <w:spacing w:after="0" w:line="187" w:lineRule="exact"/>
              <w:rPr>
                <w:sz w:val="20"/>
                <w:szCs w:val="20"/>
                <w:color w:val="auto"/>
              </w:rPr>
            </w:pPr>
            <w:r>
              <w:rPr>
                <w:rFonts w:ascii="Arial" w:cs="Arial" w:eastAsia="Arial" w:hAnsi="Arial"/>
                <w:sz w:val="12"/>
                <w:szCs w:val="12"/>
                <w:color w:val="D52B1E"/>
              </w:rPr>
              <w:t xml:space="preserve">virtualshareholdermeeting.com/LLY2023 </w:t>
            </w:r>
            <w:r>
              <w:rPr>
                <w:rFonts w:ascii="Arial" w:cs="Arial" w:eastAsia="Arial" w:hAnsi="Arial"/>
                <w:sz w:val="21"/>
                <w:szCs w:val="21"/>
                <w:color w:val="000000"/>
                <w:vertAlign w:val="superscript"/>
              </w:rPr>
              <w:t>control number and voting at</w:t>
            </w:r>
          </w:p>
        </w:tc>
        <w:tc>
          <w:tcPr>
            <w:tcW w:w="2060" w:type="dxa"/>
            <w:vAlign w:val="bottom"/>
          </w:tcPr>
          <w:p>
            <w:pPr>
              <w:ind w:left="20"/>
              <w:spacing w:after="0"/>
              <w:rPr>
                <w:sz w:val="20"/>
                <w:szCs w:val="20"/>
                <w:color w:val="auto"/>
              </w:rPr>
            </w:pPr>
            <w:r>
              <w:rPr>
                <w:rFonts w:ascii="Arial" w:cs="Arial" w:eastAsia="Arial" w:hAnsi="Arial"/>
                <w:sz w:val="16"/>
                <w:szCs w:val="16"/>
                <w:color w:val="FFFFFF"/>
              </w:rPr>
              <w:t>must receive your</w:t>
            </w:r>
          </w:p>
        </w:tc>
        <w:tc>
          <w:tcPr>
            <w:tcW w:w="0" w:type="dxa"/>
            <w:vAlign w:val="bottom"/>
          </w:tcPr>
          <w:p>
            <w:pPr>
              <w:spacing w:after="0"/>
              <w:rPr>
                <w:sz w:val="1"/>
                <w:szCs w:val="1"/>
                <w:color w:val="auto"/>
              </w:rPr>
            </w:pPr>
          </w:p>
        </w:tc>
      </w:tr>
      <w:tr>
        <w:trPr>
          <w:trHeight w:val="210"/>
        </w:trPr>
        <w:tc>
          <w:tcPr>
            <w:tcW w:w="2760" w:type="dxa"/>
            <w:vAlign w:val="bottom"/>
          </w:tcPr>
          <w:p>
            <w:pPr>
              <w:jc w:val="center"/>
              <w:spacing w:after="0"/>
              <w:rPr>
                <w:sz w:val="20"/>
                <w:szCs w:val="20"/>
                <w:color w:val="auto"/>
              </w:rPr>
            </w:pPr>
            <w:r>
              <w:rPr>
                <w:rFonts w:ascii="Arial" w:cs="Arial" w:eastAsia="Arial" w:hAnsi="Arial"/>
                <w:sz w:val="16"/>
                <w:szCs w:val="16"/>
                <w:color w:val="auto"/>
                <w:w w:val="97"/>
              </w:rPr>
              <w:t>to vote during the meeting</w:t>
            </w:r>
          </w:p>
        </w:tc>
        <w:tc>
          <w:tcPr>
            <w:tcW w:w="2100" w:type="dxa"/>
            <w:vAlign w:val="bottom"/>
          </w:tcPr>
          <w:p>
            <w:pPr>
              <w:ind w:left="60"/>
              <w:spacing w:after="0"/>
              <w:rPr>
                <w:sz w:val="20"/>
                <w:szCs w:val="20"/>
                <w:color w:val="auto"/>
              </w:rPr>
            </w:pPr>
            <w:r>
              <w:rPr>
                <w:rFonts w:ascii="Arial" w:cs="Arial" w:eastAsia="Arial" w:hAnsi="Arial"/>
                <w:sz w:val="16"/>
                <w:szCs w:val="16"/>
                <w:color w:val="auto"/>
              </w:rPr>
              <w:t>the Annual Meeting.</w:t>
            </w:r>
          </w:p>
        </w:tc>
        <w:tc>
          <w:tcPr>
            <w:tcW w:w="2060" w:type="dxa"/>
            <w:vAlign w:val="bottom"/>
          </w:tcPr>
          <w:p>
            <w:pPr>
              <w:ind w:left="20"/>
              <w:spacing w:after="0"/>
              <w:rPr>
                <w:sz w:val="20"/>
                <w:szCs w:val="20"/>
                <w:color w:val="auto"/>
              </w:rPr>
            </w:pPr>
            <w:r>
              <w:rPr>
                <w:rFonts w:ascii="Arial" w:cs="Arial" w:eastAsia="Arial" w:hAnsi="Arial"/>
                <w:sz w:val="16"/>
                <w:szCs w:val="16"/>
                <w:color w:val="FFFFFF"/>
              </w:rPr>
              <w:t>instructions by one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-540385</wp:posOffset>
            </wp:positionV>
            <wp:extent cx="1313180" cy="85280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13180" cy="8528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-1274445</wp:posOffset>
            </wp:positionV>
            <wp:extent cx="2366010" cy="73406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2366010" cy="7340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-1274445</wp:posOffset>
            </wp:positionV>
            <wp:extent cx="2366010" cy="73406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2366010" cy="73406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6"/>
          <w:szCs w:val="16"/>
          <w:color w:val="FFFFFF"/>
        </w:rPr>
        <w:t>methods above by April 26,</w:t>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6"/>
          <w:szCs w:val="16"/>
          <w:color w:val="FFFFFF"/>
        </w:rPr>
        <w:t>2023.</w:t>
      </w:r>
    </w:p>
    <w:p>
      <w:pPr>
        <w:spacing w:after="0" w:line="100" w:lineRule="exact"/>
        <w:rPr>
          <w:sz w:val="20"/>
          <w:szCs w:val="20"/>
          <w:color w:val="auto"/>
        </w:rPr>
      </w:pPr>
    </w:p>
    <w:p>
      <w:pPr>
        <w:sectPr>
          <w:pgSz w:w="11900" w:h="16838" w:orient="portrait"/>
          <w:cols w:equalWidth="0" w:num="2">
            <w:col w:w="840" w:space="80"/>
            <w:col w:w="10300"/>
          </w:cols>
          <w:pgMar w:left="320" w:top="820"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Voting</w:t>
            </w:r>
          </w:p>
        </w:tc>
        <w:tc>
          <w:tcPr>
            <w:tcW w:w="2820" w:type="dxa"/>
            <w:vAlign w:val="bottom"/>
            <w:tcBorders>
              <w:top w:val="single" w:sz="8" w:color="auto"/>
            </w:tcBorders>
            <w:shd w:val="clear" w:color="auto" w:fill="F2F2F2"/>
          </w:tcPr>
          <w:p>
            <w:pPr>
              <w:spacing w:after="0"/>
              <w:rPr>
                <w:sz w:val="18"/>
                <w:szCs w:val="18"/>
                <w:color w:val="auto"/>
              </w:rPr>
            </w:pPr>
          </w:p>
        </w:tc>
        <w:tc>
          <w:tcPr>
            <w:tcW w:w="2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Please refer to the</w:t>
            </w:r>
          </w:p>
        </w:tc>
        <w:tc>
          <w:tcPr>
            <w:tcW w:w="2060" w:type="dxa"/>
            <w:vAlign w:val="bottom"/>
            <w:tcBorders>
              <w:top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900" w:type="dxa"/>
            <w:vAlign w:val="bottom"/>
            <w:vMerge w:val="continue"/>
          </w:tcPr>
          <w:p>
            <w:pPr>
              <w:spacing w:after="0"/>
              <w:rPr>
                <w:sz w:val="16"/>
                <w:szCs w:val="16"/>
                <w:color w:val="auto"/>
              </w:rPr>
            </w:pPr>
          </w:p>
        </w:tc>
        <w:tc>
          <w:tcPr>
            <w:tcW w:w="2820" w:type="dxa"/>
            <w:vAlign w:val="bottom"/>
            <w:shd w:val="clear" w:color="auto" w:fill="F2F2F2"/>
          </w:tcPr>
          <w:p>
            <w:pPr>
              <w:ind w:left="20"/>
              <w:spacing w:after="0"/>
              <w:rPr>
                <w:sz w:val="20"/>
                <w:szCs w:val="20"/>
                <w:color w:val="auto"/>
              </w:rPr>
            </w:pPr>
            <w:r>
              <w:rPr>
                <w:rFonts w:ascii="Arial" w:cs="Arial" w:eastAsia="Arial" w:hAnsi="Arial"/>
                <w:sz w:val="16"/>
                <w:szCs w:val="16"/>
                <w:color w:val="auto"/>
              </w:rPr>
              <w:t>11:59 p.m. EDT on April 30, 2023,</w:t>
            </w:r>
          </w:p>
        </w:tc>
        <w:tc>
          <w:tcPr>
            <w:tcW w:w="2060" w:type="dxa"/>
            <w:vAlign w:val="bottom"/>
          </w:tcPr>
          <w:p>
            <w:pPr>
              <w:ind w:left="20"/>
              <w:spacing w:after="0"/>
              <w:rPr>
                <w:sz w:val="20"/>
                <w:szCs w:val="20"/>
                <w:color w:val="auto"/>
              </w:rPr>
            </w:pPr>
            <w:r>
              <w:rPr>
                <w:rFonts w:ascii="Arial" w:cs="Arial" w:eastAsia="Arial" w:hAnsi="Arial"/>
                <w:sz w:val="16"/>
                <w:szCs w:val="16"/>
                <w:color w:val="auto"/>
              </w:rPr>
              <w:t>information</w:t>
            </w:r>
          </w:p>
        </w:tc>
        <w:tc>
          <w:tcPr>
            <w:tcW w:w="2060" w:type="dxa"/>
            <w:vAlign w:val="bottom"/>
            <w:shd w:val="clear" w:color="auto" w:fill="F2F2F2"/>
          </w:tcPr>
          <w:p>
            <w:pPr>
              <w:ind w:left="20"/>
              <w:spacing w:after="0"/>
              <w:rPr>
                <w:sz w:val="20"/>
                <w:szCs w:val="20"/>
                <w:color w:val="auto"/>
              </w:rPr>
            </w:pPr>
            <w:r>
              <w:rPr>
                <w:rFonts w:ascii="Arial" w:cs="Arial" w:eastAsia="Arial" w:hAnsi="Arial"/>
                <w:sz w:val="16"/>
                <w:szCs w:val="16"/>
                <w:color w:val="auto"/>
              </w:rPr>
              <w:t>11:59 p.m. EDT on April 26,</w:t>
            </w:r>
          </w:p>
        </w:tc>
        <w:tc>
          <w:tcPr>
            <w:tcW w:w="0" w:type="dxa"/>
            <w:vAlign w:val="bottom"/>
          </w:tcPr>
          <w:p>
            <w:pPr>
              <w:spacing w:after="0"/>
              <w:rPr>
                <w:sz w:val="1"/>
                <w:szCs w:val="1"/>
                <w:color w:val="auto"/>
              </w:rPr>
            </w:pPr>
          </w:p>
        </w:tc>
      </w:tr>
      <w:tr>
        <w:trPr>
          <w:trHeight w:val="189"/>
        </w:trPr>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Deadline</w:t>
            </w:r>
          </w:p>
        </w:tc>
        <w:tc>
          <w:tcPr>
            <w:tcW w:w="2820" w:type="dxa"/>
            <w:vAlign w:val="bottom"/>
            <w:shd w:val="clear" w:color="auto" w:fill="F2F2F2"/>
          </w:tcPr>
          <w:p>
            <w:pPr>
              <w:ind w:left="20"/>
              <w:spacing w:after="0"/>
              <w:rPr>
                <w:sz w:val="20"/>
                <w:szCs w:val="20"/>
                <w:color w:val="auto"/>
              </w:rPr>
            </w:pPr>
            <w:r>
              <w:rPr>
                <w:rFonts w:ascii="Arial" w:cs="Arial" w:eastAsia="Arial" w:hAnsi="Arial"/>
                <w:sz w:val="16"/>
                <w:szCs w:val="16"/>
                <w:color w:val="auto"/>
              </w:rPr>
              <w:t>unless you are voting at the meeting</w:t>
            </w:r>
          </w:p>
        </w:tc>
        <w:tc>
          <w:tcPr>
            <w:tcW w:w="2060" w:type="dxa"/>
            <w:vAlign w:val="bottom"/>
          </w:tcPr>
          <w:p>
            <w:pPr>
              <w:ind w:left="20"/>
              <w:spacing w:after="0"/>
              <w:rPr>
                <w:sz w:val="20"/>
                <w:szCs w:val="20"/>
                <w:color w:val="auto"/>
              </w:rPr>
            </w:pPr>
            <w:r>
              <w:rPr>
                <w:rFonts w:ascii="Arial" w:cs="Arial" w:eastAsia="Arial" w:hAnsi="Arial"/>
                <w:sz w:val="16"/>
                <w:szCs w:val="16"/>
                <w:color w:val="auto"/>
              </w:rPr>
              <w:t>provided by your broker,</w:t>
            </w:r>
          </w:p>
        </w:tc>
        <w:tc>
          <w:tcPr>
            <w:tcW w:w="2060" w:type="dxa"/>
            <w:vAlign w:val="bottom"/>
            <w:shd w:val="clear" w:color="auto" w:fill="F2F2F2"/>
          </w:tcPr>
          <w:p>
            <w:pPr>
              <w:ind w:left="2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820" w:type="dxa"/>
            <w:vAlign w:val="bottom"/>
            <w:tcBorders>
              <w:bottom w:val="single" w:sz="8" w:color="F2F2F2"/>
            </w:tcBorders>
            <w:shd w:val="clear" w:color="auto" w:fill="F2F2F2"/>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bank or other nominee</w:t>
            </w:r>
          </w:p>
        </w:tc>
        <w:tc>
          <w:tcPr>
            <w:tcW w:w="20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4984750" cy="15557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4984750" cy="155575"/>
                    </a:xfrm>
                    <a:prstGeom prst="rect">
                      <a:avLst/>
                    </a:prstGeom>
                    <a:noFill/>
                  </pic:spPr>
                </pic:pic>
              </a:graphicData>
            </a:graphic>
          </wp:anchor>
        </w:drawing>
      </w:r>
    </w:p>
    <w:p>
      <w:pPr>
        <w:ind w:left="580"/>
        <w:spacing w:after="0" w:line="233" w:lineRule="auto"/>
        <w:rPr>
          <w:sz w:val="20"/>
          <w:szCs w:val="20"/>
          <w:color w:val="auto"/>
        </w:rPr>
      </w:pPr>
      <w:r>
        <w:rPr>
          <w:rFonts w:ascii="Calibri" w:cs="Calibri" w:eastAsia="Calibri" w:hAnsi="Calibri"/>
          <w:sz w:val="16"/>
          <w:szCs w:val="16"/>
          <w:b w:val="1"/>
          <w:bCs w:val="1"/>
          <w:color w:val="FFFFFF"/>
        </w:rPr>
        <w:t>We encourage you to vote by mail, by telephone, or online even if you plan to atend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4984750" cy="762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4984750" cy="7620"/>
                    </a:xfrm>
                    <a:prstGeom prst="rect">
                      <a:avLst/>
                    </a:prstGeom>
                    <a:noFill/>
                  </pic:spPr>
                </pic:pic>
              </a:graphicData>
            </a:graphic>
          </wp:anchor>
        </w:drawing>
      </w:r>
    </w:p>
    <w:p>
      <w:pPr>
        <w:spacing w:after="0" w:line="292"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b w:val="1"/>
          <w:bCs w:val="1"/>
          <w:color w:val="auto"/>
        </w:rPr>
        <w:t>General</w:t>
      </w:r>
      <w:r>
        <w:rPr>
          <w:rFonts w:ascii="Arial" w:cs="Arial" w:eastAsia="Arial" w:hAnsi="Arial"/>
          <w:sz w:val="15"/>
          <w:szCs w:val="15"/>
          <w:color w:val="auto"/>
        </w:rPr>
        <w:t>: Follow the instructions on your proxy card, voting instruction form or notice. If you received these materials electronically, follow the instructions in the</w:t>
      </w:r>
      <w:r>
        <w:rPr>
          <w:rFonts w:ascii="Arial" w:cs="Arial" w:eastAsia="Arial" w:hAnsi="Arial"/>
          <w:sz w:val="19"/>
          <w:szCs w:val="19"/>
          <w:b w:val="1"/>
          <w:bCs w:val="1"/>
          <w:color w:val="auto"/>
        </w:rPr>
        <w:t xml:space="preserve"> </w:t>
      </w:r>
      <w:r>
        <w:rPr>
          <w:rFonts w:ascii="Arial" w:cs="Arial" w:eastAsia="Arial" w:hAnsi="Arial"/>
          <w:sz w:val="15"/>
          <w:szCs w:val="15"/>
          <w:color w:val="auto"/>
        </w:rPr>
        <w:t>email message that notified you of their availability.</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b w:val="1"/>
          <w:bCs w:val="1"/>
          <w:color w:val="auto"/>
        </w:rPr>
        <w:t xml:space="preserve">Signing your proxy card or voting instruction form: </w:t>
      </w:r>
      <w:r>
        <w:rPr>
          <w:rFonts w:ascii="Arial" w:cs="Arial" w:eastAsia="Arial" w:hAnsi="Arial"/>
          <w:sz w:val="15"/>
          <w:szCs w:val="15"/>
          <w:color w:val="auto"/>
        </w:rPr>
        <w:t>Sign your name exactly as it appears. If you are signing in a representative capacity (for</w:t>
      </w:r>
      <w:r>
        <w:rPr>
          <w:rFonts w:ascii="Arial" w:cs="Arial" w:eastAsia="Arial" w:hAnsi="Arial"/>
          <w:sz w:val="19"/>
          <w:szCs w:val="19"/>
          <w:b w:val="1"/>
          <w:bCs w:val="1"/>
          <w:color w:val="auto"/>
        </w:rPr>
        <w:t xml:space="preserve"> </w:t>
      </w:r>
      <w:r>
        <w:rPr>
          <w:rFonts w:ascii="Arial" w:cs="Arial" w:eastAsia="Arial" w:hAnsi="Arial"/>
          <w:sz w:val="15"/>
          <w:szCs w:val="15"/>
          <w:color w:val="auto"/>
        </w:rPr>
        <w:t>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Deadlines:</w:t>
      </w:r>
    </w:p>
    <w:p>
      <w:pPr>
        <w:spacing w:after="0" w:line="94" w:lineRule="exact"/>
        <w:rPr>
          <w:sz w:val="20"/>
          <w:szCs w:val="20"/>
          <w:color w:val="auto"/>
        </w:rPr>
      </w:pPr>
    </w:p>
    <w:p>
      <w:pPr>
        <w:jc w:val="both"/>
        <w:ind w:left="560" w:hanging="286"/>
        <w:spacing w:after="0" w:line="252" w:lineRule="auto"/>
        <w:tabs>
          <w:tab w:leader="none" w:pos="550" w:val="left"/>
        </w:tabs>
        <w:numPr>
          <w:ilvl w:val="0"/>
          <w:numId w:val="217"/>
        </w:numPr>
        <w:rPr>
          <w:rFonts w:ascii="Arial" w:cs="Arial" w:eastAsia="Arial" w:hAnsi="Arial"/>
          <w:sz w:val="14"/>
          <w:szCs w:val="14"/>
          <w:color w:val="auto"/>
        </w:rPr>
      </w:pPr>
      <w:r>
        <w:rPr>
          <w:rFonts w:ascii="Arial" w:cs="Arial" w:eastAsia="Arial" w:hAnsi="Arial"/>
          <w:sz w:val="16"/>
          <w:szCs w:val="16"/>
          <w:color w:val="auto"/>
        </w:rPr>
        <w:t>Shareholders of record may vote their shares prior to the Annual Meeting until 11:59 p.m. EDT on April 30, 2023, by mail, online, or by telephone. If you are voting by mail, your marked, signed, and dated proxy card must be received by April 30, 2023.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spacing w:after="0" w:line="115" w:lineRule="exact"/>
        <w:rPr>
          <w:rFonts w:ascii="Arial" w:cs="Arial" w:eastAsia="Arial" w:hAnsi="Arial"/>
          <w:sz w:val="14"/>
          <w:szCs w:val="14"/>
          <w:color w:val="auto"/>
        </w:rPr>
      </w:pPr>
    </w:p>
    <w:p>
      <w:pPr>
        <w:ind w:left="560" w:right="220" w:hanging="286"/>
        <w:spacing w:after="0" w:line="271" w:lineRule="auto"/>
        <w:tabs>
          <w:tab w:leader="none" w:pos="550" w:val="left"/>
        </w:tabs>
        <w:numPr>
          <w:ilvl w:val="0"/>
          <w:numId w:val="217"/>
        </w:numPr>
        <w:rPr>
          <w:rFonts w:ascii="Arial" w:cs="Arial" w:eastAsia="Arial" w:hAnsi="Arial"/>
          <w:sz w:val="14"/>
          <w:szCs w:val="14"/>
          <w:color w:val="auto"/>
        </w:rPr>
      </w:pPr>
      <w:r>
        <w:rPr>
          <w:rFonts w:ascii="Arial" w:cs="Arial" w:eastAsia="Arial" w:hAnsi="Arial"/>
          <w:sz w:val="16"/>
          <w:szCs w:val="16"/>
          <w:color w:val="auto"/>
        </w:rPr>
        <w:t>Shareholders who hold their shares in the 401(k) Plan must vote by 11:59 p.m. EDT on April 26, 2023 (mailed ballots must be received by the trustee by this time), so the plan trustee can vote the shares accordingly.</w:t>
      </w:r>
    </w:p>
    <w:p>
      <w:pPr>
        <w:spacing w:after="0" w:line="98" w:lineRule="exact"/>
        <w:rPr>
          <w:rFonts w:ascii="Arial" w:cs="Arial" w:eastAsia="Arial" w:hAnsi="Arial"/>
          <w:sz w:val="14"/>
          <w:szCs w:val="14"/>
          <w:color w:val="auto"/>
        </w:rPr>
      </w:pPr>
    </w:p>
    <w:p>
      <w:pPr>
        <w:ind w:left="560" w:right="300" w:hanging="286"/>
        <w:spacing w:after="0" w:line="271" w:lineRule="auto"/>
        <w:tabs>
          <w:tab w:leader="none" w:pos="550" w:val="left"/>
        </w:tabs>
        <w:numPr>
          <w:ilvl w:val="0"/>
          <w:numId w:val="217"/>
        </w:numPr>
        <w:rPr>
          <w:rFonts w:ascii="Arial" w:cs="Arial" w:eastAsia="Arial" w:hAnsi="Arial"/>
          <w:sz w:val="14"/>
          <w:szCs w:val="14"/>
          <w:color w:val="auto"/>
        </w:rPr>
      </w:pPr>
      <w:r>
        <w:rPr>
          <w:rFonts w:ascii="Arial" w:cs="Arial" w:eastAsia="Arial" w:hAnsi="Arial"/>
          <w:sz w:val="16"/>
          <w:szCs w:val="16"/>
          <w:color w:val="auto"/>
        </w:rPr>
        <w:t>Shareholders whose shares are held by a broker should follow the instructions and deadlines on your proxy card, voter instruction form or notice. If you received these materials electronically, follow the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7176135" cy="4000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type w:val="continuous"/>
        </w:sectPr>
      </w:pPr>
    </w:p>
    <w:bookmarkStart w:id="113" w:name="page114"/>
    <w:bookmarkEnd w:id="113"/>
    <w:p>
      <w:pPr>
        <w:ind w:left="560" w:right="160"/>
        <w:spacing w:after="0" w:line="271" w:lineRule="auto"/>
        <w:rPr>
          <w:sz w:val="20"/>
          <w:szCs w:val="20"/>
          <w:color w:val="auto"/>
        </w:rPr>
      </w:pPr>
      <w:r>
        <w:rPr>
          <w:rFonts w:ascii="Arial" w:cs="Arial" w:eastAsia="Arial" w:hAnsi="Arial"/>
          <w:sz w:val="16"/>
          <w:szCs w:val="16"/>
          <w:color w:val="auto"/>
        </w:rPr>
        <w:t>instructions in the email message that notified you of their availability. You may submit new voting instructions by contacting your broker or other nominee or by voting at the Annual Meeting.</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 xml:space="preserve">Broker Non-Votes: </w:t>
      </w:r>
      <w:r>
        <w:rPr>
          <w:rFonts w:ascii="Arial" w:cs="Arial" w:eastAsia="Arial" w:hAnsi="Arial"/>
          <w:sz w:val="15"/>
          <w:szCs w:val="15"/>
          <w:color w:val="auto"/>
        </w:rPr>
        <w:t>If your shares are held through a broker and you give the broker instructions, your shares will be voted as you direct. If you do not provide</w:t>
      </w:r>
      <w:r>
        <w:rPr>
          <w:rFonts w:ascii="Arial" w:cs="Arial" w:eastAsia="Arial" w:hAnsi="Arial"/>
          <w:sz w:val="19"/>
          <w:szCs w:val="19"/>
          <w:b w:val="1"/>
          <w:bCs w:val="1"/>
          <w:color w:val="auto"/>
        </w:rPr>
        <w:t xml:space="preserve"> </w:t>
      </w:r>
      <w:r>
        <w:rPr>
          <w:rFonts w:ascii="Arial" w:cs="Arial" w:eastAsia="Arial" w:hAnsi="Arial"/>
          <w:sz w:val="15"/>
          <w:szCs w:val="15"/>
          <w:color w:val="auto"/>
        </w:rPr>
        <w:t>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2023. However, the broker will not be able to vote on those matters for which specific authorization is required under NYSE rules, such as to vote on the election of directors, the advisory approval of executive compensation, the advisory approval on frequency of future advisory votes on executive compensation, or the shareholder or management proposals without instructions from you, in which case a broker non-vote will occur, and your shares will not be voted on these matters.</w:t>
      </w:r>
    </w:p>
    <w:p>
      <w:pPr>
        <w:spacing w:after="0" w:line="166" w:lineRule="exact"/>
        <w:rPr>
          <w:sz w:val="20"/>
          <w:szCs w:val="20"/>
          <w:color w:val="auto"/>
        </w:rPr>
      </w:pPr>
    </w:p>
    <w:p>
      <w:pPr>
        <w:jc w:val="both"/>
        <w:ind w:right="60"/>
        <w:spacing w:after="0"/>
        <w:rPr>
          <w:sz w:val="20"/>
          <w:szCs w:val="20"/>
          <w:color w:val="auto"/>
        </w:rPr>
      </w:pPr>
      <w:r>
        <w:rPr>
          <w:rFonts w:ascii="Arial" w:cs="Arial" w:eastAsia="Arial" w:hAnsi="Arial"/>
          <w:sz w:val="19"/>
          <w:szCs w:val="19"/>
          <w:b w:val="1"/>
          <w:bCs w:val="1"/>
          <w:color w:val="auto"/>
        </w:rPr>
        <w:t xml:space="preserve">Additional Voting Information for shares held in the company 401(k) Plan: </w:t>
      </w:r>
      <w:r>
        <w:rPr>
          <w:rFonts w:ascii="Arial" w:cs="Arial" w:eastAsia="Arial" w:hAnsi="Arial"/>
          <w:sz w:val="15"/>
          <w:szCs w:val="15"/>
          <w:color w:val="auto"/>
        </w:rPr>
        <w:t>If you hold shares in the company 401(k) Plan, unless you decline,</w:t>
      </w:r>
      <w:r>
        <w:rPr>
          <w:rFonts w:ascii="Arial" w:cs="Arial" w:eastAsia="Arial" w:hAnsi="Arial"/>
          <w:sz w:val="19"/>
          <w:szCs w:val="19"/>
          <w:b w:val="1"/>
          <w:bCs w:val="1"/>
          <w:color w:val="auto"/>
        </w:rPr>
        <w:t xml:space="preserve"> </w:t>
      </w:r>
      <w:r>
        <w:rPr>
          <w:rFonts w:ascii="Arial" w:cs="Arial" w:eastAsia="Arial" w:hAnsi="Arial"/>
          <w:sz w:val="15"/>
          <w:szCs w:val="15"/>
          <w:color w:val="auto"/>
        </w:rPr>
        <w:t>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110"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98"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If you do not vote by the deadline, your shares will be voted in accordance with instructions received from other plan participants who have elected to have their voting preferences applied proportionally to all shares for which voting instructions are not otherwise received.</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Attending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w:t>
      </w:r>
      <w:r>
        <w:rPr>
          <w:rFonts w:ascii="Arial" w:cs="Arial" w:eastAsia="Arial" w:hAnsi="Arial"/>
          <w:sz w:val="15"/>
          <w:szCs w:val="15"/>
          <w:color w:val="auto"/>
        </w:rPr>
        <w:t>: All shareholders as of close of business on February 21, 2023 are entitled to participate.</w:t>
      </w:r>
    </w:p>
    <w:p>
      <w:pPr>
        <w:spacing w:after="0" w:line="190" w:lineRule="exact"/>
        <w:rPr>
          <w:sz w:val="20"/>
          <w:szCs w:val="20"/>
          <w:color w:val="auto"/>
        </w:rPr>
      </w:pPr>
    </w:p>
    <w:p>
      <w:pPr>
        <w:ind w:right="680"/>
        <w:spacing w:after="0" w:line="232" w:lineRule="auto"/>
        <w:rPr>
          <w:sz w:val="20"/>
          <w:szCs w:val="20"/>
          <w:color w:val="auto"/>
        </w:rPr>
      </w:pPr>
      <w:r>
        <w:rPr>
          <w:rFonts w:ascii="Arial" w:cs="Arial" w:eastAsia="Arial" w:hAnsi="Arial"/>
          <w:sz w:val="19"/>
          <w:szCs w:val="19"/>
          <w:b w:val="1"/>
          <w:bCs w:val="1"/>
          <w:color w:val="auto"/>
        </w:rPr>
        <w:t>When</w:t>
      </w:r>
      <w:r>
        <w:rPr>
          <w:rFonts w:ascii="Arial" w:cs="Arial" w:eastAsia="Arial" w:hAnsi="Arial"/>
          <w:sz w:val="15"/>
          <w:szCs w:val="15"/>
          <w:color w:val="auto"/>
        </w:rPr>
        <w:t>: Monday, May 1, 2023, starting at 8:30 a.m. EDT and ending at or before 9:15 a.m. EDT. Following the formal meeting and after agenda items are</w:t>
      </w:r>
      <w:r>
        <w:rPr>
          <w:rFonts w:ascii="Arial" w:cs="Arial" w:eastAsia="Arial" w:hAnsi="Arial"/>
          <w:sz w:val="19"/>
          <w:szCs w:val="19"/>
          <w:b w:val="1"/>
          <w:bCs w:val="1"/>
          <w:color w:val="auto"/>
        </w:rPr>
        <w:t xml:space="preserve"> </w:t>
      </w:r>
      <w:r>
        <w:rPr>
          <w:rFonts w:ascii="Arial" w:cs="Arial" w:eastAsia="Arial" w:hAnsi="Arial"/>
          <w:sz w:val="15"/>
          <w:szCs w:val="15"/>
          <w:color w:val="auto"/>
        </w:rPr>
        <w:t>addressed there will be an opportunity for shareholder questions.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b w:val="1"/>
          <w:bCs w:val="1"/>
          <w:color w:val="auto"/>
        </w:rPr>
        <w:t>Where</w:t>
      </w:r>
      <w:r>
        <w:rPr>
          <w:rFonts w:ascii="Arial" w:cs="Arial" w:eastAsia="Arial" w:hAnsi="Arial"/>
          <w:sz w:val="15"/>
          <w:szCs w:val="15"/>
          <w:color w:val="auto"/>
        </w:rPr>
        <w:t>: The live webcast of the Annual Meeting can be accessed by shareholders on the day of the meeting at</w:t>
      </w:r>
      <w:r>
        <w:rPr>
          <w:rFonts w:ascii="Arial" w:cs="Arial" w:eastAsia="Arial" w:hAnsi="Arial"/>
          <w:sz w:val="19"/>
          <w:szCs w:val="19"/>
          <w:b w:val="1"/>
          <w:bCs w:val="1"/>
          <w:color w:val="auto"/>
        </w:rPr>
        <w:t xml:space="preserve"> </w:t>
      </w:r>
      <w:r>
        <w:rPr>
          <w:rFonts w:ascii="Arial" w:cs="Arial" w:eastAsia="Arial" w:hAnsi="Arial"/>
          <w:sz w:val="15"/>
          <w:szCs w:val="15"/>
          <w:color w:val="D52B1E"/>
        </w:rPr>
        <w:t>virtualshareholdermeeting.com/LLY2023</w:t>
      </w:r>
      <w:r>
        <w:rPr>
          <w:rFonts w:ascii="Arial" w:cs="Arial" w:eastAsia="Arial" w:hAnsi="Arial"/>
          <w:sz w:val="16"/>
          <w:szCs w:val="16"/>
          <w:color w:val="D52B1E"/>
        </w:rPr>
        <w:t>.</w:t>
      </w:r>
      <w:r>
        <w:rPr>
          <w:rFonts w:ascii="Arial" w:cs="Arial" w:eastAsia="Arial" w:hAnsi="Arial"/>
          <w:sz w:val="19"/>
          <w:szCs w:val="19"/>
          <w:b w:val="1"/>
          <w:bCs w:val="1"/>
          <w:color w:val="auto"/>
        </w:rPr>
        <w:t xml:space="preserve"> </w:t>
      </w:r>
      <w:r>
        <w:rPr>
          <w:rFonts w:ascii="Arial" w:cs="Arial" w:eastAsia="Arial" w:hAnsi="Arial"/>
          <w:sz w:val="15"/>
          <w:szCs w:val="15"/>
          <w:color w:val="auto"/>
        </w:rPr>
        <w:t>To</w:t>
      </w:r>
      <w:r>
        <w:rPr>
          <w:rFonts w:ascii="Arial" w:cs="Arial" w:eastAsia="Arial" w:hAnsi="Arial"/>
          <w:sz w:val="19"/>
          <w:szCs w:val="19"/>
          <w:b w:val="1"/>
          <w:bCs w:val="1"/>
          <w:color w:val="auto"/>
        </w:rPr>
        <w:t xml:space="preserve"> </w:t>
      </w:r>
      <w:r>
        <w:rPr>
          <w:rFonts w:ascii="Arial" w:cs="Arial" w:eastAsia="Arial" w:hAnsi="Arial"/>
          <w:sz w:val="15"/>
          <w:szCs w:val="15"/>
          <w:color w:val="auto"/>
        </w:rPr>
        <w:t xml:space="preserve">attend the Annual Meeting, you will need to log in to </w:t>
      </w:r>
      <w:r>
        <w:rPr>
          <w:rFonts w:ascii="Arial" w:cs="Arial" w:eastAsia="Arial" w:hAnsi="Arial"/>
          <w:sz w:val="15"/>
          <w:szCs w:val="15"/>
          <w:color w:val="D52B1E"/>
        </w:rPr>
        <w:t>virtualshareholdermeeting.com/LLY2023</w:t>
      </w:r>
      <w:r>
        <w:rPr>
          <w:rFonts w:ascii="Arial" w:cs="Arial" w:eastAsia="Arial" w:hAnsi="Arial"/>
          <w:sz w:val="15"/>
          <w:szCs w:val="15"/>
          <w:color w:val="auto"/>
        </w:rPr>
        <w:t xml:space="preserve"> 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108" w:lineRule="exact"/>
        <w:rPr>
          <w:sz w:val="20"/>
          <w:szCs w:val="20"/>
          <w:color w:val="auto"/>
        </w:rPr>
      </w:pPr>
    </w:p>
    <w:p>
      <w:pPr>
        <w:ind w:right="200"/>
        <w:spacing w:after="0" w:line="344" w:lineRule="auto"/>
        <w:rPr>
          <w:sz w:val="20"/>
          <w:szCs w:val="20"/>
          <w:color w:val="auto"/>
        </w:rPr>
      </w:pPr>
      <w:r>
        <w:rPr>
          <w:rFonts w:ascii="Arial" w:cs="Arial" w:eastAsia="Arial" w:hAnsi="Arial"/>
          <w:sz w:val="14"/>
          <w:szCs w:val="14"/>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Asking Questions</w:t>
      </w:r>
      <w:r>
        <w:rPr>
          <w:rFonts w:ascii="Arial" w:cs="Arial" w:eastAsia="Arial" w:hAnsi="Arial"/>
          <w:sz w:val="15"/>
          <w:szCs w:val="15"/>
          <w:color w:val="auto"/>
        </w:rPr>
        <w:t>: To submit questions in advance of the Annual Meeting, visit</w:t>
      </w:r>
      <w:r>
        <w:rPr>
          <w:rFonts w:ascii="Arial" w:cs="Arial" w:eastAsia="Arial" w:hAnsi="Arial"/>
          <w:sz w:val="19"/>
          <w:szCs w:val="19"/>
          <w:b w:val="1"/>
          <w:bCs w:val="1"/>
          <w:color w:val="auto"/>
        </w:rPr>
        <w:t xml:space="preserve"> </w:t>
      </w:r>
      <w:r>
        <w:rPr>
          <w:rFonts w:ascii="Arial" w:cs="Arial" w:eastAsia="Arial" w:hAnsi="Arial"/>
          <w:sz w:val="15"/>
          <w:szCs w:val="15"/>
          <w:color w:val="D52B1E"/>
        </w:rPr>
        <w:t>ProxyVote.com</w:t>
      </w:r>
      <w:r>
        <w:rPr>
          <w:rFonts w:ascii="Arial" w:cs="Arial" w:eastAsia="Arial" w:hAnsi="Arial"/>
          <w:sz w:val="19"/>
          <w:szCs w:val="19"/>
          <w:b w:val="1"/>
          <w:bCs w:val="1"/>
          <w:color w:val="auto"/>
        </w:rPr>
        <w:t xml:space="preserve"> </w:t>
      </w:r>
      <w:r>
        <w:rPr>
          <w:rFonts w:ascii="Arial" w:cs="Arial" w:eastAsia="Arial" w:hAnsi="Arial"/>
          <w:sz w:val="15"/>
          <w:szCs w:val="15"/>
          <w:color w:val="auto"/>
        </w:rPr>
        <w:t>before May 1, 2023, and enter your 16-digit control number.</w:t>
      </w:r>
      <w:r>
        <w:rPr>
          <w:rFonts w:ascii="Arial" w:cs="Arial" w:eastAsia="Arial" w:hAnsi="Arial"/>
          <w:sz w:val="19"/>
          <w:szCs w:val="19"/>
          <w:b w:val="1"/>
          <w:bCs w:val="1"/>
          <w:color w:val="auto"/>
        </w:rPr>
        <w:t xml:space="preserve"> </w:t>
      </w:r>
      <w:r>
        <w:rPr>
          <w:rFonts w:ascii="Arial" w:cs="Arial" w:eastAsia="Arial" w:hAnsi="Arial"/>
          <w:sz w:val="15"/>
          <w:szCs w:val="15"/>
          <w:color w:val="auto"/>
        </w:rPr>
        <w:t xml:space="preserve">During the meeting, if you wish to submit a question, log into the virtual meeting website at </w:t>
      </w:r>
      <w:r>
        <w:rPr>
          <w:rFonts w:ascii="Arial" w:cs="Arial" w:eastAsia="Arial" w:hAnsi="Arial"/>
          <w:sz w:val="15"/>
          <w:szCs w:val="15"/>
          <w:color w:val="D52B1E"/>
        </w:rPr>
        <w:t>virtualshareholdermeeting.com/LLY2023</w:t>
      </w:r>
      <w:r>
        <w:rPr>
          <w:rFonts w:ascii="Arial" w:cs="Arial" w:eastAsia="Arial" w:hAnsi="Arial"/>
          <w:sz w:val="15"/>
          <w:szCs w:val="15"/>
          <w:color w:val="auto"/>
        </w:rPr>
        <w:t>, click on “Q&amp;A,” type your question into the “Submit a Question” field, and click “Submit.” In order to provide an opportunity to as many shareholders as possible who wish to ask a question, each shareholder will be limited to one question. Shareholders may ask a second question if all other shareholders have had an opportunity to ask a question and if time allows. We will endeavor to answer as many questions submitted by shareholders as time permits. We reserve the right to edit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14" w:name="page115"/>
    <w:bookmarkEnd w:id="114"/>
    <w:p>
      <w:pPr>
        <w:ind w:right="200"/>
        <w:spacing w:after="0" w:line="252" w:lineRule="auto"/>
        <w:rPr>
          <w:sz w:val="20"/>
          <w:szCs w:val="20"/>
          <w:color w:val="auto"/>
        </w:rPr>
      </w:pPr>
      <w:r>
        <w:rPr>
          <w:rFonts w:ascii="Arial" w:cs="Arial" w:eastAsia="Arial" w:hAnsi="Arial"/>
          <w:sz w:val="16"/>
          <w:szCs w:val="16"/>
          <w:color w:val="auto"/>
        </w:rPr>
        <w:t>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not have time to respond to by the 9:15 a.m. EDT end time will be posted to our website following the meeting. Questions regarding topics that are not pertinent to meeting matters or company business will not be answered.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Technical Assistance</w:t>
      </w:r>
      <w:r>
        <w:rPr>
          <w:rFonts w:ascii="Arial" w:cs="Arial" w:eastAsia="Arial" w:hAnsi="Arial"/>
          <w:sz w:val="16"/>
          <w:szCs w:val="16"/>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5"/>
          <w:szCs w:val="15"/>
          <w:color w:val="auto"/>
        </w:rPr>
        <w:t>Support staff will be available on the meeting day should you experience any technical difficulties in accessing the virtual meeting.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Instructions for requesting technical assistance will be available at </w:t>
      </w:r>
      <w:r>
        <w:rPr>
          <w:rFonts w:ascii="Arial" w:cs="Arial" w:eastAsia="Arial" w:hAnsi="Arial"/>
          <w:sz w:val="16"/>
          <w:szCs w:val="16"/>
          <w:color w:val="D52B1E"/>
        </w:rPr>
        <w:t>virtualshareholdermeeting.com/LLY2023.</w:t>
      </w: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D52B1E"/>
        </w:rPr>
        <w:t>Other Matters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Notice and Access</w:t>
      </w:r>
    </w:p>
    <w:p>
      <w:pPr>
        <w:spacing w:after="0" w:line="5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We distribute proxy materials to many shareholders via the internet under the SEC’s “Notice and Access” rules to reduce production and mailing costs and to help preserve environmental resources. Using this method of distribution, on or about March 17, 2023,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4"/>
          <w:szCs w:val="14"/>
          <w:color w:val="D52B1E"/>
        </w:rPr>
        <w:t>ProxyVote.com</w:t>
      </w:r>
      <w:r>
        <w:rPr>
          <w:rFonts w:ascii="Arial" w:cs="Arial" w:eastAsia="Arial" w:hAnsi="Arial"/>
          <w:sz w:val="14"/>
          <w:szCs w:val="14"/>
          <w:color w:val="auto"/>
        </w:rPr>
        <w:t>) has instructions for voting by phone.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Householding</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Other Information Regarding the Company’s Proxy Solicitation</w:t>
      </w:r>
    </w:p>
    <w:p>
      <w:pPr>
        <w:spacing w:after="0" w:line="5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Corporate Governance Materials</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 xml:space="preserve">The company’s main corporate website address is </w:t>
      </w:r>
      <w:r>
        <w:rPr>
          <w:rFonts w:ascii="Arial" w:cs="Arial" w:eastAsia="Arial" w:hAnsi="Arial"/>
          <w:sz w:val="14"/>
          <w:szCs w:val="14"/>
          <w:color w:val="D52B1E"/>
        </w:rPr>
        <w:t>lilly.com</w:t>
      </w:r>
      <w:r>
        <w:rPr>
          <w:rFonts w:ascii="Arial" w:cs="Arial" w:eastAsia="Arial" w:hAnsi="Arial"/>
          <w:sz w:val="14"/>
          <w:szCs w:val="14"/>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4"/>
          <w:szCs w:val="14"/>
          <w:color w:val="D52B1E"/>
        </w:rPr>
        <w:t>investor.lilly.com/sec.cfm</w:t>
      </w:r>
      <w:r>
        <w:rPr>
          <w:rFonts w:ascii="Arial" w:cs="Arial" w:eastAsia="Arial" w:hAnsi="Arial"/>
          <w:sz w:val="14"/>
          <w:szCs w:val="14"/>
          <w:color w:val="auto"/>
        </w:rPr>
        <w:t xml:space="preserve">. This proxy statement and the annual report to shareholders are also available at </w:t>
      </w:r>
      <w:r>
        <w:rPr>
          <w:rFonts w:ascii="Arial" w:cs="Arial" w:eastAsia="Arial" w:hAnsi="Arial"/>
          <w:sz w:val="14"/>
          <w:szCs w:val="14"/>
          <w:color w:val="D52B1E"/>
        </w:rPr>
        <w:t>ProxyVote.com</w:t>
      </w:r>
      <w:r>
        <w:rPr>
          <w:rFonts w:ascii="Arial" w:cs="Arial" w:eastAsia="Arial" w:hAnsi="Arial"/>
          <w:sz w:val="14"/>
          <w:szCs w:val="14"/>
          <w:color w:val="auto"/>
        </w:rPr>
        <w:t xml:space="preserve"> as well as on our website at </w:t>
      </w:r>
      <w:r>
        <w:rPr>
          <w:rFonts w:ascii="Arial" w:cs="Arial" w:eastAsia="Arial" w:hAnsi="Arial"/>
          <w:sz w:val="14"/>
          <w:szCs w:val="14"/>
          <w:color w:val="D52B1E"/>
        </w:rPr>
        <w:t>lilly.com/policies-reports/annual-report</w:t>
      </w:r>
      <w:r>
        <w:rPr>
          <w:rFonts w:ascii="Arial" w:cs="Arial" w:eastAsia="Arial" w:hAnsi="Arial"/>
          <w:sz w:val="14"/>
          <w:szCs w:val="14"/>
          <w:color w:val="auto"/>
        </w:rPr>
        <w:t xml:space="preserve">, and the articles of incorporation, bylaws, and all committee charters are available online at </w:t>
      </w:r>
      <w:r>
        <w:rPr>
          <w:rFonts w:ascii="Arial" w:cs="Arial" w:eastAsia="Arial" w:hAnsi="Arial"/>
          <w:sz w:val="14"/>
          <w:szCs w:val="14"/>
          <w:color w:val="D52B1E"/>
        </w:rPr>
        <w:t>lilly.com/leadership/governance</w:t>
      </w:r>
      <w:r>
        <w:rPr>
          <w:rFonts w:ascii="Arial" w:cs="Arial" w:eastAsia="Arial" w:hAnsi="Arial"/>
          <w:sz w:val="14"/>
          <w:szCs w:val="14"/>
          <w:color w:val="000000"/>
        </w:rPr>
        <w:t>. Certain documents and information referenced in this proxy statement are available on our website. However, except as otherwise</w:t>
      </w:r>
      <w:r>
        <w:rPr>
          <w:rFonts w:ascii="Arial" w:cs="Arial" w:eastAsia="Arial" w:hAnsi="Arial"/>
          <w:sz w:val="14"/>
          <w:szCs w:val="14"/>
          <w:color w:val="D52B1E"/>
        </w:rPr>
        <w:t xml:space="preserve"> </w:t>
      </w:r>
      <w:r>
        <w:rPr>
          <w:rFonts w:ascii="Arial" w:cs="Arial" w:eastAsia="Arial" w:hAnsi="Arial"/>
          <w:sz w:val="14"/>
          <w:szCs w:val="14"/>
          <w:color w:val="000000"/>
        </w:rPr>
        <w:t>expressly provided in this proxy statement, we are not including the information contained on our website, or any information that may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wp:posOffset>
            </wp:positionV>
            <wp:extent cx="7176135" cy="4000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be accessed by links on our website, as part of, or incorporating it by reference into,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Anat Hakim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and Secretary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D52B1E"/>
        </w:rPr>
        <w:t>Voluntary 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-38735</wp:posOffset>
            </wp:positionV>
            <wp:extent cx="4873625" cy="23069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4873625" cy="2306955"/>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sect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A1DE"/>
        </w:rPr>
        <w:t>Help us Reduce Environmental Waste</w:t>
      </w:r>
    </w:p>
    <w:p>
      <w:pPr>
        <w:spacing w:after="0" w:line="145" w:lineRule="exact"/>
        <w:rPr>
          <w:sz w:val="20"/>
          <w:szCs w:val="20"/>
          <w:color w:val="auto"/>
        </w:rPr>
      </w:pPr>
    </w:p>
    <w:p>
      <w:pPr>
        <w:ind w:left="380" w:right="120"/>
        <w:spacing w:after="0" w:line="300" w:lineRule="auto"/>
        <w:rPr>
          <w:sz w:val="20"/>
          <w:szCs w:val="20"/>
          <w:color w:val="auto"/>
        </w:rPr>
      </w:pPr>
      <w:r>
        <w:rPr>
          <w:rFonts w:ascii="Arial" w:cs="Arial" w:eastAsia="Arial" w:hAnsi="Arial"/>
          <w:sz w:val="14"/>
          <w:szCs w:val="14"/>
          <w:color w:val="auto"/>
        </w:rPr>
        <w:t>We encourage shareholders to voluntarily elect to receive future proxy materials and annual reports electronically to help contribute to our sustainability efforts.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benefits include:</w:t>
      </w:r>
    </w:p>
    <w:p>
      <w:pPr>
        <w:spacing w:after="0" w:line="143" w:lineRule="exact"/>
        <w:rPr>
          <w:sz w:val="20"/>
          <w:szCs w:val="20"/>
          <w:color w:val="auto"/>
        </w:rPr>
      </w:pPr>
    </w:p>
    <w:p>
      <w:pPr>
        <w:ind w:left="880" w:right="100" w:hanging="287"/>
        <w:spacing w:after="0" w:line="344" w:lineRule="auto"/>
        <w:tabs>
          <w:tab w:leader="none" w:pos="871" w:val="left"/>
        </w:tabs>
        <w:numPr>
          <w:ilvl w:val="0"/>
          <w:numId w:val="218"/>
        </w:numPr>
        <w:rPr>
          <w:rFonts w:ascii="Arial" w:cs="Arial" w:eastAsia="Arial" w:hAnsi="Arial"/>
          <w:sz w:val="13"/>
          <w:szCs w:val="13"/>
          <w:color w:val="auto"/>
        </w:rPr>
      </w:pPr>
      <w:r>
        <w:rPr>
          <w:rFonts w:ascii="Arial" w:cs="Arial" w:eastAsia="Arial" w:hAnsi="Arial"/>
          <w:sz w:val="14"/>
          <w:szCs w:val="14"/>
          <w:color w:val="auto"/>
        </w:rPr>
        <w:t>you receive immediate and convenient access to the materials,</w:t>
      </w:r>
    </w:p>
    <w:p>
      <w:pPr>
        <w:spacing w:after="0" w:line="52" w:lineRule="exact"/>
        <w:rPr>
          <w:rFonts w:ascii="Arial" w:cs="Arial" w:eastAsia="Arial" w:hAnsi="Arial"/>
          <w:sz w:val="13"/>
          <w:szCs w:val="13"/>
          <w:color w:val="auto"/>
        </w:rPr>
      </w:pPr>
    </w:p>
    <w:p>
      <w:pPr>
        <w:ind w:left="880" w:right="140" w:hanging="287"/>
        <w:spacing w:after="0" w:line="271" w:lineRule="auto"/>
        <w:tabs>
          <w:tab w:leader="none" w:pos="871" w:val="left"/>
        </w:tabs>
        <w:numPr>
          <w:ilvl w:val="0"/>
          <w:numId w:val="218"/>
        </w:numPr>
        <w:rPr>
          <w:rFonts w:ascii="Arial" w:cs="Arial" w:eastAsia="Arial" w:hAnsi="Arial"/>
          <w:sz w:val="14"/>
          <w:szCs w:val="14"/>
          <w:color w:val="auto"/>
        </w:rPr>
      </w:pPr>
      <w:r>
        <w:rPr>
          <w:rFonts w:ascii="Arial" w:cs="Arial" w:eastAsia="Arial" w:hAnsi="Arial"/>
          <w:sz w:val="16"/>
          <w:szCs w:val="16"/>
          <w:color w:val="auto"/>
        </w:rPr>
        <w:t>you can help reduce our impact on the environment, and</w:t>
      </w:r>
    </w:p>
    <w:p>
      <w:pPr>
        <w:spacing w:after="0" w:line="98" w:lineRule="exact"/>
        <w:rPr>
          <w:rFonts w:ascii="Arial" w:cs="Arial" w:eastAsia="Arial" w:hAnsi="Arial"/>
          <w:sz w:val="14"/>
          <w:szCs w:val="14"/>
          <w:color w:val="auto"/>
        </w:rPr>
      </w:pPr>
    </w:p>
    <w:p>
      <w:pPr>
        <w:ind w:left="880" w:hanging="287"/>
        <w:spacing w:after="0" w:line="271" w:lineRule="auto"/>
        <w:tabs>
          <w:tab w:leader="none" w:pos="871" w:val="left"/>
        </w:tabs>
        <w:numPr>
          <w:ilvl w:val="0"/>
          <w:numId w:val="218"/>
        </w:numPr>
        <w:rPr>
          <w:rFonts w:ascii="Arial" w:cs="Arial" w:eastAsia="Arial" w:hAnsi="Arial"/>
          <w:sz w:val="14"/>
          <w:szCs w:val="14"/>
          <w:color w:val="auto"/>
        </w:rPr>
      </w:pPr>
      <w:r>
        <w:rPr>
          <w:rFonts w:ascii="Arial" w:cs="Arial" w:eastAsia="Arial" w:hAnsi="Arial"/>
          <w:sz w:val="16"/>
          <w:szCs w:val="16"/>
          <w:color w:val="auto"/>
        </w:rPr>
        <w:t>you can help reduce our printing and mailing costs.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1340" w:type="dxa"/>
            <w:vAlign w:val="bottom"/>
            <w:shd w:val="clear" w:color="auto" w:fill="DBDBDB"/>
          </w:tcPr>
          <w:p>
            <w:pPr>
              <w:spacing w:after="0"/>
              <w:rPr>
                <w:sz w:val="24"/>
                <w:szCs w:val="24"/>
                <w:color w:val="auto"/>
              </w:rPr>
            </w:pPr>
          </w:p>
        </w:tc>
        <w:tc>
          <w:tcPr>
            <w:tcW w:w="2580" w:type="dxa"/>
            <w:vAlign w:val="bottom"/>
            <w:shd w:val="clear" w:color="auto" w:fill="DBDBDB"/>
          </w:tcPr>
          <w:p>
            <w:pPr>
              <w:ind w:left="120"/>
              <w:spacing w:after="0"/>
              <w:rPr>
                <w:sz w:val="20"/>
                <w:szCs w:val="20"/>
                <w:color w:val="auto"/>
              </w:rPr>
            </w:pPr>
            <w:r>
              <w:rPr>
                <w:rFonts w:ascii="Arial" w:cs="Arial" w:eastAsia="Arial" w:hAnsi="Arial"/>
                <w:sz w:val="16"/>
                <w:szCs w:val="16"/>
                <w:b w:val="1"/>
                <w:bCs w:val="1"/>
                <w:color w:val="auto"/>
              </w:rPr>
              <w:t>How to Enroll</w:t>
            </w:r>
          </w:p>
        </w:tc>
      </w:tr>
      <w:tr>
        <w:trPr>
          <w:trHeight w:val="484"/>
        </w:trPr>
        <w:tc>
          <w:tcPr>
            <w:tcW w:w="3920" w:type="dxa"/>
            <w:vAlign w:val="bottom"/>
            <w:tcBorders>
              <w:bottom w:val="single" w:sz="8" w:color="DBDBDB"/>
            </w:tcBorders>
            <w:gridSpan w:val="2"/>
            <w:shd w:val="clear" w:color="auto" w:fill="DBDBDB"/>
          </w:tcPr>
          <w:p>
            <w:pPr>
              <w:ind w:left="160"/>
              <w:spacing w:after="0"/>
              <w:rPr>
                <w:sz w:val="20"/>
                <w:szCs w:val="20"/>
                <w:color w:val="auto"/>
              </w:rPr>
            </w:pPr>
            <w:r>
              <w:rPr>
                <w:rFonts w:ascii="Arial" w:cs="Arial" w:eastAsia="Arial" w:hAnsi="Arial"/>
                <w:sz w:val="16"/>
                <w:szCs w:val="16"/>
                <w:color w:val="auto"/>
              </w:rPr>
              <w:t>Shareholders of Record</w:t>
            </w:r>
          </w:p>
        </w:tc>
      </w:tr>
      <w:tr>
        <w:trPr>
          <w:trHeight w:val="187"/>
        </w:trPr>
        <w:tc>
          <w:tcPr>
            <w:tcW w:w="1340" w:type="dxa"/>
            <w:vAlign w:val="bottom"/>
            <w:tcBorders>
              <w:top w:val="single" w:sz="8" w:color="6D6D6D"/>
            </w:tcBorders>
            <w:shd w:val="clear" w:color="auto" w:fill="DBDBDB"/>
          </w:tcPr>
          <w:p>
            <w:pPr>
              <w:jc w:val="right"/>
              <w:ind w:right="162"/>
              <w:spacing w:after="0"/>
              <w:rPr>
                <w:sz w:val="20"/>
                <w:szCs w:val="20"/>
                <w:color w:val="auto"/>
              </w:rPr>
            </w:pPr>
            <w:r>
              <w:rPr>
                <w:rFonts w:ascii="Arial" w:cs="Arial" w:eastAsia="Arial" w:hAnsi="Arial"/>
                <w:sz w:val="16"/>
                <w:szCs w:val="16"/>
                <w:color w:val="auto"/>
              </w:rPr>
              <w:t>Internet</w:t>
            </w:r>
          </w:p>
        </w:tc>
        <w:tc>
          <w:tcPr>
            <w:tcW w:w="2580" w:type="dxa"/>
            <w:vAlign w:val="bottom"/>
            <w:tcBorders>
              <w:top w:val="single" w:sz="8" w:color="6D6D6D"/>
            </w:tcBorders>
            <w:shd w:val="clear" w:color="auto" w:fill="DBDBDB"/>
          </w:tcPr>
          <w:p>
            <w:pPr>
              <w:ind w:left="20"/>
              <w:spacing w:after="0"/>
              <w:rPr>
                <w:sz w:val="20"/>
                <w:szCs w:val="20"/>
                <w:color w:val="auto"/>
              </w:rPr>
            </w:pPr>
            <w:r>
              <w:rPr>
                <w:rFonts w:ascii="Arial" w:cs="Arial" w:eastAsia="Arial" w:hAnsi="Arial"/>
                <w:sz w:val="16"/>
                <w:szCs w:val="16"/>
                <w:color w:val="auto"/>
              </w:rPr>
              <w:t>www.proxyvote.com under the</w:t>
            </w:r>
          </w:p>
        </w:tc>
      </w:tr>
      <w:tr>
        <w:trPr>
          <w:trHeight w:val="230"/>
        </w:trPr>
        <w:tc>
          <w:tcPr>
            <w:tcW w:w="1340" w:type="dxa"/>
            <w:vAlign w:val="bottom"/>
            <w:tcBorders>
              <w:bottom w:val="single" w:sz="8" w:color="DBDBDB"/>
            </w:tcBorders>
            <w:shd w:val="clear" w:color="auto" w:fill="DBDBDB"/>
          </w:tcPr>
          <w:p>
            <w:pPr>
              <w:spacing w:after="0"/>
              <w:rPr>
                <w:sz w:val="19"/>
                <w:szCs w:val="19"/>
                <w:color w:val="auto"/>
              </w:rPr>
            </w:pPr>
          </w:p>
        </w:tc>
        <w:tc>
          <w:tcPr>
            <w:tcW w:w="2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“Delivery Settings” tab</w:t>
            </w:r>
          </w:p>
        </w:tc>
      </w:tr>
      <w:tr>
        <w:trPr>
          <w:trHeight w:val="199"/>
        </w:trPr>
        <w:tc>
          <w:tcPr>
            <w:tcW w:w="1340" w:type="dxa"/>
            <w:vAlign w:val="bottom"/>
            <w:tcBorders>
              <w:top w:val="single" w:sz="8" w:color="B6B6B6"/>
            </w:tcBorders>
            <w:shd w:val="clear" w:color="auto" w:fill="DBDBDB"/>
          </w:tcPr>
          <w:p>
            <w:pPr>
              <w:jc w:val="right"/>
              <w:ind w:right="162"/>
              <w:spacing w:after="0"/>
              <w:rPr>
                <w:sz w:val="20"/>
                <w:szCs w:val="20"/>
                <w:color w:val="auto"/>
              </w:rPr>
            </w:pPr>
            <w:r>
              <w:rPr>
                <w:rFonts w:ascii="Arial" w:cs="Arial" w:eastAsia="Arial" w:hAnsi="Arial"/>
                <w:sz w:val="16"/>
                <w:szCs w:val="16"/>
                <w:color w:val="auto"/>
              </w:rPr>
              <w:t>Telephone</w:t>
            </w:r>
          </w:p>
        </w:tc>
        <w:tc>
          <w:tcPr>
            <w:tcW w:w="25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6"/>
                <w:szCs w:val="16"/>
                <w:color w:val="auto"/>
              </w:rPr>
              <w:t>1-800-690-6903 and follow the</w:t>
            </w:r>
          </w:p>
        </w:tc>
      </w:tr>
      <w:tr>
        <w:trPr>
          <w:trHeight w:val="242"/>
        </w:trPr>
        <w:tc>
          <w:tcPr>
            <w:tcW w:w="1340" w:type="dxa"/>
            <w:vAlign w:val="bottom"/>
            <w:tcBorders>
              <w:bottom w:val="single" w:sz="8" w:color="DBDBDB"/>
            </w:tcBorders>
            <w:shd w:val="clear" w:color="auto" w:fill="DBDBDB"/>
          </w:tcPr>
          <w:p>
            <w:pPr>
              <w:spacing w:after="0"/>
              <w:rPr>
                <w:sz w:val="20"/>
                <w:szCs w:val="20"/>
                <w:color w:val="auto"/>
              </w:rPr>
            </w:pPr>
          </w:p>
        </w:tc>
        <w:tc>
          <w:tcPr>
            <w:tcW w:w="2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instructions provided</w:t>
            </w:r>
          </w:p>
        </w:tc>
      </w:tr>
      <w:tr>
        <w:trPr>
          <w:trHeight w:val="187"/>
        </w:trPr>
        <w:tc>
          <w:tcPr>
            <w:tcW w:w="1340" w:type="dxa"/>
            <w:vAlign w:val="bottom"/>
            <w:tcBorders>
              <w:top w:val="single" w:sz="8" w:color="B6B6B6"/>
            </w:tcBorders>
            <w:shd w:val="clear" w:color="auto" w:fill="DBDBDB"/>
          </w:tcPr>
          <w:p>
            <w:pPr>
              <w:jc w:val="right"/>
              <w:ind w:right="162"/>
              <w:spacing w:after="0"/>
              <w:rPr>
                <w:sz w:val="20"/>
                <w:szCs w:val="20"/>
                <w:color w:val="auto"/>
              </w:rPr>
            </w:pPr>
            <w:r>
              <w:rPr>
                <w:rFonts w:ascii="Arial" w:cs="Arial" w:eastAsia="Arial" w:hAnsi="Arial"/>
                <w:sz w:val="16"/>
                <w:szCs w:val="16"/>
                <w:color w:val="auto"/>
              </w:rPr>
              <w:t>Email</w:t>
            </w:r>
          </w:p>
        </w:tc>
        <w:tc>
          <w:tcPr>
            <w:tcW w:w="25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6"/>
                <w:szCs w:val="16"/>
                <w:color w:val="auto"/>
                <w:w w:val="98"/>
              </w:rPr>
              <w:t>Send a blank email with your control</w:t>
            </w:r>
          </w:p>
        </w:tc>
      </w:tr>
      <w:tr>
        <w:trPr>
          <w:trHeight w:val="187"/>
        </w:trPr>
        <w:tc>
          <w:tcPr>
            <w:tcW w:w="1340" w:type="dxa"/>
            <w:vAlign w:val="bottom"/>
            <w:shd w:val="clear" w:color="auto" w:fill="DBDBDB"/>
          </w:tcPr>
          <w:p>
            <w:pPr>
              <w:spacing w:after="0"/>
              <w:rPr>
                <w:sz w:val="16"/>
                <w:szCs w:val="16"/>
                <w:color w:val="auto"/>
              </w:rPr>
            </w:pPr>
          </w:p>
        </w:tc>
        <w:tc>
          <w:tcPr>
            <w:tcW w:w="2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number in the subject line to:</w:t>
            </w:r>
          </w:p>
        </w:tc>
      </w:tr>
      <w:tr>
        <w:trPr>
          <w:trHeight w:val="205"/>
        </w:trPr>
        <w:tc>
          <w:tcPr>
            <w:tcW w:w="1340" w:type="dxa"/>
            <w:vAlign w:val="bottom"/>
            <w:shd w:val="clear" w:color="auto" w:fill="DBDBDB"/>
          </w:tcPr>
          <w:p>
            <w:pPr>
              <w:spacing w:after="0"/>
              <w:rPr>
                <w:sz w:val="17"/>
                <w:szCs w:val="17"/>
                <w:color w:val="auto"/>
              </w:rPr>
            </w:pPr>
          </w:p>
        </w:tc>
        <w:tc>
          <w:tcPr>
            <w:tcW w:w="2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sendmaterial@proxyvote.com</w:t>
            </w:r>
          </w:p>
        </w:tc>
      </w:tr>
      <w:tr>
        <w:trPr>
          <w:trHeight w:val="305"/>
        </w:trPr>
        <w:tc>
          <w:tcPr>
            <w:tcW w:w="3920" w:type="dxa"/>
            <w:vAlign w:val="bottom"/>
            <w:tcBorders>
              <w:bottom w:val="single" w:sz="8" w:color="DBDBDB"/>
            </w:tcBorders>
            <w:gridSpan w:val="2"/>
            <w:shd w:val="clear" w:color="auto" w:fill="DBDBDB"/>
          </w:tcPr>
          <w:p>
            <w:pPr>
              <w:ind w:left="160"/>
              <w:spacing w:after="0"/>
              <w:rPr>
                <w:sz w:val="20"/>
                <w:szCs w:val="20"/>
                <w:color w:val="auto"/>
              </w:rPr>
            </w:pPr>
            <w:r>
              <w:rPr>
                <w:rFonts w:ascii="Arial" w:cs="Arial" w:eastAsia="Arial" w:hAnsi="Arial"/>
                <w:sz w:val="16"/>
                <w:szCs w:val="16"/>
                <w:color w:val="auto"/>
              </w:rPr>
              <w:t>Shares Held by Broker</w:t>
            </w:r>
          </w:p>
        </w:tc>
      </w:tr>
      <w:tr>
        <w:trPr>
          <w:trHeight w:val="187"/>
        </w:trPr>
        <w:tc>
          <w:tcPr>
            <w:tcW w:w="1340" w:type="dxa"/>
            <w:vAlign w:val="bottom"/>
            <w:tcBorders>
              <w:top w:val="single" w:sz="8" w:color="6D6D6D"/>
            </w:tcBorders>
            <w:shd w:val="clear" w:color="auto" w:fill="DBDBDB"/>
          </w:tcPr>
          <w:p>
            <w:pPr>
              <w:jc w:val="right"/>
              <w:ind w:right="142"/>
              <w:spacing w:after="0"/>
              <w:rPr>
                <w:sz w:val="20"/>
                <w:szCs w:val="20"/>
                <w:color w:val="auto"/>
              </w:rPr>
            </w:pPr>
            <w:r>
              <w:rPr>
                <w:rFonts w:ascii="Arial" w:cs="Arial" w:eastAsia="Arial" w:hAnsi="Arial"/>
                <w:sz w:val="16"/>
                <w:szCs w:val="16"/>
                <w:color w:val="auto"/>
              </w:rPr>
              <w:t>Contact</w:t>
            </w:r>
          </w:p>
        </w:tc>
        <w:tc>
          <w:tcPr>
            <w:tcW w:w="2580" w:type="dxa"/>
            <w:vAlign w:val="bottom"/>
            <w:tcBorders>
              <w:top w:val="single" w:sz="8" w:color="6D6D6D"/>
            </w:tcBorders>
            <w:shd w:val="clear" w:color="auto" w:fill="DBDBDB"/>
          </w:tcPr>
          <w:p>
            <w:pPr>
              <w:ind w:left="160"/>
              <w:spacing w:after="0"/>
              <w:rPr>
                <w:sz w:val="20"/>
                <w:szCs w:val="20"/>
                <w:color w:val="auto"/>
              </w:rPr>
            </w:pPr>
            <w:r>
              <w:rPr>
                <w:rFonts w:ascii="Arial" w:cs="Arial" w:eastAsia="Arial" w:hAnsi="Arial"/>
                <w:sz w:val="16"/>
                <w:szCs w:val="16"/>
                <w:color w:val="auto"/>
                <w:w w:val="98"/>
              </w:rPr>
              <w:t>Contact your bank, broker or other</w:t>
            </w:r>
          </w:p>
        </w:tc>
      </w:tr>
      <w:tr>
        <w:trPr>
          <w:trHeight w:val="205"/>
        </w:trPr>
        <w:tc>
          <w:tcPr>
            <w:tcW w:w="1340" w:type="dxa"/>
            <w:vAlign w:val="bottom"/>
            <w:shd w:val="clear" w:color="auto" w:fill="DBDBDB"/>
          </w:tcPr>
          <w:p>
            <w:pPr>
              <w:spacing w:after="0"/>
              <w:rPr>
                <w:sz w:val="17"/>
                <w:szCs w:val="17"/>
                <w:color w:val="auto"/>
              </w:rPr>
            </w:pPr>
          </w:p>
        </w:tc>
        <w:tc>
          <w:tcPr>
            <w:tcW w:w="2580" w:type="dxa"/>
            <w:vAlign w:val="bottom"/>
            <w:shd w:val="clear" w:color="auto" w:fill="DBDBDB"/>
          </w:tcPr>
          <w:p>
            <w:pPr>
              <w:ind w:left="160"/>
              <w:spacing w:after="0"/>
              <w:rPr>
                <w:sz w:val="20"/>
                <w:szCs w:val="20"/>
                <w:color w:val="auto"/>
              </w:rPr>
            </w:pPr>
            <w:r>
              <w:rPr>
                <w:rFonts w:ascii="Arial" w:cs="Arial" w:eastAsia="Arial" w:hAnsi="Arial"/>
                <w:sz w:val="16"/>
                <w:szCs w:val="16"/>
                <w:color w:val="auto"/>
              </w:rPr>
              <w:t>nominee</w:t>
            </w:r>
          </w:p>
        </w:tc>
      </w:tr>
      <w:tr>
        <w:trPr>
          <w:trHeight w:val="277"/>
        </w:trPr>
        <w:tc>
          <w:tcPr>
            <w:tcW w:w="1340" w:type="dxa"/>
            <w:vAlign w:val="bottom"/>
            <w:shd w:val="clear" w:color="auto" w:fill="DBDBDB"/>
          </w:tcPr>
          <w:p>
            <w:pPr>
              <w:spacing w:after="0"/>
              <w:rPr>
                <w:sz w:val="24"/>
                <w:szCs w:val="24"/>
                <w:color w:val="auto"/>
              </w:rPr>
            </w:pPr>
          </w:p>
        </w:tc>
        <w:tc>
          <w:tcPr>
            <w:tcW w:w="2580" w:type="dxa"/>
            <w:vAlign w:val="bottom"/>
            <w:shd w:val="clear" w:color="auto" w:fill="DBDBDB"/>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400" w:space="200"/>
            <w:col w:w="6539"/>
          </w:cols>
          <w:pgMar w:left="320" w:top="6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85725</wp:posOffset>
            </wp:positionV>
            <wp:extent cx="7176135" cy="4000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type w:val="continuous"/>
        </w:sectPr>
      </w:pPr>
    </w:p>
    <w:bookmarkStart w:id="116" w:name="page117"/>
    <w:bookmarkEnd w:id="116"/>
    <w:p>
      <w:pPr>
        <w:ind w:right="780"/>
        <w:spacing w:after="0" w:line="273" w:lineRule="auto"/>
        <w:rPr>
          <w:sz w:val="20"/>
          <w:szCs w:val="20"/>
          <w:color w:val="auto"/>
        </w:rPr>
      </w:pPr>
      <w:r>
        <w:rPr>
          <w:rFonts w:ascii="Arial" w:cs="Arial" w:eastAsia="Arial" w:hAnsi="Arial"/>
          <w:sz w:val="28"/>
          <w:szCs w:val="28"/>
          <w:b w:val="1"/>
          <w:bCs w:val="1"/>
          <w:color w:val="D52B1E"/>
        </w:rPr>
        <w:t>Appendix A - Summary of Adjustments Related to the Annual Cash Bonus and Performance Award</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Consistent with past practice, the Talent and Compensation Committee adjusted the reported financial results on which the 2022 annual cash bonus and the 2021-2023 performance awards were determined to eliminate the distorting effect of certain unusual items on incentive compensation performance measures. The adjustments were intended to:</w:t>
      </w:r>
    </w:p>
    <w:p>
      <w:pPr>
        <w:spacing w:after="0" w:line="110" w:lineRule="exact"/>
        <w:rPr>
          <w:sz w:val="20"/>
          <w:szCs w:val="20"/>
          <w:color w:val="auto"/>
        </w:rPr>
      </w:pPr>
    </w:p>
    <w:p>
      <w:pPr>
        <w:ind w:left="540" w:hanging="266"/>
        <w:spacing w:after="0"/>
        <w:tabs>
          <w:tab w:leader="none" w:pos="540" w:val="left"/>
        </w:tabs>
        <w:numPr>
          <w:ilvl w:val="0"/>
          <w:numId w:val="219"/>
        </w:numPr>
        <w:rPr>
          <w:rFonts w:ascii="Arial" w:cs="Arial" w:eastAsia="Arial" w:hAnsi="Arial"/>
          <w:sz w:val="14"/>
          <w:szCs w:val="14"/>
          <w:color w:val="auto"/>
        </w:rPr>
      </w:pPr>
      <w:r>
        <w:rPr>
          <w:rFonts w:ascii="Arial" w:cs="Arial" w:eastAsia="Arial" w:hAnsi="Arial"/>
          <w:sz w:val="16"/>
          <w:szCs w:val="16"/>
          <w:color w:val="auto"/>
        </w:rPr>
        <w:t>align award payments with the underlying performance of the core business</w:t>
      </w:r>
    </w:p>
    <w:p>
      <w:pPr>
        <w:spacing w:after="0" w:line="143" w:lineRule="exact"/>
        <w:rPr>
          <w:rFonts w:ascii="Arial" w:cs="Arial" w:eastAsia="Arial" w:hAnsi="Arial"/>
          <w:sz w:val="14"/>
          <w:szCs w:val="14"/>
          <w:color w:val="auto"/>
        </w:rPr>
      </w:pPr>
    </w:p>
    <w:p>
      <w:pPr>
        <w:ind w:left="560" w:right="240" w:hanging="286"/>
        <w:spacing w:after="0" w:line="271" w:lineRule="auto"/>
        <w:tabs>
          <w:tab w:leader="none" w:pos="550" w:val="left"/>
        </w:tabs>
        <w:numPr>
          <w:ilvl w:val="0"/>
          <w:numId w:val="219"/>
        </w:numPr>
        <w:rPr>
          <w:rFonts w:ascii="Arial" w:cs="Arial" w:eastAsia="Arial" w:hAnsi="Arial"/>
          <w:sz w:val="14"/>
          <w:szCs w:val="14"/>
          <w:color w:val="auto"/>
        </w:rPr>
      </w:pPr>
      <w:r>
        <w:rPr>
          <w:rFonts w:ascii="Arial" w:cs="Arial" w:eastAsia="Arial" w:hAnsi="Arial"/>
          <w:sz w:val="16"/>
          <w:szCs w:val="16"/>
          <w:color w:val="auto"/>
        </w:rPr>
        <w:t>avoid volatile, artificial inflation or deflation of awards due to unusual items during any year in the performance period, and, where relevant, the previous (comparator) year</w:t>
      </w:r>
    </w:p>
    <w:p>
      <w:pPr>
        <w:spacing w:after="0" w:line="98" w:lineRule="exact"/>
        <w:rPr>
          <w:rFonts w:ascii="Arial" w:cs="Arial" w:eastAsia="Arial" w:hAnsi="Arial"/>
          <w:sz w:val="14"/>
          <w:szCs w:val="14"/>
          <w:color w:val="auto"/>
        </w:rPr>
      </w:pPr>
    </w:p>
    <w:p>
      <w:pPr>
        <w:ind w:left="560" w:right="600" w:hanging="286"/>
        <w:spacing w:after="0" w:line="271" w:lineRule="auto"/>
        <w:tabs>
          <w:tab w:leader="none" w:pos="550" w:val="left"/>
        </w:tabs>
        <w:numPr>
          <w:ilvl w:val="0"/>
          <w:numId w:val="219"/>
        </w:numPr>
        <w:rPr>
          <w:rFonts w:ascii="Arial" w:cs="Arial" w:eastAsia="Arial" w:hAnsi="Arial"/>
          <w:sz w:val="14"/>
          <w:szCs w:val="14"/>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98" w:lineRule="exact"/>
        <w:rPr>
          <w:rFonts w:ascii="Arial" w:cs="Arial" w:eastAsia="Arial" w:hAnsi="Arial"/>
          <w:sz w:val="14"/>
          <w:szCs w:val="14"/>
          <w:color w:val="auto"/>
        </w:rPr>
      </w:pPr>
    </w:p>
    <w:p>
      <w:pPr>
        <w:ind w:left="540" w:hanging="266"/>
        <w:spacing w:after="0"/>
        <w:tabs>
          <w:tab w:leader="none" w:pos="540" w:val="left"/>
        </w:tabs>
        <w:numPr>
          <w:ilvl w:val="0"/>
          <w:numId w:val="219"/>
        </w:numPr>
        <w:rPr>
          <w:rFonts w:ascii="Arial" w:cs="Arial" w:eastAsia="Arial" w:hAnsi="Arial"/>
          <w:sz w:val="14"/>
          <w:szCs w:val="14"/>
          <w:color w:val="auto"/>
        </w:rPr>
      </w:pPr>
      <w:r>
        <w:rPr>
          <w:rFonts w:ascii="Arial" w:cs="Arial" w:eastAsia="Arial" w:hAnsi="Arial"/>
          <w:sz w:val="16"/>
          <w:szCs w:val="16"/>
          <w:color w:val="auto"/>
        </w:rPr>
        <w:t>facilitate comparisons with peer companies.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Adjustments for 2022 Bonus Plan</w:t>
      </w:r>
    </w:p>
    <w:p>
      <w:pPr>
        <w:spacing w:after="0" w:line="57"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For 2022 bonus calculations, the Talent and Compensation Committee made the following adjustments to reported EPS consistent with our external reporting of non-GAAP financial measures:</w:t>
      </w:r>
    </w:p>
    <w:p>
      <w:pPr>
        <w:spacing w:after="0" w:line="98" w:lineRule="exact"/>
        <w:rPr>
          <w:sz w:val="20"/>
          <w:szCs w:val="20"/>
          <w:color w:val="auto"/>
        </w:rPr>
      </w:pPr>
    </w:p>
    <w:p>
      <w:pPr>
        <w:ind w:left="540" w:hanging="266"/>
        <w:spacing w:after="0"/>
        <w:tabs>
          <w:tab w:leader="none" w:pos="5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Eliminated the impact of amortization of intangible assets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Eliminated the impact of asset impairments, restructuring, and other special charges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220"/>
        </w:numPr>
        <w:rPr>
          <w:rFonts w:ascii="Arial" w:cs="Arial" w:eastAsia="Arial" w:hAnsi="Arial"/>
          <w:sz w:val="14"/>
          <w:szCs w:val="14"/>
          <w:color w:val="auto"/>
        </w:rPr>
      </w:pPr>
      <w:r>
        <w:rPr>
          <w:rFonts w:ascii="Arial" w:cs="Arial" w:eastAsia="Arial" w:hAnsi="Arial"/>
          <w:sz w:val="16"/>
          <w:szCs w:val="16"/>
          <w:color w:val="auto"/>
        </w:rPr>
        <w:t>Eliminated the impact of net gains and losses on investments in equity securities</w:t>
      </w:r>
    </w:p>
    <w:p>
      <w:pPr>
        <w:spacing w:after="0" w:line="143" w:lineRule="exact"/>
        <w:rPr>
          <w:sz w:val="20"/>
          <w:szCs w:val="20"/>
          <w:color w:val="auto"/>
        </w:rPr>
      </w:pPr>
    </w:p>
    <w:p>
      <w:pPr>
        <w:ind w:right="660"/>
        <w:spacing w:after="0" w:line="271" w:lineRule="auto"/>
        <w:rPr>
          <w:sz w:val="20"/>
          <w:szCs w:val="20"/>
          <w:color w:val="auto"/>
        </w:rPr>
      </w:pPr>
      <w:r>
        <w:rPr>
          <w:rFonts w:ascii="Arial" w:cs="Arial" w:eastAsia="Arial" w:hAnsi="Arial"/>
          <w:sz w:val="16"/>
          <w:szCs w:val="16"/>
          <w:color w:val="auto"/>
        </w:rPr>
        <w:t>In addition to the adjustments consistent with our reporting of non-GAAP financial measures, the Talent and Compensation Committee made the following adjustments:</w:t>
      </w:r>
    </w:p>
    <w:p>
      <w:pPr>
        <w:spacing w:after="0" w:line="98" w:lineRule="exact"/>
        <w:rPr>
          <w:sz w:val="20"/>
          <w:szCs w:val="20"/>
          <w:color w:val="auto"/>
        </w:rPr>
      </w:pPr>
    </w:p>
    <w:p>
      <w:pPr>
        <w:ind w:left="560" w:hanging="286"/>
        <w:spacing w:after="0" w:line="248" w:lineRule="auto"/>
        <w:tabs>
          <w:tab w:leader="none" w:pos="550" w:val="left"/>
        </w:tabs>
        <w:numPr>
          <w:ilvl w:val="0"/>
          <w:numId w:val="221"/>
        </w:numPr>
        <w:rPr>
          <w:rFonts w:ascii="Arial" w:cs="Arial" w:eastAsia="Arial" w:hAnsi="Arial"/>
          <w:sz w:val="14"/>
          <w:szCs w:val="14"/>
          <w:color w:val="auto"/>
        </w:rPr>
      </w:pPr>
      <w:r>
        <w:rPr>
          <w:rFonts w:ascii="Arial" w:cs="Arial" w:eastAsia="Arial" w:hAnsi="Arial"/>
          <w:sz w:val="16"/>
          <w:szCs w:val="16"/>
          <w:color w:val="auto"/>
        </w:rPr>
        <w:t>Eliminated the impact of acquired in-process research and development (IPR&amp;D) and development milestone charges. When the Talent and Compensation Committee set 2022 bonus targets, the Earnings Per Share (EPS) target included estimated development milestone charges but did not include estimated acquired IPR&amp;D charges for potential business development transactions. Concurrent with the company’s changes to the presentation of acquired IPR&amp;D and development milestone charges for purposes of non-GAAP EPS measures, the Talent and Compensation Committee subsequently adopted a policy to eliminate acquired IPR&amp;D and development milestone charges from EPS for compensation purposes. To avoid eliminating charges that were included in the EPS target, the eliminated acquired IPR&amp;D and development milestone charges were adjusted by the development milestone charges in the EPS target.</w:t>
      </w:r>
    </w:p>
    <w:p>
      <w:pPr>
        <w:spacing w:after="0" w:line="117" w:lineRule="exact"/>
        <w:rPr>
          <w:rFonts w:ascii="Arial" w:cs="Arial" w:eastAsia="Arial" w:hAnsi="Arial"/>
          <w:sz w:val="14"/>
          <w:szCs w:val="14"/>
          <w:color w:val="auto"/>
        </w:rPr>
      </w:pPr>
    </w:p>
    <w:p>
      <w:pPr>
        <w:ind w:left="560" w:right="120" w:hanging="286"/>
        <w:spacing w:after="0" w:line="271" w:lineRule="auto"/>
        <w:tabs>
          <w:tab w:leader="none" w:pos="550" w:val="left"/>
        </w:tabs>
        <w:numPr>
          <w:ilvl w:val="0"/>
          <w:numId w:val="221"/>
        </w:numPr>
        <w:rPr>
          <w:rFonts w:ascii="Arial" w:cs="Arial" w:eastAsia="Arial" w:hAnsi="Arial"/>
          <w:sz w:val="14"/>
          <w:szCs w:val="14"/>
          <w:color w:val="auto"/>
        </w:rPr>
      </w:pPr>
      <w:r>
        <w:rPr>
          <w:rFonts w:ascii="Arial" w:cs="Arial" w:eastAsia="Arial" w:hAnsi="Arial"/>
          <w:sz w:val="16"/>
          <w:szCs w:val="16"/>
          <w:color w:val="auto"/>
        </w:rPr>
        <w:t>Eliminated the Revenue and EPS impacts of foreign exchange rates in excess of a pre-determined tolerable ranges that were approved by the Talent and Compensation Committee at the beginning of the year.</w:t>
      </w:r>
    </w:p>
    <w:p>
      <w:pPr>
        <w:spacing w:after="0" w:line="98" w:lineRule="exact"/>
        <w:rPr>
          <w:rFonts w:ascii="Arial" w:cs="Arial" w:eastAsia="Arial" w:hAnsi="Arial"/>
          <w:sz w:val="14"/>
          <w:szCs w:val="14"/>
          <w:color w:val="auto"/>
        </w:rPr>
      </w:pPr>
    </w:p>
    <w:p>
      <w:pPr>
        <w:ind w:left="560" w:right="140" w:hanging="286"/>
        <w:spacing w:after="0" w:line="250" w:lineRule="auto"/>
        <w:tabs>
          <w:tab w:leader="none" w:pos="550" w:val="left"/>
        </w:tabs>
        <w:numPr>
          <w:ilvl w:val="0"/>
          <w:numId w:val="221"/>
        </w:numPr>
        <w:rPr>
          <w:rFonts w:ascii="Arial" w:cs="Arial" w:eastAsia="Arial" w:hAnsi="Arial"/>
          <w:sz w:val="14"/>
          <w:szCs w:val="14"/>
          <w:color w:val="auto"/>
        </w:rPr>
      </w:pPr>
      <w:r>
        <w:rPr>
          <w:rFonts w:ascii="Arial" w:cs="Arial" w:eastAsia="Arial" w:hAnsi="Arial"/>
          <w:sz w:val="16"/>
          <w:szCs w:val="16"/>
          <w:color w:val="auto"/>
        </w:rPr>
        <w:t>The company’s 2022 financial results include a favorable impact related to implementation of the provision of the 2017 Tax Act that requires capitalization and amortization of research and development expenses for tax purposes. When the Talent and Compensation Committee set 2022 bonus targets, the EPS target included an assumption that this provision of the 2017 Tax Act would be deferred or repealed by Congress effective for 2022. The year ended without a deferral or repeal of the provision by Congress, resulting in lower tax expense for the company. The Talent and Compensation Committee eliminated the beneficial EPS impact associated with this item for the purposes of the bonus calculation.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A reconciliation of adjustments to our reported revenue is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2022</w:t>
            </w:r>
          </w:p>
        </w:tc>
        <w:tc>
          <w:tcPr>
            <w:tcW w:w="20" w:type="dxa"/>
            <w:vAlign w:val="bottom"/>
          </w:tcPr>
          <w:p>
            <w:pPr>
              <w:spacing w:after="0"/>
              <w:rPr>
                <w:sz w:val="16"/>
                <w:szCs w:val="16"/>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Revenue as reported</w:t>
            </w:r>
          </w:p>
        </w:tc>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$28,541.4</w:t>
            </w:r>
          </w:p>
        </w:tc>
        <w:tc>
          <w:tcPr>
            <w:tcW w:w="20" w:type="dxa"/>
            <w:vAlign w:val="bottom"/>
          </w:tcPr>
          <w:p>
            <w:pPr>
              <w:spacing w:after="0"/>
              <w:rPr>
                <w:sz w:val="18"/>
                <w:szCs w:val="18"/>
                <w:color w:val="auto"/>
              </w:rPr>
            </w:pPr>
          </w:p>
        </w:tc>
      </w:tr>
      <w:tr>
        <w:trPr>
          <w:trHeight w:val="238"/>
        </w:trPr>
        <w:tc>
          <w:tcPr>
            <w:tcW w:w="5880" w:type="dxa"/>
            <w:vAlign w:val="bottom"/>
          </w:tcPr>
          <w:p>
            <w:pPr>
              <w:spacing w:after="0"/>
              <w:rPr>
                <w:sz w:val="20"/>
                <w:szCs w:val="20"/>
                <w:color w:val="auto"/>
              </w:rPr>
            </w:pPr>
            <w:r>
              <w:rPr>
                <w:rFonts w:ascii="Arial" w:cs="Arial" w:eastAsia="Arial" w:hAnsi="Arial"/>
                <w:sz w:val="12"/>
                <w:szCs w:val="12"/>
                <w:color w:val="auto"/>
              </w:rPr>
              <w:t>Foreign exchange rate impact in excess of pre-determined tolerable range</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w:t>
            </w:r>
          </w:p>
        </w:tc>
        <w:tc>
          <w:tcPr>
            <w:tcW w:w="20" w:type="dxa"/>
            <w:vAlign w:val="bottom"/>
          </w:tcPr>
          <w:p>
            <w:pPr>
              <w:spacing w:after="0"/>
              <w:rPr>
                <w:sz w:val="20"/>
                <w:szCs w:val="20"/>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Adjusted revenue</w:t>
            </w:r>
          </w:p>
        </w:tc>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$28,781.6</w:t>
            </w:r>
          </w:p>
        </w:tc>
        <w:tc>
          <w:tcPr>
            <w:tcW w:w="20" w:type="dxa"/>
            <w:vAlign w:val="bottom"/>
          </w:tcPr>
          <w:p>
            <w:pPr>
              <w:spacing w:after="0"/>
              <w:rPr>
                <w:sz w:val="18"/>
                <w:szCs w:val="18"/>
                <w:color w:val="auto"/>
              </w:rPr>
            </w:pPr>
          </w:p>
        </w:tc>
      </w:tr>
      <w:tr>
        <w:trPr>
          <w:trHeight w:val="378"/>
        </w:trPr>
        <w:tc>
          <w:tcPr>
            <w:tcW w:w="6020" w:type="dxa"/>
            <w:vAlign w:val="bottom"/>
            <w:gridSpan w:val="2"/>
          </w:tcPr>
          <w:p>
            <w:pPr>
              <w:spacing w:after="0"/>
              <w:rPr>
                <w:sz w:val="20"/>
                <w:szCs w:val="20"/>
                <w:color w:val="auto"/>
              </w:rPr>
            </w:pPr>
            <w:r>
              <w:rPr>
                <w:rFonts w:ascii="Arial" w:cs="Arial" w:eastAsia="Arial" w:hAnsi="Arial"/>
                <w:sz w:val="16"/>
                <w:szCs w:val="16"/>
                <w:color w:val="auto"/>
              </w:rPr>
              <w:t>A reconciliation of adjustments to our reported EPS is below:</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2022</w:t>
            </w:r>
          </w:p>
        </w:tc>
      </w:tr>
      <w:tr>
        <w:trPr>
          <w:trHeight w:val="198"/>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EPS as reported</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$6.90</w:t>
            </w:r>
          </w:p>
        </w:tc>
      </w:tr>
      <w:tr>
        <w:trPr>
          <w:trHeight w:val="193"/>
        </w:trPr>
        <w:tc>
          <w:tcPr>
            <w:tcW w:w="6020" w:type="dxa"/>
            <w:vAlign w:val="bottom"/>
            <w:gridSpan w:val="2"/>
          </w:tcPr>
          <w:p>
            <w:pPr>
              <w:spacing w:after="0"/>
              <w:rPr>
                <w:sz w:val="20"/>
                <w:szCs w:val="20"/>
                <w:color w:val="auto"/>
              </w:rPr>
            </w:pPr>
            <w:r>
              <w:rPr>
                <w:rFonts w:ascii="Arial" w:cs="Arial" w:eastAsia="Arial" w:hAnsi="Arial"/>
                <w:sz w:val="12"/>
                <w:szCs w:val="12"/>
                <w:color w:val="auto"/>
              </w:rPr>
              <w:t>Amortization of intangible assets</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color w:val="auto"/>
              </w:rPr>
              <w:t>0.50</w:t>
            </w:r>
          </w:p>
        </w:tc>
      </w:tr>
      <w:tr>
        <w:trPr>
          <w:trHeight w:val="199"/>
        </w:trPr>
        <w:tc>
          <w:tcPr>
            <w:tcW w:w="6020" w:type="dxa"/>
            <w:vAlign w:val="bottom"/>
            <w:gridSpan w:val="2"/>
          </w:tcPr>
          <w:p>
            <w:pPr>
              <w:spacing w:after="0"/>
              <w:rPr>
                <w:sz w:val="20"/>
                <w:szCs w:val="20"/>
                <w:color w:val="auto"/>
              </w:rPr>
            </w:pPr>
            <w:r>
              <w:rPr>
                <w:rFonts w:ascii="Arial" w:cs="Arial" w:eastAsia="Arial" w:hAnsi="Arial"/>
                <w:sz w:val="12"/>
                <w:szCs w:val="12"/>
                <w:color w:val="auto"/>
              </w:rPr>
              <w:t>Asset impairments, restructuring, and other special charges</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color w:val="auto"/>
              </w:rPr>
              <w:t>0.21</w:t>
            </w:r>
          </w:p>
        </w:tc>
      </w:tr>
      <w:tr>
        <w:trPr>
          <w:trHeight w:val="209"/>
        </w:trPr>
        <w:tc>
          <w:tcPr>
            <w:tcW w:w="6020" w:type="dxa"/>
            <w:vAlign w:val="bottom"/>
            <w:gridSpan w:val="2"/>
          </w:tcPr>
          <w:p>
            <w:pPr>
              <w:spacing w:after="0"/>
              <w:rPr>
                <w:sz w:val="20"/>
                <w:szCs w:val="20"/>
                <w:color w:val="auto"/>
              </w:rPr>
            </w:pPr>
            <w:r>
              <w:rPr>
                <w:rFonts w:ascii="Arial" w:cs="Arial" w:eastAsia="Arial" w:hAnsi="Arial"/>
                <w:sz w:val="12"/>
                <w:szCs w:val="12"/>
                <w:color w:val="auto"/>
              </w:rPr>
              <w:t>Net losses on investments in equity securities</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0.33</w:t>
            </w:r>
          </w:p>
        </w:tc>
      </w:tr>
      <w:tr>
        <w:trPr>
          <w:trHeight w:val="186"/>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Non-GAAP EPS</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7.94</w:t>
            </w:r>
          </w:p>
        </w:tc>
      </w:tr>
      <w:tr>
        <w:trPr>
          <w:trHeight w:val="156"/>
        </w:trPr>
        <w:tc>
          <w:tcPr>
            <w:tcW w:w="6020" w:type="dxa"/>
            <w:vAlign w:val="bottom"/>
            <w:gridSpan w:val="2"/>
          </w:tcPr>
          <w:p>
            <w:pPr>
              <w:spacing w:after="0"/>
              <w:rPr>
                <w:sz w:val="20"/>
                <w:szCs w:val="20"/>
                <w:color w:val="auto"/>
              </w:rPr>
            </w:pPr>
            <w:r>
              <w:rPr>
                <w:rFonts w:ascii="Arial" w:cs="Arial" w:eastAsia="Arial" w:hAnsi="Arial"/>
                <w:sz w:val="12"/>
                <w:szCs w:val="12"/>
                <w:color w:val="auto"/>
              </w:rPr>
              <w:t>Acquired IPR&amp;D and development milestone charges ($0.90), net of development milestone charges in EPS</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6020" w:type="dxa"/>
            <w:vAlign w:val="bottom"/>
            <w:gridSpan w:val="2"/>
          </w:tcPr>
          <w:p>
            <w:pPr>
              <w:spacing w:after="0"/>
              <w:rPr>
                <w:sz w:val="20"/>
                <w:szCs w:val="20"/>
                <w:color w:val="auto"/>
              </w:rPr>
            </w:pPr>
            <w:r>
              <w:rPr>
                <w:rFonts w:ascii="Arial" w:cs="Arial" w:eastAsia="Arial" w:hAnsi="Arial"/>
                <w:sz w:val="12"/>
                <w:szCs w:val="12"/>
                <w:color w:val="auto"/>
              </w:rPr>
              <w:t>target ($0.13)</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color w:val="auto"/>
              </w:rPr>
              <w:t>0.77</w:t>
            </w:r>
          </w:p>
        </w:tc>
      </w:tr>
      <w:tr>
        <w:trPr>
          <w:trHeight w:val="199"/>
        </w:trPr>
        <w:tc>
          <w:tcPr>
            <w:tcW w:w="6020" w:type="dxa"/>
            <w:vAlign w:val="bottom"/>
            <w:gridSpan w:val="2"/>
          </w:tcPr>
          <w:p>
            <w:pPr>
              <w:spacing w:after="0"/>
              <w:rPr>
                <w:sz w:val="20"/>
                <w:szCs w:val="20"/>
                <w:color w:val="auto"/>
              </w:rPr>
            </w:pPr>
            <w:r>
              <w:rPr>
                <w:rFonts w:ascii="Arial" w:cs="Arial" w:eastAsia="Arial" w:hAnsi="Arial"/>
                <w:sz w:val="12"/>
                <w:szCs w:val="12"/>
                <w:color w:val="auto"/>
              </w:rPr>
              <w:t>Foreign exchange rate impact in excess of pre-determined tolerable range</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color w:val="auto"/>
              </w:rPr>
              <w:t>0.17</w:t>
            </w:r>
          </w:p>
        </w:tc>
      </w:tr>
      <w:tr>
        <w:trPr>
          <w:trHeight w:val="232"/>
        </w:trPr>
        <w:tc>
          <w:tcPr>
            <w:tcW w:w="6020" w:type="dxa"/>
            <w:vAlign w:val="bottom"/>
            <w:gridSpan w:val="2"/>
          </w:tcPr>
          <w:p>
            <w:pPr>
              <w:spacing w:after="0"/>
              <w:rPr>
                <w:sz w:val="20"/>
                <w:szCs w:val="20"/>
                <w:color w:val="auto"/>
              </w:rPr>
            </w:pPr>
            <w:r>
              <w:rPr>
                <w:rFonts w:ascii="Arial" w:cs="Arial" w:eastAsia="Arial" w:hAnsi="Arial"/>
                <w:sz w:val="12"/>
                <w:szCs w:val="12"/>
                <w:color w:val="auto"/>
              </w:rPr>
              <w:t>Tax legislation impact</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(0.33)</w:t>
            </w:r>
          </w:p>
        </w:tc>
      </w:tr>
      <w:tr>
        <w:trPr>
          <w:trHeight w:val="186"/>
        </w:trPr>
        <w:tc>
          <w:tcPr>
            <w:tcW w:w="6020" w:type="dxa"/>
            <w:vAlign w:val="bottom"/>
            <w:gridSpan w:val="2"/>
          </w:tcPr>
          <w:p>
            <w:pPr>
              <w:spacing w:after="0"/>
              <w:rPr>
                <w:sz w:val="20"/>
                <w:szCs w:val="20"/>
                <w:color w:val="auto"/>
              </w:rPr>
            </w:pPr>
            <w:r>
              <w:rPr>
                <w:rFonts w:ascii="Arial" w:cs="Arial" w:eastAsia="Arial" w:hAnsi="Arial"/>
                <w:sz w:val="12"/>
                <w:szCs w:val="12"/>
                <w:b w:val="1"/>
                <w:bCs w:val="1"/>
                <w:color w:val="auto"/>
              </w:rPr>
              <w:t>Adjusted Non-GAAP EPS for purposes of annual cash bonus</w:t>
            </w:r>
          </w:p>
        </w:tc>
        <w:tc>
          <w:tcPr>
            <w:tcW w:w="16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$8.55</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*Numbers may not add due to rounding</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00A1DE"/>
        </w:rPr>
        <w:t>Adjustments for 2021-2023 Performance Award</w:t>
      </w:r>
    </w:p>
    <w:p>
      <w:pPr>
        <w:spacing w:after="0" w:line="6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 the 2021-2023 performance award payout calculations, the Talent and Compensation Committee made the following adjustments to reported EPS consistent with our reporting of non-GAAP financial measures:</w:t>
      </w:r>
    </w:p>
    <w:p>
      <w:pPr>
        <w:spacing w:after="0" w:line="98" w:lineRule="exact"/>
        <w:rPr>
          <w:sz w:val="20"/>
          <w:szCs w:val="20"/>
          <w:color w:val="auto"/>
        </w:rPr>
      </w:pPr>
    </w:p>
    <w:p>
      <w:pPr>
        <w:ind w:left="540" w:hanging="266"/>
        <w:spacing w:after="0"/>
        <w:tabs>
          <w:tab w:leader="none" w:pos="54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2022, 2021, and 2020: Eliminated the impact of amortization of intangible assets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2022, 2021, and 2020: Eliminated the impact of asset impairments, restructuring, and other special charges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2022, 2021, and 2020: Eliminated the impact of net gains and losses on investments in equity securities</w:t>
      </w:r>
    </w:p>
    <w:p>
      <w:pPr>
        <w:spacing w:after="0" w:line="143" w:lineRule="exact"/>
        <w:rPr>
          <w:rFonts w:ascii="Arial" w:cs="Arial" w:eastAsia="Arial" w:hAnsi="Arial"/>
          <w:sz w:val="14"/>
          <w:szCs w:val="14"/>
          <w:color w:val="auto"/>
        </w:rPr>
      </w:pPr>
    </w:p>
    <w:p>
      <w:pPr>
        <w:ind w:left="540" w:hanging="266"/>
        <w:spacing w:after="0"/>
        <w:tabs>
          <w:tab w:leader="none" w:pos="54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2021: Eliminated the impact of charge related to the repurchase of debt</w:t>
      </w:r>
    </w:p>
    <w:p>
      <w:pPr>
        <w:spacing w:after="0" w:line="143" w:lineRule="exact"/>
        <w:rPr>
          <w:rFonts w:ascii="Arial" w:cs="Arial" w:eastAsia="Arial" w:hAnsi="Arial"/>
          <w:sz w:val="14"/>
          <w:szCs w:val="14"/>
          <w:color w:val="auto"/>
        </w:rPr>
      </w:pPr>
    </w:p>
    <w:p>
      <w:pPr>
        <w:ind w:left="560" w:hanging="286"/>
        <w:spacing w:after="0" w:line="271" w:lineRule="auto"/>
        <w:tabs>
          <w:tab w:leader="none" w:pos="550" w:val="left"/>
        </w:tabs>
        <w:numPr>
          <w:ilvl w:val="0"/>
          <w:numId w:val="222"/>
        </w:numPr>
        <w:rPr>
          <w:rFonts w:ascii="Arial" w:cs="Arial" w:eastAsia="Arial" w:hAnsi="Arial"/>
          <w:sz w:val="14"/>
          <w:szCs w:val="14"/>
          <w:color w:val="auto"/>
        </w:rPr>
      </w:pPr>
      <w:r>
        <w:rPr>
          <w:rFonts w:ascii="Arial" w:cs="Arial" w:eastAsia="Arial" w:hAnsi="Arial"/>
          <w:sz w:val="16"/>
          <w:szCs w:val="16"/>
          <w:color w:val="auto"/>
        </w:rPr>
        <w:t>2021: Eliminated the impact of COVID-19 antibodies inventory charges that were recognized primarily due to changes in forecasted demand from U.S. and international governments</w:t>
      </w:r>
    </w:p>
    <w:p>
      <w:pPr>
        <w:spacing w:after="0" w:line="98" w:lineRule="exact"/>
        <w:rPr>
          <w:sz w:val="20"/>
          <w:szCs w:val="20"/>
          <w:color w:val="auto"/>
        </w:rPr>
      </w:pPr>
    </w:p>
    <w:p>
      <w:pPr>
        <w:ind w:right="640"/>
        <w:spacing w:after="0" w:line="271" w:lineRule="auto"/>
        <w:rPr>
          <w:sz w:val="20"/>
          <w:szCs w:val="20"/>
          <w:color w:val="auto"/>
        </w:rPr>
      </w:pPr>
      <w:r>
        <w:rPr>
          <w:rFonts w:ascii="Arial" w:cs="Arial" w:eastAsia="Arial" w:hAnsi="Arial"/>
          <w:sz w:val="16"/>
          <w:szCs w:val="16"/>
          <w:color w:val="auto"/>
        </w:rPr>
        <w:t>In addition to the adjustments consistent with our reporting of non-GAAP financial measures, the Talent and Compensation Committee made the following adjustment:</w:t>
      </w:r>
    </w:p>
    <w:p>
      <w:pPr>
        <w:spacing w:after="0" w:line="98" w:lineRule="exact"/>
        <w:rPr>
          <w:sz w:val="20"/>
          <w:szCs w:val="20"/>
          <w:color w:val="auto"/>
        </w:rPr>
      </w:pPr>
    </w:p>
    <w:p>
      <w:pPr>
        <w:ind w:left="5500" w:right="2060" w:hanging="5226"/>
        <w:spacing w:after="0" w:line="819" w:lineRule="auto"/>
        <w:tabs>
          <w:tab w:leader="none" w:pos="542" w:val="left"/>
        </w:tabs>
        <w:numPr>
          <w:ilvl w:val="0"/>
          <w:numId w:val="223"/>
        </w:numPr>
        <w:rPr>
          <w:rFonts w:ascii="Arial" w:cs="Arial" w:eastAsia="Arial" w:hAnsi="Arial"/>
          <w:sz w:val="14"/>
          <w:szCs w:val="14"/>
          <w:color w:val="auto"/>
        </w:rPr>
      </w:pPr>
      <w:r>
        <w:rPr>
          <w:rFonts w:ascii="Arial" w:cs="Arial" w:eastAsia="Arial" w:hAnsi="Arial"/>
          <w:sz w:val="16"/>
          <w:szCs w:val="16"/>
          <w:color w:val="auto"/>
        </w:rPr>
        <w:t>2022, 2021, and 2020: Eliminated the impact of charges recognized for acquired IPR&amp;D and development milestone charges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-177165</wp:posOffset>
            </wp:positionV>
            <wp:extent cx="7176135" cy="4000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118" w:name="page119"/>
    <w:bookmarkEnd w:id="118"/>
    <w:p>
      <w:pPr>
        <w:ind w:left="7"/>
        <w:spacing w:after="0"/>
        <w:rPr>
          <w:sz w:val="20"/>
          <w:szCs w:val="20"/>
          <w:color w:val="auto"/>
        </w:rPr>
      </w:pPr>
      <w:r>
        <w:rPr>
          <w:rFonts w:ascii="Arial" w:cs="Arial" w:eastAsia="Arial" w:hAnsi="Arial"/>
          <w:sz w:val="16"/>
          <w:szCs w:val="16"/>
          <w:color w:val="auto"/>
        </w:rPr>
        <w:t>A reconciliation of adjustments to our reported EPS is below:</w:t>
      </w:r>
    </w:p>
    <w:p>
      <w:pPr>
        <w:spacing w:after="0" w:line="21" w:lineRule="exact"/>
        <w:rPr>
          <w:sz w:val="20"/>
          <w:szCs w:val="20"/>
          <w:color w:val="auto"/>
        </w:rPr>
      </w:pPr>
    </w:p>
    <w:tbl>
      <w:tblPr>
        <w:tblLayout w:type="fixed"/>
        <w:tblInd w:w="7" w:type="dxa"/>
        <w:tblCellMar>
          <w:top w:w="0" w:type="dxa"/>
          <w:left w:w="0" w:type="dxa"/>
          <w:bottom w:w="0" w:type="dxa"/>
          <w:right w:w="0" w:type="dxa"/>
        </w:tblCellMar>
      </w:tblPr>
      <w:tr>
        <w:trPr>
          <w:trHeight w:val="308"/>
        </w:trPr>
        <w:tc>
          <w:tcPr>
            <w:tcW w:w="3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 Growth</w:t>
            </w:r>
          </w:p>
        </w:tc>
        <w:tc>
          <w:tcPr>
            <w:tcW w:w="820" w:type="dxa"/>
            <w:vAlign w:val="bottom"/>
            <w:tcBorders>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 Growth 2021</w:t>
            </w:r>
          </w:p>
        </w:tc>
        <w:tc>
          <w:tcPr>
            <w:tcW w:w="0" w:type="dxa"/>
            <w:vAlign w:val="bottom"/>
          </w:tcPr>
          <w:p>
            <w:pPr>
              <w:spacing w:after="0"/>
              <w:rPr>
                <w:sz w:val="1"/>
                <w:szCs w:val="1"/>
                <w:color w:val="auto"/>
              </w:rPr>
            </w:pPr>
          </w:p>
        </w:tc>
      </w:tr>
      <w:tr>
        <w:trPr>
          <w:trHeight w:val="186"/>
        </w:trPr>
        <w:tc>
          <w:tcPr>
            <w:tcW w:w="3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2022</w:t>
            </w:r>
          </w:p>
        </w:tc>
        <w:tc>
          <w:tcPr>
            <w:tcW w:w="760" w:type="dxa"/>
            <w:vAlign w:val="bottom"/>
            <w:tcBorders>
              <w:bottom w:val="single" w:sz="8" w:color="auto"/>
              <w:right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2021</w:t>
            </w:r>
          </w:p>
        </w:tc>
        <w:tc>
          <w:tcPr>
            <w:tcW w:w="96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2022 vs. 2021</w:t>
            </w:r>
          </w:p>
        </w:tc>
        <w:tc>
          <w:tcPr>
            <w:tcW w:w="82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2020</w:t>
            </w:r>
          </w:p>
        </w:tc>
        <w:tc>
          <w:tcPr>
            <w:tcW w:w="960" w:type="dxa"/>
            <w:vAlign w:val="bottom"/>
            <w:tcBorders>
              <w:bottom w:val="single" w:sz="8" w:color="auto"/>
              <w:right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vs. 2020</w:t>
            </w:r>
          </w:p>
        </w:tc>
        <w:tc>
          <w:tcPr>
            <w:tcW w:w="0" w:type="dxa"/>
            <w:vAlign w:val="bottom"/>
          </w:tcPr>
          <w:p>
            <w:pPr>
              <w:spacing w:after="0"/>
              <w:rPr>
                <w:sz w:val="1"/>
                <w:szCs w:val="1"/>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2"/>
                <w:szCs w:val="12"/>
                <w:b w:val="1"/>
                <w:bCs w:val="1"/>
                <w:color w:val="auto"/>
              </w:rPr>
              <w:t>EPS as reported</w:t>
            </w:r>
          </w:p>
        </w:tc>
        <w:tc>
          <w:tcPr>
            <w:tcW w:w="860" w:type="dxa"/>
            <w:vAlign w:val="bottom"/>
          </w:tcPr>
          <w:p>
            <w:pPr>
              <w:jc w:val="right"/>
              <w:ind w:right="158"/>
              <w:spacing w:after="0"/>
              <w:rPr>
                <w:sz w:val="20"/>
                <w:szCs w:val="20"/>
                <w:color w:val="auto"/>
              </w:rPr>
            </w:pPr>
            <w:r>
              <w:rPr>
                <w:rFonts w:ascii="Arial" w:cs="Arial" w:eastAsia="Arial" w:hAnsi="Arial"/>
                <w:sz w:val="12"/>
                <w:szCs w:val="12"/>
                <w:b w:val="1"/>
                <w:bCs w:val="1"/>
                <w:color w:val="auto"/>
              </w:rPr>
              <w:t>$6.90</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$6.12</w:t>
            </w:r>
          </w:p>
        </w:tc>
        <w:tc>
          <w:tcPr>
            <w:tcW w:w="96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12.7 %</w:t>
            </w: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$6.79</w:t>
            </w:r>
          </w:p>
        </w:tc>
        <w:tc>
          <w:tcPr>
            <w:tcW w:w="960" w:type="dxa"/>
            <w:vAlign w:val="bottom"/>
            <w:tcBorders>
              <w:right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(9.9)%</w:t>
            </w:r>
          </w:p>
        </w:tc>
        <w:tc>
          <w:tcPr>
            <w:tcW w:w="0" w:type="dxa"/>
            <w:vAlign w:val="bottom"/>
          </w:tcPr>
          <w:p>
            <w:pPr>
              <w:spacing w:after="0"/>
              <w:rPr>
                <w:sz w:val="1"/>
                <w:szCs w:val="1"/>
                <w:color w:val="auto"/>
              </w:rPr>
            </w:pPr>
          </w:p>
        </w:tc>
      </w:tr>
      <w:tr>
        <w:trPr>
          <w:trHeight w:val="216"/>
        </w:trPr>
        <w:tc>
          <w:tcPr>
            <w:tcW w:w="3180" w:type="dxa"/>
            <w:vAlign w:val="bottom"/>
          </w:tcPr>
          <w:p>
            <w:pPr>
              <w:ind w:left="260"/>
              <w:spacing w:after="0"/>
              <w:rPr>
                <w:sz w:val="20"/>
                <w:szCs w:val="20"/>
                <w:color w:val="auto"/>
              </w:rPr>
            </w:pPr>
            <w:r>
              <w:rPr>
                <w:rFonts w:ascii="Arial" w:cs="Arial" w:eastAsia="Arial" w:hAnsi="Arial"/>
                <w:sz w:val="12"/>
                <w:szCs w:val="12"/>
                <w:color w:val="auto"/>
              </w:rPr>
              <w:t>Amortization of intangible assets</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0.50</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color w:val="auto"/>
              </w:rPr>
              <w:t>0.53</w:t>
            </w: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color w:val="auto"/>
              </w:rPr>
              <w:t>0.36</w:t>
            </w: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260"/>
              <w:spacing w:after="0"/>
              <w:rPr>
                <w:sz w:val="20"/>
                <w:szCs w:val="20"/>
                <w:color w:val="auto"/>
              </w:rPr>
            </w:pPr>
            <w:r>
              <w:rPr>
                <w:rFonts w:ascii="Arial" w:cs="Arial" w:eastAsia="Arial" w:hAnsi="Arial"/>
                <w:sz w:val="12"/>
                <w:szCs w:val="12"/>
                <w:color w:val="auto"/>
              </w:rPr>
              <w:t>Asset impairment, restructuring, and other</w:t>
            </w:r>
          </w:p>
        </w:tc>
        <w:tc>
          <w:tcPr>
            <w:tcW w:w="8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60"/>
              <w:spacing w:after="0"/>
              <w:rPr>
                <w:sz w:val="20"/>
                <w:szCs w:val="20"/>
                <w:color w:val="auto"/>
              </w:rPr>
            </w:pPr>
            <w:r>
              <w:rPr>
                <w:rFonts w:ascii="Arial" w:cs="Arial" w:eastAsia="Arial" w:hAnsi="Arial"/>
                <w:sz w:val="12"/>
                <w:szCs w:val="12"/>
                <w:color w:val="auto"/>
              </w:rPr>
              <w:t>special charges</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0.21</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color w:val="auto"/>
              </w:rPr>
              <w:t>0.28</w:t>
            </w:r>
          </w:p>
        </w:tc>
        <w:tc>
          <w:tcPr>
            <w:tcW w:w="9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color w:val="auto"/>
              </w:rPr>
              <w:t>0.14</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ind w:left="260"/>
              <w:spacing w:after="0"/>
              <w:rPr>
                <w:sz w:val="20"/>
                <w:szCs w:val="20"/>
                <w:color w:val="auto"/>
              </w:rPr>
            </w:pPr>
            <w:r>
              <w:rPr>
                <w:rFonts w:ascii="Arial" w:cs="Arial" w:eastAsia="Arial" w:hAnsi="Arial"/>
                <w:sz w:val="12"/>
                <w:szCs w:val="12"/>
                <w:color w:val="auto"/>
              </w:rPr>
              <w:t>Net losses (gains) on investments in equity</w:t>
            </w:r>
          </w:p>
        </w:tc>
        <w:tc>
          <w:tcPr>
            <w:tcW w:w="8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260"/>
              <w:spacing w:after="0"/>
              <w:rPr>
                <w:sz w:val="20"/>
                <w:szCs w:val="20"/>
                <w:color w:val="auto"/>
              </w:rPr>
            </w:pPr>
            <w:r>
              <w:rPr>
                <w:rFonts w:ascii="Arial" w:cs="Arial" w:eastAsia="Arial" w:hAnsi="Arial"/>
                <w:sz w:val="12"/>
                <w:szCs w:val="12"/>
                <w:color w:val="auto"/>
              </w:rPr>
              <w:t>securities</w:t>
            </w:r>
            <w:r>
              <w:rPr>
                <w:rFonts w:ascii="Arial" w:cs="Arial" w:eastAsia="Arial" w:hAnsi="Arial"/>
                <w:sz w:val="16"/>
                <w:szCs w:val="16"/>
                <w:color w:val="auto"/>
                <w:vertAlign w:val="superscript"/>
              </w:rPr>
              <w:t>(a)</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0.33</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color w:val="auto"/>
              </w:rPr>
              <w:t>(0.16)</w:t>
            </w: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color w:val="auto"/>
              </w:rPr>
              <w:t>(1.15)</w:t>
            </w: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60"/>
              <w:spacing w:after="0"/>
              <w:rPr>
                <w:sz w:val="20"/>
                <w:szCs w:val="20"/>
                <w:color w:val="auto"/>
              </w:rPr>
            </w:pPr>
            <w:r>
              <w:rPr>
                <w:rFonts w:ascii="Arial" w:cs="Arial" w:eastAsia="Arial" w:hAnsi="Arial"/>
                <w:sz w:val="12"/>
                <w:szCs w:val="12"/>
                <w:color w:val="auto"/>
              </w:rPr>
              <w:t>Charge related to repurchase of debt</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color w:val="auto"/>
              </w:rPr>
              <w:t>0.35</w:t>
            </w:r>
          </w:p>
        </w:tc>
        <w:tc>
          <w:tcPr>
            <w:tcW w:w="9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3180" w:type="dxa"/>
            <w:vAlign w:val="bottom"/>
          </w:tcPr>
          <w:p>
            <w:pPr>
              <w:ind w:left="260"/>
              <w:spacing w:after="0"/>
              <w:rPr>
                <w:sz w:val="20"/>
                <w:szCs w:val="20"/>
                <w:color w:val="auto"/>
              </w:rPr>
            </w:pPr>
            <w:r>
              <w:rPr>
                <w:rFonts w:ascii="Arial" w:cs="Arial" w:eastAsia="Arial" w:hAnsi="Arial"/>
                <w:sz w:val="12"/>
                <w:szCs w:val="12"/>
                <w:color w:val="auto"/>
              </w:rPr>
              <w:t>COVID-19 antibodies inventory charges</w:t>
            </w: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2"/>
                <w:szCs w:val="12"/>
                <w:color w:val="auto"/>
              </w:rPr>
              <w:t>0.25</w:t>
            </w:r>
          </w:p>
        </w:tc>
        <w:tc>
          <w:tcPr>
            <w:tcW w:w="96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2"/>
                <w:szCs w:val="12"/>
                <w:b w:val="1"/>
                <w:bCs w:val="1"/>
                <w:color w:val="auto"/>
              </w:rPr>
              <w:t>Non-GAAP EPS</w:t>
            </w:r>
          </w:p>
        </w:tc>
        <w:tc>
          <w:tcPr>
            <w:tcW w:w="860" w:type="dxa"/>
            <w:vAlign w:val="bottom"/>
          </w:tcPr>
          <w:p>
            <w:pPr>
              <w:jc w:val="right"/>
              <w:ind w:right="158"/>
              <w:spacing w:after="0"/>
              <w:rPr>
                <w:sz w:val="20"/>
                <w:szCs w:val="20"/>
                <w:color w:val="auto"/>
              </w:rPr>
            </w:pPr>
            <w:r>
              <w:rPr>
                <w:rFonts w:ascii="Arial" w:cs="Arial" w:eastAsia="Arial" w:hAnsi="Arial"/>
                <w:sz w:val="12"/>
                <w:szCs w:val="12"/>
                <w:b w:val="1"/>
                <w:bCs w:val="1"/>
                <w:color w:val="auto"/>
              </w:rPr>
              <w:t>7.94</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7.39</w:t>
            </w: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6.14</w:t>
            </w: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60"/>
              <w:spacing w:after="0"/>
              <w:rPr>
                <w:sz w:val="20"/>
                <w:szCs w:val="20"/>
                <w:color w:val="auto"/>
              </w:rPr>
            </w:pPr>
            <w:r>
              <w:rPr>
                <w:rFonts w:ascii="Arial" w:cs="Arial" w:eastAsia="Arial" w:hAnsi="Arial"/>
                <w:sz w:val="12"/>
                <w:szCs w:val="12"/>
                <w:color w:val="auto"/>
              </w:rPr>
              <w:t>Acquired IPR&amp;D and development milestone</w:t>
            </w:r>
          </w:p>
        </w:tc>
        <w:tc>
          <w:tcPr>
            <w:tcW w:w="860" w:type="dxa"/>
            <w:vAlign w:val="bottom"/>
            <w:vMerge w:val="restart"/>
          </w:tcPr>
          <w:p>
            <w:pPr>
              <w:jc w:val="right"/>
              <w:ind w:right="158"/>
              <w:spacing w:after="0"/>
              <w:rPr>
                <w:sz w:val="20"/>
                <w:szCs w:val="20"/>
                <w:color w:val="auto"/>
              </w:rPr>
            </w:pPr>
            <w:r>
              <w:rPr>
                <w:rFonts w:ascii="Arial" w:cs="Arial" w:eastAsia="Arial" w:hAnsi="Arial"/>
                <w:sz w:val="12"/>
                <w:szCs w:val="12"/>
                <w:color w:val="auto"/>
              </w:rPr>
              <w:t>0.90</w:t>
            </w:r>
          </w:p>
        </w:tc>
        <w:tc>
          <w:tcPr>
            <w:tcW w:w="76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12"/>
                <w:szCs w:val="12"/>
                <w:color w:val="auto"/>
              </w:rPr>
              <w:t>0.86</w:t>
            </w:r>
          </w:p>
        </w:tc>
        <w:tc>
          <w:tcPr>
            <w:tcW w:w="9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12"/>
                <w:szCs w:val="12"/>
                <w:color w:val="auto"/>
              </w:rPr>
              <w:t>0.75</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260"/>
              <w:spacing w:after="0" w:line="175" w:lineRule="exact"/>
              <w:rPr>
                <w:sz w:val="20"/>
                <w:szCs w:val="20"/>
                <w:color w:val="auto"/>
              </w:rPr>
            </w:pPr>
            <w:r>
              <w:rPr>
                <w:rFonts w:ascii="Arial" w:cs="Arial" w:eastAsia="Arial" w:hAnsi="Arial"/>
                <w:sz w:val="12"/>
                <w:szCs w:val="12"/>
                <w:color w:val="auto"/>
              </w:rPr>
              <w:t>charges</w:t>
            </w:r>
            <w:r>
              <w:rPr>
                <w:rFonts w:ascii="Arial" w:cs="Arial" w:eastAsia="Arial" w:hAnsi="Arial"/>
                <w:sz w:val="16"/>
                <w:szCs w:val="16"/>
                <w:color w:val="auto"/>
                <w:vertAlign w:val="superscript"/>
              </w:rPr>
              <w:t>(b)</w:t>
            </w:r>
          </w:p>
        </w:tc>
        <w:tc>
          <w:tcPr>
            <w:tcW w:w="8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20"/>
                <w:szCs w:val="20"/>
                <w:color w:val="auto"/>
              </w:rPr>
            </w:pPr>
            <w:r>
              <w:rPr>
                <w:rFonts w:ascii="Arial" w:cs="Arial" w:eastAsia="Arial" w:hAnsi="Arial"/>
                <w:sz w:val="12"/>
                <w:szCs w:val="12"/>
                <w:b w:val="1"/>
                <w:bCs w:val="1"/>
                <w:color w:val="auto"/>
              </w:rPr>
              <w:t>Adjusted Non-GAAP EPS for purposes of</w:t>
            </w:r>
          </w:p>
        </w:tc>
        <w:tc>
          <w:tcPr>
            <w:tcW w:w="86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80" w:type="dxa"/>
            <w:vAlign w:val="bottom"/>
          </w:tcPr>
          <w:p>
            <w:pPr>
              <w:spacing w:after="0"/>
              <w:rPr>
                <w:sz w:val="20"/>
                <w:szCs w:val="20"/>
                <w:color w:val="auto"/>
              </w:rPr>
            </w:pPr>
            <w:r>
              <w:rPr>
                <w:rFonts w:ascii="Arial" w:cs="Arial" w:eastAsia="Arial" w:hAnsi="Arial"/>
                <w:sz w:val="12"/>
                <w:szCs w:val="12"/>
                <w:b w:val="1"/>
                <w:bCs w:val="1"/>
                <w:color w:val="auto"/>
              </w:rPr>
              <w:t>performance awards</w:t>
            </w:r>
          </w:p>
        </w:tc>
        <w:tc>
          <w:tcPr>
            <w:tcW w:w="860" w:type="dxa"/>
            <w:vAlign w:val="bottom"/>
          </w:tcPr>
          <w:p>
            <w:pPr>
              <w:jc w:val="right"/>
              <w:ind w:right="158"/>
              <w:spacing w:after="0"/>
              <w:rPr>
                <w:sz w:val="20"/>
                <w:szCs w:val="20"/>
                <w:color w:val="auto"/>
              </w:rPr>
            </w:pPr>
            <w:r>
              <w:rPr>
                <w:rFonts w:ascii="Arial" w:cs="Arial" w:eastAsia="Arial" w:hAnsi="Arial"/>
                <w:sz w:val="12"/>
                <w:szCs w:val="12"/>
                <w:b w:val="1"/>
                <w:bCs w:val="1"/>
                <w:color w:val="auto"/>
              </w:rPr>
              <w:t>$8.84</w:t>
            </w:r>
          </w:p>
        </w:tc>
        <w:tc>
          <w:tcPr>
            <w:tcW w:w="760" w:type="dxa"/>
            <w:vAlign w:val="bottom"/>
            <w:tcBorders>
              <w:right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$8.25</w:t>
            </w:r>
          </w:p>
        </w:tc>
        <w:tc>
          <w:tcPr>
            <w:tcW w:w="960" w:type="dxa"/>
            <w:vAlign w:val="bottom"/>
            <w:tcBorders>
              <w:bottom w:val="single" w:sz="8" w:color="auto"/>
              <w:right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7.2 %</w:t>
            </w:r>
          </w:p>
        </w:tc>
        <w:tc>
          <w:tcPr>
            <w:tcW w:w="820" w:type="dxa"/>
            <w:vAlign w:val="bottom"/>
            <w:tcBorders>
              <w:right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$6.89</w:t>
            </w:r>
          </w:p>
        </w:tc>
        <w:tc>
          <w:tcPr>
            <w:tcW w:w="96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19.7 %</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
        <w:spacing w:after="0"/>
        <w:rPr>
          <w:sz w:val="20"/>
          <w:szCs w:val="20"/>
          <w:color w:val="auto"/>
        </w:rPr>
      </w:pPr>
      <w:r>
        <w:rPr>
          <w:rFonts w:ascii="Arial" w:cs="Arial" w:eastAsia="Arial" w:hAnsi="Arial"/>
          <w:sz w:val="12"/>
          <w:szCs w:val="12"/>
          <w:color w:val="auto"/>
        </w:rPr>
        <w:t>*Numbers may not add due to rounding</w:t>
      </w:r>
    </w:p>
    <w:p>
      <w:pPr>
        <w:spacing w:after="0" w:line="212" w:lineRule="exact"/>
        <w:rPr>
          <w:sz w:val="20"/>
          <w:szCs w:val="20"/>
          <w:color w:val="auto"/>
        </w:rPr>
      </w:pPr>
    </w:p>
    <w:p>
      <w:pPr>
        <w:ind w:left="147" w:right="300" w:hanging="147"/>
        <w:spacing w:after="0" w:line="301" w:lineRule="auto"/>
        <w:tabs>
          <w:tab w:leader="none" w:pos="140" w:val="left"/>
        </w:tabs>
        <w:numPr>
          <w:ilvl w:val="0"/>
          <w:numId w:val="224"/>
        </w:numPr>
        <w:rPr>
          <w:rFonts w:ascii="Arial" w:cs="Arial" w:eastAsia="Arial" w:hAnsi="Arial"/>
          <w:sz w:val="8"/>
          <w:szCs w:val="8"/>
          <w:color w:val="auto"/>
        </w:rPr>
      </w:pPr>
      <w:r>
        <w:rPr>
          <w:rFonts w:ascii="Arial" w:cs="Arial" w:eastAsia="Arial" w:hAnsi="Arial"/>
          <w:sz w:val="12"/>
          <w:szCs w:val="12"/>
          <w:color w:val="auto"/>
        </w:rPr>
        <w:t>In 2021, the company began excluding gains and losses on investments in equity securities from non-GAAP measures. The Talent and Compensation Committee recast 2020 non-GAAP EPS to be consistent with the 2021 non-GAAP EPS treatment of gains and losses on investments in equity securities. Those adjusted 2020 results are presented in this table for comparability.</w:t>
      </w:r>
    </w:p>
    <w:p>
      <w:pPr>
        <w:spacing w:after="0" w:line="4" w:lineRule="exact"/>
        <w:rPr>
          <w:rFonts w:ascii="Arial" w:cs="Arial" w:eastAsia="Arial" w:hAnsi="Arial"/>
          <w:sz w:val="8"/>
          <w:szCs w:val="8"/>
          <w:color w:val="auto"/>
        </w:rPr>
      </w:pPr>
    </w:p>
    <w:p>
      <w:pPr>
        <w:ind w:left="147" w:hanging="147"/>
        <w:spacing w:after="0" w:line="245" w:lineRule="auto"/>
        <w:tabs>
          <w:tab w:leader="none" w:pos="140" w:val="left"/>
        </w:tabs>
        <w:numPr>
          <w:ilvl w:val="0"/>
          <w:numId w:val="224"/>
        </w:numPr>
        <w:rPr>
          <w:rFonts w:ascii="Arial" w:cs="Arial" w:eastAsia="Arial" w:hAnsi="Arial"/>
          <w:sz w:val="16"/>
          <w:szCs w:val="16"/>
          <w:color w:val="auto"/>
          <w:vertAlign w:val="superscript"/>
        </w:rPr>
      </w:pPr>
      <w:r>
        <w:rPr>
          <w:rFonts w:ascii="Arial" w:cs="Arial" w:eastAsia="Arial" w:hAnsi="Arial"/>
          <w:sz w:val="12"/>
          <w:szCs w:val="12"/>
          <w:color w:val="auto"/>
        </w:rPr>
        <w:t>In 2022, the company began excluding acquired in process research development milestone charges from Adjusted Non-GAAP EPS for purposes of the performance awards. For the 2021-2022 performance award, the Talent and Compensation Committee adjusted the 2020 base-year results to which the expected industry growth rates are applied to derive the two-year cumulative EPS goals and recast 2021 Adjusted Non-GAAP EPS to be consistent with the 2022 Adjusted Non-GAAP EPS treatment of development milestone charges. Those adjusted 2021 and 2020 results are presented in this table for comparability.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7176135" cy="4000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685" w:right="359" w:bottom="1440" w:gutter="0" w:footer="0" w:header="0"/>
        </w:sectPr>
      </w:pPr>
    </w:p>
    <w:bookmarkStart w:id="119" w:name="page120"/>
    <w:bookmarkEnd w:id="119"/>
    <w:p>
      <w:pPr>
        <w:spacing w:after="0"/>
        <w:rPr>
          <w:sz w:val="20"/>
          <w:szCs w:val="20"/>
          <w:color w:val="auto"/>
        </w:rPr>
      </w:pPr>
      <w:r>
        <w:rPr>
          <w:rFonts w:ascii="Arial" w:cs="Arial" w:eastAsia="Arial" w:hAnsi="Arial"/>
          <w:sz w:val="28"/>
          <w:szCs w:val="28"/>
          <w:b w:val="1"/>
          <w:bCs w:val="1"/>
          <w:color w:val="D52B1E"/>
        </w:rPr>
        <w:t>Appendix B - Proposed Amendments to the Company’s Articles of Incorporation</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Proposed changes to the company’s articles of incorporation are shown below related to Items 5 and 6. The changes shown to Article 9(b) will be effective if Item 5, “Proposal to Amend the Company’s Articles of Incorporation to Eliminate the Classified Board Structure,” receives the vote of at least 80 percent of the outstanding shares. The changes to Articles 9(c), 9(d), and 13 will be effective if Item 6,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6"/>
          <w:szCs w:val="16"/>
          <w:color w:val="D52B1E"/>
        </w:rPr>
        <w:t>lilly.com/leadership/governance</w:t>
      </w:r>
      <w:r>
        <w:rPr>
          <w:rFonts w:ascii="Arial" w:cs="Arial" w:eastAsia="Arial" w:hAnsi="Arial"/>
          <w:sz w:val="16"/>
          <w:szCs w:val="16"/>
          <w:color w:val="auto"/>
        </w:rPr>
        <w:t>.</w:t>
      </w:r>
    </w:p>
    <w:p>
      <w:pPr>
        <w:spacing w:after="0" w:line="327" w:lineRule="exact"/>
        <w:rPr>
          <w:sz w:val="20"/>
          <w:szCs w:val="20"/>
          <w:color w:val="auto"/>
        </w:rPr>
      </w:pPr>
    </w:p>
    <w:p>
      <w:pPr>
        <w:ind w:left="560" w:right="580" w:hanging="6"/>
        <w:spacing w:after="0" w:line="255" w:lineRule="auto"/>
        <w:tabs>
          <w:tab w:leader="none" w:pos="73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99" w:lineRule="exact"/>
        <w:rPr>
          <w:rFonts w:ascii="Arial" w:cs="Arial" w:eastAsia="Arial" w:hAnsi="Arial"/>
          <w:sz w:val="16"/>
          <w:szCs w:val="16"/>
          <w:color w:val="auto"/>
        </w:rPr>
      </w:pPr>
    </w:p>
    <w:p>
      <w:pPr>
        <w:ind w:left="560" w:right="160" w:firstLine="555"/>
        <w:spacing w:after="0" w:line="257" w:lineRule="auto"/>
        <w:tabs>
          <w:tab w:leader="none" w:pos="1481"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number of directors of the Corporation, exclusive of directors who may be elected by the holders of any one or more series of Preferred Stock pursuant to Article 7(b)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shall not be less than nine, the exact number to be fixed from time to time solely by resolution of the Board of Directors, acting by not less than a majority of the directors then in office.</w:t>
      </w:r>
    </w:p>
    <w:p>
      <w:pPr>
        <w:spacing w:after="0" w:line="109" w:lineRule="exact"/>
        <w:rPr>
          <w:rFonts w:ascii="Arial" w:cs="Arial" w:eastAsia="Arial" w:hAnsi="Arial"/>
          <w:sz w:val="16"/>
          <w:szCs w:val="16"/>
          <w:color w:val="auto"/>
        </w:rPr>
      </w:pPr>
    </w:p>
    <w:p>
      <w:pPr>
        <w:ind w:left="560" w:firstLine="555"/>
        <w:spacing w:after="0" w:line="246" w:lineRule="auto"/>
        <w:tabs>
          <w:tab w:leader="none" w:pos="1484"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Prior to the 2023 annual meeting of directors, T</w:t>
      </w:r>
      <w:r>
        <w:rPr>
          <w:rFonts w:ascii="Arial" w:cs="Arial" w:eastAsia="Arial" w:hAnsi="Arial"/>
          <w:sz w:val="16"/>
          <w:szCs w:val="16"/>
          <w:color w:val="auto"/>
          <w:strike w:val="1"/>
        </w:rPr>
        <w:t>t</w:t>
      </w:r>
      <w:r>
        <w:rPr>
          <w:rFonts w:ascii="Arial" w:cs="Arial" w:eastAsia="Arial" w:hAnsi="Arial"/>
          <w:sz w:val="16"/>
          <w:szCs w:val="16"/>
          <w:color w:val="auto"/>
        </w:rPr>
        <w:t xml:space="preserve">he Board of Directors (exclusive of Preferred Stock Directors) shall be divided into three classes, with the term of office of one class expiring each year. </w:t>
      </w:r>
      <w:r>
        <w:rPr>
          <w:rFonts w:ascii="Arial" w:cs="Arial" w:eastAsia="Arial" w:hAnsi="Arial"/>
          <w:sz w:val="16"/>
          <w:szCs w:val="16"/>
          <w:color w:val="auto"/>
          <w:strike w:val="1"/>
        </w:rPr>
        <w:t>At the annual meeting of shareholders in 1985, five directors of the first class shall be</w:t>
      </w:r>
      <w:r>
        <w:rPr>
          <w:rFonts w:ascii="Arial" w:cs="Arial" w:eastAsia="Arial" w:hAnsi="Arial"/>
          <w:sz w:val="16"/>
          <w:szCs w:val="16"/>
          <w:color w:val="auto"/>
        </w:rPr>
        <w:t xml:space="preserve"> </w:t>
      </w:r>
      <w:r>
        <w:rPr>
          <w:rFonts w:ascii="Arial" w:cs="Arial" w:eastAsia="Arial" w:hAnsi="Arial"/>
          <w:sz w:val="16"/>
          <w:szCs w:val="16"/>
          <w:color w:val="auto"/>
          <w:strike w:val="1"/>
        </w:rPr>
        <w:t>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6"/>
          <w:szCs w:val="16"/>
          <w:u w:val="single" w:color="auto"/>
          <w:color w:val="auto"/>
          <w:strike w:val="1"/>
        </w:rPr>
        <w:t>2023</w:t>
      </w:r>
      <w:r>
        <w:rPr>
          <w:rFonts w:ascii="Arial" w:cs="Arial" w:eastAsia="Arial" w:hAnsi="Arial"/>
          <w:sz w:val="16"/>
          <w:szCs w:val="16"/>
          <w:color w:val="auto"/>
          <w:strike w:val="1"/>
        </w:rPr>
        <w:t>, each class of directors whose term shall then expire shall be elected to hold office for a three</w:t>
      </w:r>
      <w:r>
        <w:rPr>
          <w:rFonts w:ascii="Arial" w:cs="Arial" w:eastAsia="Arial" w:hAnsi="Arial"/>
          <w:sz w:val="16"/>
          <w:szCs w:val="16"/>
          <w:u w:val="single" w:color="auto"/>
          <w:color w:val="auto"/>
          <w:strike w:val="1"/>
        </w:rPr>
        <w:t>one</w:t>
      </w:r>
      <w:r>
        <w:rPr>
          <w:rFonts w:ascii="Arial" w:cs="Arial" w:eastAsia="Arial" w:hAnsi="Arial"/>
          <w:sz w:val="16"/>
          <w:szCs w:val="16"/>
          <w:color w:val="auto"/>
          <w:strike w:val="1"/>
        </w:rPr>
        <w:t xml:space="preserve">-year term </w:t>
      </w:r>
      <w:r>
        <w:rPr>
          <w:rFonts w:ascii="Arial" w:cs="Arial" w:eastAsia="Arial" w:hAnsi="Arial"/>
          <w:sz w:val="16"/>
          <w:szCs w:val="16"/>
          <w:u w:val="single" w:color="auto"/>
          <w:color w:val="auto"/>
          <w:strike w:val="1"/>
        </w:rPr>
        <w:t>expiring at the next annual meeting of shareholders</w:t>
      </w:r>
      <w:r>
        <w:rPr>
          <w:rFonts w:ascii="Arial" w:cs="Arial" w:eastAsia="Arial" w:hAnsi="Arial"/>
          <w:sz w:val="16"/>
          <w:szCs w:val="16"/>
          <w:color w:val="auto"/>
          <w:strike w:val="1"/>
        </w:rPr>
        <w:t xml:space="preserve">. In the case of any vacancy on the Board of Directors, including a vacancy created by an increase in the number of </w:t>
      </w:r>
      <w:r>
        <w:rPr>
          <w:rFonts w:ascii="Arial" w:cs="Arial" w:eastAsia="Arial" w:hAnsi="Arial"/>
          <w:sz w:val="16"/>
          <w:szCs w:val="16"/>
          <w:u w:val="single" w:color="auto"/>
          <w:color w:val="auto"/>
          <w:strike w:val="1"/>
        </w:rPr>
        <w:t>D</w:t>
      </w:r>
      <w:r>
        <w:rPr>
          <w:rFonts w:ascii="Arial" w:cs="Arial" w:eastAsia="Arial" w:hAnsi="Arial"/>
          <w:sz w:val="16"/>
          <w:szCs w:val="16"/>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6"/>
          <w:szCs w:val="16"/>
          <w:u w:val="single" w:color="auto"/>
          <w:color w:val="auto"/>
          <w:strike w:val="1"/>
        </w:rPr>
        <w:t>until the next annual meeting of shareholders</w:t>
      </w:r>
      <w:r>
        <w:rPr>
          <w:rFonts w:ascii="Arial" w:cs="Arial" w:eastAsia="Arial" w:hAnsi="Arial"/>
          <w:sz w:val="16"/>
          <w:szCs w:val="16"/>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18" w:lineRule="exact"/>
        <w:rPr>
          <w:rFonts w:ascii="Arial" w:cs="Arial" w:eastAsia="Arial" w:hAnsi="Arial"/>
          <w:sz w:val="16"/>
          <w:szCs w:val="16"/>
          <w:color w:val="auto"/>
        </w:rPr>
      </w:pPr>
    </w:p>
    <w:p>
      <w:pPr>
        <w:ind w:left="560" w:right="180" w:firstLine="555"/>
        <w:spacing w:after="0" w:line="257" w:lineRule="auto"/>
        <w:tabs>
          <w:tab w:leader="none" w:pos="146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6"/>
          <w:szCs w:val="16"/>
          <w:color w:val="auto"/>
          <w:strike w:val="1"/>
        </w:rPr>
        <w:t>80%</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w:t>
      </w:r>
      <w:r>
        <w:rPr>
          <w:rFonts w:ascii="Arial" w:cs="Arial" w:eastAsia="Arial" w:hAnsi="Arial"/>
          <w:sz w:val="16"/>
          <w:szCs w:val="16"/>
          <w:color w:val="auto"/>
          <w:strike w:val="1"/>
        </w:rPr>
        <w:t>entitled to be</w:t>
      </w:r>
      <w:r>
        <w:rPr>
          <w:rFonts w:ascii="Arial" w:cs="Arial" w:eastAsia="Arial" w:hAnsi="Arial"/>
          <w:sz w:val="16"/>
          <w:szCs w:val="16"/>
          <w:color w:val="auto"/>
        </w:rPr>
        <w:t xml:space="preserve"> cast by holders of all the outstanding shares of Voting Stock (as defined in Article 13 hereof), voting together as a single class.</w:t>
      </w:r>
    </w:p>
    <w:p>
      <w:pPr>
        <w:spacing w:after="0" w:line="109" w:lineRule="exact"/>
        <w:rPr>
          <w:rFonts w:ascii="Arial" w:cs="Arial" w:eastAsia="Arial" w:hAnsi="Arial"/>
          <w:sz w:val="16"/>
          <w:szCs w:val="16"/>
          <w:color w:val="auto"/>
        </w:rPr>
      </w:pPr>
    </w:p>
    <w:p>
      <w:pPr>
        <w:ind w:left="560" w:firstLine="555"/>
        <w:spacing w:after="0" w:line="252" w:lineRule="auto"/>
        <w:tabs>
          <w:tab w:leader="none" w:pos="1484" w:val="left"/>
        </w:tabs>
        <w:numPr>
          <w:ilvl w:val="1"/>
          <w:numId w:val="225"/>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-755015</wp:posOffset>
            </wp:positionV>
            <wp:extent cx="27305" cy="76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399" w:lineRule="exact"/>
        <w:rPr>
          <w:sz w:val="20"/>
          <w:szCs w:val="20"/>
          <w:color w:val="auto"/>
        </w:rPr>
      </w:pPr>
    </w:p>
    <w:p>
      <w:pPr>
        <w:ind w:left="560" w:right="40" w:hanging="6"/>
        <w:spacing w:after="0" w:line="242" w:lineRule="auto"/>
        <w:tabs>
          <w:tab w:leader="none" w:pos="8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7176135" cy="4000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0" w:name="page121"/>
    <w:bookmarkEnd w:id="120"/>
    <w:p>
      <w:pPr>
        <w:ind w:left="920" w:hanging="365"/>
        <w:spacing w:after="0"/>
        <w:tabs>
          <w:tab w:leader="none" w:pos="9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actions or transactions within the scope of this Article 13 are as follows:</w:t>
      </w:r>
    </w:p>
    <w:p>
      <w:pPr>
        <w:spacing w:after="0" w:line="143" w:lineRule="exact"/>
        <w:rPr>
          <w:rFonts w:ascii="Arial" w:cs="Arial" w:eastAsia="Arial" w:hAnsi="Arial"/>
          <w:sz w:val="16"/>
          <w:szCs w:val="16"/>
          <w:color w:val="auto"/>
        </w:rPr>
      </w:pPr>
    </w:p>
    <w:p>
      <w:pPr>
        <w:ind w:left="1420" w:hanging="304"/>
        <w:spacing w:after="0"/>
        <w:tabs>
          <w:tab w:leader="none" w:pos="14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any merger or consolidation of </w:t>
      </w:r>
      <w:r>
        <w:rPr>
          <w:rFonts w:ascii="Arial" w:cs="Arial" w:eastAsia="Arial" w:hAnsi="Arial"/>
          <w:sz w:val="16"/>
          <w:szCs w:val="16"/>
          <w:color w:val="auto"/>
          <w:strike w:val="1"/>
        </w:rPr>
        <w:t>the Corporation or</w:t>
      </w:r>
      <w:r>
        <w:rPr>
          <w:rFonts w:ascii="Arial" w:cs="Arial" w:eastAsia="Arial" w:hAnsi="Arial"/>
          <w:sz w:val="16"/>
          <w:szCs w:val="16"/>
          <w:color w:val="auto"/>
        </w:rPr>
        <w:t xml:space="preserve"> any of </w:t>
      </w:r>
      <w:r>
        <w:rPr>
          <w:rFonts w:ascii="Arial" w:cs="Arial" w:eastAsia="Arial" w:hAnsi="Arial"/>
          <w:sz w:val="16"/>
          <w:szCs w:val="16"/>
          <w:color w:val="auto"/>
          <w:strike w:val="1"/>
        </w:rPr>
        <w:t>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Corporation’s</w:t>
      </w:r>
      <w:r>
        <w:rPr>
          <w:rFonts w:ascii="Arial" w:cs="Arial" w:eastAsia="Arial" w:hAnsi="Arial"/>
          <w:sz w:val="16"/>
          <w:szCs w:val="16"/>
          <w:color w:val="auto"/>
        </w:rPr>
        <w:t xml:space="preserve"> subsidiaries into or with such Related Person;</w:t>
      </w:r>
    </w:p>
    <w:p>
      <w:pPr>
        <w:spacing w:after="0" w:line="143" w:lineRule="exact"/>
        <w:rPr>
          <w:rFonts w:ascii="Arial" w:cs="Arial" w:eastAsia="Arial" w:hAnsi="Arial"/>
          <w:sz w:val="16"/>
          <w:szCs w:val="16"/>
          <w:color w:val="auto"/>
        </w:rPr>
      </w:pPr>
    </w:p>
    <w:p>
      <w:pPr>
        <w:ind w:left="560" w:right="780" w:firstLine="556"/>
        <w:spacing w:after="0" w:line="271" w:lineRule="auto"/>
        <w:tabs>
          <w:tab w:leader="none" w:pos="146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any sale, lease, exchange, or other disposition of all or any substantial part of the assets of </w:t>
      </w:r>
      <w:r>
        <w:rPr>
          <w:rFonts w:ascii="Arial" w:cs="Arial" w:eastAsia="Arial" w:hAnsi="Arial"/>
          <w:sz w:val="16"/>
          <w:szCs w:val="16"/>
          <w:color w:val="auto"/>
          <w:strike w:val="1"/>
        </w:rPr>
        <w:t>the Corporation</w:t>
      </w:r>
      <w:r>
        <w:rPr>
          <w:rFonts w:ascii="Arial" w:cs="Arial" w:eastAsia="Arial" w:hAnsi="Arial"/>
          <w:sz w:val="16"/>
          <w:szCs w:val="16"/>
          <w:color w:val="auto"/>
        </w:rPr>
        <w:t xml:space="preserve"> or any of i</w:t>
      </w:r>
      <w:r>
        <w:rPr>
          <w:rFonts w:ascii="Arial" w:cs="Arial" w:eastAsia="Arial" w:hAnsi="Arial"/>
          <w:sz w:val="16"/>
          <w:szCs w:val="16"/>
          <w:color w:val="auto"/>
          <w:strike w:val="1"/>
        </w:rPr>
        <w:t>ts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Corporation’s</w:t>
      </w:r>
      <w:r>
        <w:rPr>
          <w:rFonts w:ascii="Arial" w:cs="Arial" w:eastAsia="Arial" w:hAnsi="Arial"/>
          <w:sz w:val="16"/>
          <w:szCs w:val="16"/>
          <w:color w:val="auto"/>
        </w:rPr>
        <w:t xml:space="preserve"> majority-owned subsidiaries to or with such Related Person;</w:t>
      </w:r>
    </w:p>
    <w:p>
      <w:pPr>
        <w:spacing w:after="0" w:line="98" w:lineRule="exact"/>
        <w:rPr>
          <w:rFonts w:ascii="Arial" w:cs="Arial" w:eastAsia="Arial" w:hAnsi="Arial"/>
          <w:sz w:val="16"/>
          <w:szCs w:val="16"/>
          <w:color w:val="auto"/>
        </w:rPr>
      </w:pPr>
    </w:p>
    <w:p>
      <w:pPr>
        <w:ind w:left="560" w:right="40" w:firstLine="556"/>
        <w:spacing w:after="0" w:line="271" w:lineRule="auto"/>
        <w:tabs>
          <w:tab w:leader="none" w:pos="150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98" w:lineRule="exact"/>
        <w:rPr>
          <w:rFonts w:ascii="Arial" w:cs="Arial" w:eastAsia="Arial" w:hAnsi="Arial"/>
          <w:sz w:val="16"/>
          <w:szCs w:val="16"/>
          <w:color w:val="auto"/>
        </w:rPr>
      </w:pPr>
    </w:p>
    <w:p>
      <w:pPr>
        <w:ind w:left="1540" w:hanging="424"/>
        <w:spacing w:after="0"/>
        <w:tabs>
          <w:tab w:leader="none" w:pos="1540" w:val="left"/>
        </w:tabs>
        <w:numPr>
          <w:ilvl w:val="1"/>
          <w:numId w:val="227"/>
        </w:numPr>
        <w:rPr>
          <w:rFonts w:ascii="Arial" w:cs="Arial" w:eastAsia="Arial" w:hAnsi="Arial"/>
          <w:sz w:val="16"/>
          <w:szCs w:val="16"/>
          <w:color w:val="auto"/>
          <w:strike w:val="1"/>
        </w:rPr>
      </w:pPr>
      <w:r>
        <w:rPr>
          <w:rFonts w:ascii="Arial" w:cs="Arial" w:eastAsia="Arial" w:hAnsi="Arial"/>
          <w:sz w:val="16"/>
          <w:szCs w:val="16"/>
          <w:color w:val="auto"/>
          <w:strike w:val="1"/>
        </w:rPr>
        <w:t>any voluntary dissolution or liquidation of the Corporation;</w:t>
      </w:r>
    </w:p>
    <w:p>
      <w:pPr>
        <w:spacing w:after="0" w:line="143" w:lineRule="exact"/>
        <w:rPr>
          <w:sz w:val="20"/>
          <w:szCs w:val="20"/>
          <w:color w:val="auto"/>
        </w:rPr>
      </w:pPr>
    </w:p>
    <w:p>
      <w:pPr>
        <w:ind w:left="560" w:right="100" w:firstLine="561"/>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16" w:lineRule="exact"/>
        <w:rPr>
          <w:sz w:val="20"/>
          <w:szCs w:val="20"/>
          <w:color w:val="auto"/>
        </w:rPr>
      </w:pPr>
    </w:p>
    <w:p>
      <w:pPr>
        <w:ind w:left="560" w:right="380" w:firstLine="561"/>
        <w:spacing w:after="0" w:line="271" w:lineRule="auto"/>
        <w:rPr>
          <w:sz w:val="20"/>
          <w:szCs w:val="20"/>
          <w:color w:val="auto"/>
        </w:rPr>
      </w:pPr>
      <w:r>
        <w:rPr>
          <w:rFonts w:ascii="Arial" w:cs="Arial" w:eastAsia="Arial" w:hAnsi="Arial"/>
          <w:sz w:val="16"/>
          <w:szCs w:val="16"/>
          <w:color w:val="auto"/>
        </w:rPr>
        <w:t>(v</w:t>
      </w:r>
      <w:r>
        <w:rPr>
          <w:rFonts w:ascii="Arial" w:cs="Arial" w:eastAsia="Arial" w:hAnsi="Arial"/>
          <w:sz w:val="16"/>
          <w:szCs w:val="16"/>
          <w:color w:val="auto"/>
          <w:strike w:val="1"/>
        </w:rPr>
        <w:t>i</w:t>
      </w:r>
      <w:r>
        <w:rPr>
          <w:rFonts w:ascii="Arial" w:cs="Arial" w:eastAsia="Arial" w:hAnsi="Arial"/>
          <w:sz w:val="16"/>
          <w:szCs w:val="16"/>
          <w:color w:val="auto"/>
        </w:rPr>
        <w:t>) any agreement, contract, or other arrangement providing for any one or more of the actions specified in the foregoing clauses (i) through (iv).</w:t>
      </w:r>
    </w:p>
    <w:p>
      <w:pPr>
        <w:spacing w:after="0" w:line="98" w:lineRule="exact"/>
        <w:rPr>
          <w:sz w:val="20"/>
          <w:szCs w:val="20"/>
          <w:color w:val="auto"/>
        </w:rPr>
      </w:pPr>
    </w:p>
    <w:p>
      <w:pPr>
        <w:ind w:right="140" w:firstLine="625"/>
        <w:spacing w:after="0" w:line="271" w:lineRule="auto"/>
        <w:tabs>
          <w:tab w:leader="none" w:pos="99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The actions and transactions described in paragraph (a) of this Article 13 shall have been authorized by the affirmative vote of </w:t>
      </w:r>
      <w:r>
        <w:rPr>
          <w:rFonts w:ascii="Arial" w:cs="Arial" w:eastAsia="Arial" w:hAnsi="Arial"/>
          <w:sz w:val="16"/>
          <w:szCs w:val="16"/>
          <w:color w:val="auto"/>
          <w:strike w:val="1"/>
        </w:rPr>
        <w:t>at least 80%</w:t>
      </w:r>
      <w:r>
        <w:rPr>
          <w:rFonts w:ascii="Arial" w:cs="Arial" w:eastAsia="Arial" w:hAnsi="Arial"/>
          <w:sz w:val="16"/>
          <w:szCs w:val="16"/>
          <w:color w:val="auto"/>
        </w:rPr>
        <w:t xml:space="preserve"> </w:t>
      </w:r>
      <w:r>
        <w:rPr>
          <w:rFonts w:ascii="Arial" w:cs="Arial" w:eastAsia="Arial" w:hAnsi="Arial"/>
          <w:sz w:val="16"/>
          <w:szCs w:val="16"/>
          <w:color w:val="auto"/>
          <w:strike w:val="1"/>
        </w:rPr>
        <w:t>of all</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entitled to be cast by holders of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the outstanding shares of Voting Stock, voting together as a single class.</w:t>
      </w:r>
    </w:p>
    <w:p>
      <w:pPr>
        <w:spacing w:after="0" w:line="98" w:lineRule="exact"/>
        <w:rPr>
          <w:rFonts w:ascii="Arial" w:cs="Arial" w:eastAsia="Arial" w:hAnsi="Arial"/>
          <w:sz w:val="16"/>
          <w:szCs w:val="16"/>
          <w:color w:val="auto"/>
        </w:rPr>
      </w:pPr>
    </w:p>
    <w:p>
      <w:pPr>
        <w:jc w:val="both"/>
        <w:ind w:right="60" w:firstLine="625"/>
        <w:spacing w:after="0" w:line="257" w:lineRule="auto"/>
        <w:tabs>
          <w:tab w:leader="none" w:pos="98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Notwithstanding paragraph (b) of this Article 13, the </w:t>
      </w:r>
      <w:r>
        <w:rPr>
          <w:rFonts w:ascii="Arial" w:cs="Arial" w:eastAsia="Arial" w:hAnsi="Arial"/>
          <w:sz w:val="16"/>
          <w:szCs w:val="16"/>
          <w:color w:val="auto"/>
          <w:strike w:val="1"/>
        </w:rPr>
        <w:t>80%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shareholder approval</w:t>
      </w:r>
      <w:r>
        <w:rPr>
          <w:rFonts w:ascii="Arial" w:cs="Arial" w:eastAsia="Arial" w:hAnsi="Arial"/>
          <w:sz w:val="16"/>
          <w:szCs w:val="16"/>
          <w:color w:val="auto"/>
        </w:rPr>
        <w:t xml:space="preserve"> requirement </w:t>
      </w:r>
      <w:r>
        <w:rPr>
          <w:rFonts w:ascii="Arial" w:cs="Arial" w:eastAsia="Arial" w:hAnsi="Arial"/>
          <w:sz w:val="16"/>
          <w:szCs w:val="16"/>
          <w:u w:val="single" w:color="auto"/>
          <w:color w:val="auto"/>
        </w:rPr>
        <w:t>set forth in paragraph (b)</w:t>
      </w:r>
      <w:r>
        <w:rPr>
          <w:rFonts w:ascii="Arial" w:cs="Arial" w:eastAsia="Arial" w:hAnsi="Arial"/>
          <w:sz w:val="16"/>
          <w:szCs w:val="16"/>
          <w:color w:val="auto"/>
        </w:rPr>
        <w:t xml:space="preserve"> shall not be applicable if any action or transaction specified in paragraph (a) is approved by the Corporation’s Board of Directors and by a majority of the Continuing Directors (as hereinafter defined).</w:t>
      </w:r>
    </w:p>
    <w:p>
      <w:pPr>
        <w:spacing w:after="0" w:line="109" w:lineRule="exact"/>
        <w:rPr>
          <w:rFonts w:ascii="Arial" w:cs="Arial" w:eastAsia="Arial" w:hAnsi="Arial"/>
          <w:sz w:val="16"/>
          <w:szCs w:val="16"/>
          <w:color w:val="auto"/>
        </w:rPr>
      </w:pPr>
    </w:p>
    <w:p>
      <w:pPr>
        <w:ind w:left="980" w:hanging="355"/>
        <w:spacing w:after="0"/>
        <w:tabs>
          <w:tab w:leader="none" w:pos="9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Unless approved by a majority of the Continuing Directors, after becoming a Related Person and prior to consummation of such action or</w:t>
      </w:r>
    </w:p>
    <w:p>
      <w:pPr>
        <w:spacing w:after="0" w:line="1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transaction.:</w:t>
      </w:r>
    </w:p>
    <w:p>
      <w:pPr>
        <w:spacing w:after="0" w:line="129" w:lineRule="exact"/>
        <w:rPr>
          <w:rFonts w:ascii="Arial" w:cs="Arial" w:eastAsia="Arial" w:hAnsi="Arial"/>
          <w:sz w:val="16"/>
          <w:szCs w:val="16"/>
          <w:color w:val="auto"/>
        </w:rPr>
      </w:pPr>
    </w:p>
    <w:p>
      <w:pPr>
        <w:ind w:left="560" w:right="300" w:firstLine="556"/>
        <w:spacing w:after="0" w:line="252" w:lineRule="auto"/>
        <w:tabs>
          <w:tab w:leader="none" w:pos="1432" w:val="left"/>
        </w:tabs>
        <w:numPr>
          <w:ilvl w:val="2"/>
          <w:numId w:val="228"/>
        </w:numPr>
        <w:rPr>
          <w:rFonts w:ascii="Arial" w:cs="Arial" w:eastAsia="Arial" w:hAnsi="Arial"/>
          <w:sz w:val="16"/>
          <w:szCs w:val="16"/>
          <w:color w:val="auto"/>
        </w:rPr>
      </w:pPr>
      <w:r>
        <w:rPr>
          <w:rFonts w:ascii="Arial" w:cs="Arial" w:eastAsia="Arial" w:hAnsi="Arial"/>
          <w:sz w:val="16"/>
          <w:szCs w:val="16"/>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15" w:lineRule="exact"/>
        <w:rPr>
          <w:rFonts w:ascii="Arial" w:cs="Arial" w:eastAsia="Arial" w:hAnsi="Arial"/>
          <w:sz w:val="16"/>
          <w:szCs w:val="16"/>
          <w:color w:val="auto"/>
        </w:rPr>
      </w:pPr>
    </w:p>
    <w:p>
      <w:pPr>
        <w:ind w:left="560" w:firstLine="556"/>
        <w:spacing w:after="0" w:line="250" w:lineRule="auto"/>
        <w:tabs>
          <w:tab w:leader="none" w:pos="1467" w:val="left"/>
        </w:tabs>
        <w:numPr>
          <w:ilvl w:val="2"/>
          <w:numId w:val="228"/>
        </w:numPr>
        <w:rPr>
          <w:rFonts w:ascii="Arial" w:cs="Arial" w:eastAsia="Arial" w:hAnsi="Arial"/>
          <w:sz w:val="16"/>
          <w:szCs w:val="16"/>
          <w:color w:val="auto"/>
        </w:rPr>
      </w:pPr>
      <w:r>
        <w:rPr>
          <w:rFonts w:ascii="Arial" w:cs="Arial" w:eastAsia="Arial" w:hAnsi="Arial"/>
          <w:sz w:val="16"/>
          <w:szCs w:val="16"/>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116" w:lineRule="exact"/>
        <w:rPr>
          <w:rFonts w:ascii="Arial" w:cs="Arial" w:eastAsia="Arial" w:hAnsi="Arial"/>
          <w:sz w:val="16"/>
          <w:szCs w:val="16"/>
          <w:color w:val="auto"/>
        </w:rPr>
      </w:pPr>
    </w:p>
    <w:p>
      <w:pPr>
        <w:ind w:left="560" w:right="60" w:firstLine="556"/>
        <w:spacing w:after="0" w:line="250" w:lineRule="auto"/>
        <w:tabs>
          <w:tab w:leader="none" w:pos="1501" w:val="left"/>
        </w:tabs>
        <w:numPr>
          <w:ilvl w:val="2"/>
          <w:numId w:val="228"/>
        </w:numPr>
        <w:rPr>
          <w:rFonts w:ascii="Arial" w:cs="Arial" w:eastAsia="Arial" w:hAnsi="Arial"/>
          <w:sz w:val="16"/>
          <w:szCs w:val="16"/>
          <w:color w:val="auto"/>
        </w:rPr>
      </w:pPr>
      <w:r>
        <w:rPr>
          <w:rFonts w:ascii="Arial" w:cs="Arial" w:eastAsia="Arial" w:hAnsi="Arial"/>
          <w:sz w:val="16"/>
          <w:szCs w:val="16"/>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16" w:lineRule="exact"/>
        <w:rPr>
          <w:rFonts w:ascii="Arial" w:cs="Arial" w:eastAsia="Arial" w:hAnsi="Arial"/>
          <w:sz w:val="16"/>
          <w:szCs w:val="16"/>
          <w:color w:val="auto"/>
        </w:rPr>
      </w:pPr>
    </w:p>
    <w:p>
      <w:pPr>
        <w:ind w:right="320" w:firstLine="555"/>
        <w:spacing w:after="0" w:line="271" w:lineRule="auto"/>
        <w:tabs>
          <w:tab w:leader="none" w:pos="91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proxy statement responsive to the requirements of the Securities Exchange Act of 1934, as amended, whether or not the Corporation is then subject to such requirements, shall be mailed</w:t>
      </w:r>
    </w:p>
    <w:p>
      <w:pPr>
        <w:spacing w:after="0" w:line="37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117475</wp:posOffset>
            </wp:positionV>
            <wp:extent cx="7176135" cy="4000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680"/>
          </w:cols>
          <w:pgMar w:left="880" w:top="674" w:right="339" w:bottom="1440" w:gutter="0" w:footer="0" w:header="0"/>
        </w:sectPr>
      </w:pPr>
    </w:p>
    <w:bookmarkStart w:id="121" w:name="page122"/>
    <w:bookmarkEnd w:id="121"/>
    <w:p>
      <w:pPr>
        <w:ind w:right="40"/>
        <w:spacing w:after="0" w:line="249" w:lineRule="auto"/>
        <w:rPr>
          <w:sz w:val="20"/>
          <w:szCs w:val="20"/>
          <w:color w:val="auto"/>
        </w:rPr>
      </w:pPr>
      <w:r>
        <w:rPr>
          <w:rFonts w:ascii="Arial" w:cs="Arial" w:eastAsia="Arial" w:hAnsi="Arial"/>
          <w:sz w:val="16"/>
          <w:szCs w:val="16"/>
          <w:color w:val="auto"/>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116" w:lineRule="exact"/>
        <w:rPr>
          <w:sz w:val="20"/>
          <w:szCs w:val="20"/>
          <w:color w:val="auto"/>
        </w:rPr>
      </w:pPr>
    </w:p>
    <w:p>
      <w:pPr>
        <w:ind w:left="880" w:hanging="325"/>
        <w:spacing w:after="0"/>
        <w:tabs>
          <w:tab w:leader="none" w:pos="8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For the purpose of this Article 13:</w:t>
      </w:r>
    </w:p>
    <w:p>
      <w:pPr>
        <w:spacing w:after="0" w:line="143" w:lineRule="exact"/>
        <w:rPr>
          <w:rFonts w:ascii="Arial" w:cs="Arial" w:eastAsia="Arial" w:hAnsi="Arial"/>
          <w:sz w:val="16"/>
          <w:szCs w:val="16"/>
          <w:color w:val="auto"/>
        </w:rPr>
      </w:pPr>
    </w:p>
    <w:p>
      <w:pPr>
        <w:ind w:left="560" w:right="20" w:firstLine="556"/>
        <w:spacing w:after="0" w:line="248" w:lineRule="auto"/>
        <w:tabs>
          <w:tab w:leader="none" w:pos="1432"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Related Person</w:t>
      </w:r>
      <w:r>
        <w:rPr>
          <w:rFonts w:ascii="Arial" w:cs="Arial" w:eastAsia="Arial" w:hAnsi="Arial"/>
          <w:sz w:val="16"/>
          <w:szCs w:val="16"/>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that no corporation, person, or entity shall be deemed to be a Related Person solely by reason of being an Affiliate or Associate of Lilly Endowment, Inc.;</w:t>
      </w:r>
    </w:p>
    <w:p>
      <w:pPr>
        <w:spacing w:after="0" w:line="117" w:lineRule="exact"/>
        <w:rPr>
          <w:rFonts w:ascii="Arial" w:cs="Arial" w:eastAsia="Arial" w:hAnsi="Arial"/>
          <w:sz w:val="16"/>
          <w:szCs w:val="16"/>
          <w:color w:val="auto"/>
        </w:rPr>
      </w:pPr>
    </w:p>
    <w:p>
      <w:pPr>
        <w:ind w:left="560" w:right="160" w:firstLine="556"/>
        <w:spacing w:after="0" w:line="271" w:lineRule="auto"/>
        <w:tabs>
          <w:tab w:leader="none" w:pos="146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 Related Person shall be deemed to own or control, directly or indirectly, any outstanding shares of Voting Stock owned by it or any Affiliate or Associate of record or beneficially, including, without limitation, shares</w:t>
      </w:r>
    </w:p>
    <w:p>
      <w:pPr>
        <w:spacing w:after="0" w:line="98" w:lineRule="exact"/>
        <w:rPr>
          <w:rFonts w:ascii="Arial" w:cs="Arial" w:eastAsia="Arial" w:hAnsi="Arial"/>
          <w:sz w:val="16"/>
          <w:szCs w:val="16"/>
          <w:color w:val="auto"/>
        </w:rPr>
      </w:pPr>
    </w:p>
    <w:p>
      <w:pPr>
        <w:ind w:left="1120" w:right="360" w:firstLine="556"/>
        <w:spacing w:after="0" w:line="271" w:lineRule="auto"/>
        <w:tabs>
          <w:tab w:leader="none" w:pos="1984" w:val="left"/>
        </w:tabs>
        <w:numPr>
          <w:ilvl w:val="2"/>
          <w:numId w:val="230"/>
        </w:numPr>
        <w:rPr>
          <w:rFonts w:ascii="Arial" w:cs="Arial" w:eastAsia="Arial" w:hAnsi="Arial"/>
          <w:sz w:val="16"/>
          <w:szCs w:val="16"/>
          <w:color w:val="auto"/>
        </w:rPr>
      </w:pPr>
      <w:r>
        <w:rPr>
          <w:rFonts w:ascii="Arial" w:cs="Arial" w:eastAsia="Arial" w:hAnsi="Arial"/>
          <w:sz w:val="16"/>
          <w:szCs w:val="16"/>
          <w:color w:val="auto"/>
        </w:rPr>
        <w:t>which it has the right to acquire pursuant to any agreement, or upon exercise of conversion rights, warrants, or options, or otherwise; or</w:t>
      </w:r>
    </w:p>
    <w:p>
      <w:pPr>
        <w:spacing w:after="0" w:line="98" w:lineRule="exact"/>
        <w:rPr>
          <w:rFonts w:ascii="Arial" w:cs="Arial" w:eastAsia="Arial" w:hAnsi="Arial"/>
          <w:sz w:val="16"/>
          <w:szCs w:val="16"/>
          <w:color w:val="auto"/>
        </w:rPr>
      </w:pPr>
    </w:p>
    <w:p>
      <w:pPr>
        <w:ind w:left="1120" w:right="20" w:firstLine="556"/>
        <w:spacing w:after="0" w:line="252" w:lineRule="auto"/>
        <w:tabs>
          <w:tab w:leader="none" w:pos="1984" w:val="left"/>
        </w:tabs>
        <w:numPr>
          <w:ilvl w:val="2"/>
          <w:numId w:val="230"/>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15" w:lineRule="exact"/>
        <w:rPr>
          <w:rFonts w:ascii="Arial" w:cs="Arial" w:eastAsia="Arial" w:hAnsi="Arial"/>
          <w:sz w:val="16"/>
          <w:szCs w:val="16"/>
          <w:color w:val="auto"/>
        </w:rPr>
      </w:pPr>
    </w:p>
    <w:p>
      <w:pPr>
        <w:ind w:left="560" w:right="20" w:firstLine="556"/>
        <w:spacing w:after="0" w:line="271" w:lineRule="auto"/>
        <w:tabs>
          <w:tab w:leader="none" w:pos="150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Voting Stock</w:t>
      </w:r>
      <w:r>
        <w:rPr>
          <w:rFonts w:ascii="Arial" w:cs="Arial" w:eastAsia="Arial" w:hAnsi="Arial"/>
          <w:sz w:val="16"/>
          <w:szCs w:val="16"/>
          <w:color w:val="auto"/>
        </w:rPr>
        <w:t>” shall mean all shares of any class of capital stock of the Corporation which are entitled to vote generally in the election of directors;</w:t>
      </w:r>
    </w:p>
    <w:p>
      <w:pPr>
        <w:spacing w:after="0" w:line="98" w:lineRule="exact"/>
        <w:rPr>
          <w:rFonts w:ascii="Arial" w:cs="Arial" w:eastAsia="Arial" w:hAnsi="Arial"/>
          <w:sz w:val="16"/>
          <w:szCs w:val="16"/>
          <w:color w:val="auto"/>
        </w:rPr>
      </w:pPr>
    </w:p>
    <w:p>
      <w:pPr>
        <w:jc w:val="both"/>
        <w:ind w:left="560" w:right="40" w:firstLine="556"/>
        <w:spacing w:after="0" w:line="252" w:lineRule="auto"/>
        <w:tabs>
          <w:tab w:leader="none" w:pos="151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15" w:lineRule="exact"/>
        <w:rPr>
          <w:rFonts w:ascii="Arial" w:cs="Arial" w:eastAsia="Arial" w:hAnsi="Arial"/>
          <w:sz w:val="16"/>
          <w:szCs w:val="16"/>
          <w:color w:val="auto"/>
        </w:rPr>
      </w:pPr>
    </w:p>
    <w:p>
      <w:pPr>
        <w:ind w:left="1480" w:hanging="364"/>
        <w:spacing w:after="0"/>
        <w:tabs>
          <w:tab w:leader="none" w:pos="1480" w:val="left"/>
        </w:tabs>
        <w:numPr>
          <w:ilvl w:val="1"/>
          <w:numId w:val="230"/>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Remaining Public Shareholders</w:t>
      </w:r>
      <w:r>
        <w:rPr>
          <w:rFonts w:ascii="Arial" w:cs="Arial" w:eastAsia="Arial" w:hAnsi="Arial"/>
          <w:sz w:val="14"/>
          <w:szCs w:val="14"/>
          <w:color w:val="auto"/>
        </w:rPr>
        <w:t>” shall mean the holders of the Corporation’s capital stock other than the Related Person.</w:t>
      </w:r>
    </w:p>
    <w:p>
      <w:pPr>
        <w:spacing w:after="0" w:line="166" w:lineRule="exact"/>
        <w:rPr>
          <w:rFonts w:ascii="Arial" w:cs="Arial" w:eastAsia="Arial" w:hAnsi="Arial"/>
          <w:sz w:val="14"/>
          <w:szCs w:val="14"/>
          <w:color w:val="auto"/>
        </w:rPr>
      </w:pPr>
    </w:p>
    <w:p>
      <w:pPr>
        <w:ind w:firstLine="555"/>
        <w:spacing w:after="0" w:line="300" w:lineRule="auto"/>
        <w:tabs>
          <w:tab w:leader="none" w:pos="915" w:val="left"/>
        </w:tabs>
        <w:numPr>
          <w:ilvl w:val="0"/>
          <w:numId w:val="230"/>
        </w:numPr>
        <w:rPr>
          <w:rFonts w:ascii="Arial" w:cs="Arial" w:eastAsia="Arial" w:hAnsi="Arial"/>
          <w:sz w:val="14"/>
          <w:szCs w:val="14"/>
          <w:color w:val="auto"/>
        </w:rPr>
      </w:pPr>
      <w:r>
        <w:rPr>
          <w:rFonts w:ascii="Arial" w:cs="Arial" w:eastAsia="Arial" w:hAnsi="Arial"/>
          <w:sz w:val="14"/>
          <w:szCs w:val="14"/>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82" w:lineRule="exact"/>
        <w:rPr>
          <w:rFonts w:ascii="Arial" w:cs="Arial" w:eastAsia="Arial" w:hAnsi="Arial"/>
          <w:sz w:val="14"/>
          <w:szCs w:val="14"/>
          <w:color w:val="auto"/>
        </w:rPr>
      </w:pPr>
    </w:p>
    <w:p>
      <w:pPr>
        <w:ind w:right="120" w:firstLine="555"/>
        <w:spacing w:after="0" w:line="271" w:lineRule="auto"/>
        <w:tabs>
          <w:tab w:leader="none" w:pos="92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Nothing contained in this Article 13 shall be construed to relieve any Related Person or any Affiliate or Associate of any Related Person from any fiduciary obligation imposed by law.</w:t>
      </w:r>
    </w:p>
    <w:p>
      <w:pPr>
        <w:spacing w:after="0" w:line="98" w:lineRule="exact"/>
        <w:rPr>
          <w:rFonts w:ascii="Arial" w:cs="Arial" w:eastAsia="Arial" w:hAnsi="Arial"/>
          <w:sz w:val="16"/>
          <w:szCs w:val="16"/>
          <w:color w:val="auto"/>
        </w:rPr>
      </w:pPr>
    </w:p>
    <w:p>
      <w:pPr>
        <w:ind w:left="860" w:hanging="305"/>
        <w:spacing w:after="0"/>
        <w:tabs>
          <w:tab w:leader="none" w:pos="8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fact that any action or transaction complies with the provisions of this Article 13 shall</w:t>
      </w:r>
    </w:p>
    <w:p>
      <w:pPr>
        <w:spacing w:after="0" w:line="200" w:lineRule="exact"/>
        <w:rPr>
          <w:sz w:val="20"/>
          <w:szCs w:val="20"/>
          <w:color w:val="auto"/>
        </w:rPr>
      </w:pPr>
    </w:p>
    <w:p>
      <w:pPr>
        <w:spacing w:after="0" w:line="2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117475</wp:posOffset>
            </wp:positionV>
            <wp:extent cx="7176135" cy="4000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700"/>
          </w:cols>
          <w:pgMar w:left="880" w:top="685" w:right="319" w:bottom="1440" w:gutter="0" w:footer="0" w:header="0"/>
        </w:sectPr>
      </w:pPr>
    </w:p>
    <w:bookmarkStart w:id="122" w:name="page123"/>
    <w:bookmarkEnd w:id="122"/>
    <w:p>
      <w:pPr>
        <w:ind w:right="20"/>
        <w:spacing w:after="0" w:line="247" w:lineRule="auto"/>
        <w:rPr>
          <w:sz w:val="20"/>
          <w:szCs w:val="20"/>
          <w:color w:val="auto"/>
        </w:rPr>
      </w:pPr>
      <w:r>
        <w:rPr>
          <w:rFonts w:ascii="Arial" w:cs="Arial" w:eastAsia="Arial" w:hAnsi="Arial"/>
          <w:sz w:val="16"/>
          <w:szCs w:val="16"/>
          <w:color w:val="auto"/>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21" w:lineRule="exact"/>
        <w:rPr>
          <w:sz w:val="20"/>
          <w:szCs w:val="20"/>
          <w:color w:val="auto"/>
        </w:rPr>
      </w:pPr>
    </w:p>
    <w:p>
      <w:pPr>
        <w:ind w:firstLine="555"/>
        <w:spacing w:after="0" w:line="252" w:lineRule="auto"/>
        <w:tabs>
          <w:tab w:leader="none" w:pos="872" w:val="left"/>
        </w:tabs>
        <w:numPr>
          <w:ilvl w:val="0"/>
          <w:numId w:val="231"/>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117475</wp:posOffset>
            </wp:positionV>
            <wp:extent cx="7176135" cy="4000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660"/>
          </w:cols>
          <w:pgMar w:left="880" w:top="685" w:right="35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1082675</wp:posOffset>
            </wp:positionV>
            <wp:extent cx="4984750" cy="642366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clrChange>
                        <a:clrFrom>
                          <a:srgbClr val="FFFFFF"/>
                        </a:clrFrom>
                        <a:clrTo>
                          <a:srgbClr val="FFFFFF">
                            <a:alpha val="0"/>
                          </a:srgbClr>
                        </a:clrTo>
                      </a:clrChange>
                      <a:extLst>
                        <a:ext uri="{28A0092B-C50C-407E-A947-70E740481C1C}"/>
                      </a:extLst>
                    </a:blip>
                    <a:srcRect/>
                    <a:stretch>
                      <a:fillRect/>
                    </a:stretch>
                  </pic:blipFill>
                  <pic:spPr bwMode="auto">
                    <a:xfrm>
                      <a:off x="0" y="0"/>
                      <a:ext cx="4984750" cy="642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132080</wp:posOffset>
            </wp:positionV>
            <wp:extent cx="7176135" cy="4000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697230</wp:posOffset>
            </wp:positionV>
            <wp:extent cx="4984750" cy="644588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clrChange>
                        <a:clrFrom>
                          <a:srgbClr val="FFFFFF"/>
                        </a:clrFrom>
                        <a:clrTo>
                          <a:srgbClr val="FFFFFF">
                            <a:alpha val="0"/>
                          </a:srgbClr>
                        </a:clrTo>
                      </a:clrChange>
                      <a:extLst>
                        <a:ext uri="{28A0092B-C50C-407E-A947-70E740481C1C}"/>
                      </a:extLst>
                    </a:blip>
                    <a:srcRect/>
                    <a:stretch>
                      <a:fillRect/>
                    </a:stretch>
                  </pic:blipFill>
                  <pic:spPr bwMode="auto">
                    <a:xfrm>
                      <a:off x="0" y="0"/>
                      <a:ext cx="4984750" cy="644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132080</wp:posOffset>
            </wp:positionV>
            <wp:extent cx="7176135" cy="4000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504190</wp:posOffset>
            </wp:positionV>
            <wp:extent cx="4984750" cy="642366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clrChange>
                        <a:clrFrom>
                          <a:srgbClr val="FFFFFF"/>
                        </a:clrFrom>
                        <a:clrTo>
                          <a:srgbClr val="FFFFFF">
                            <a:alpha val="0"/>
                          </a:srgbClr>
                        </a:clrTo>
                      </a:clrChange>
                      <a:extLst>
                        <a:ext uri="{28A0092B-C50C-407E-A947-70E740481C1C}"/>
                      </a:extLst>
                    </a:blip>
                    <a:srcRect/>
                    <a:stretch>
                      <a:fillRect/>
                    </a:stretch>
                  </pic:blipFill>
                  <pic:spPr bwMode="auto">
                    <a:xfrm>
                      <a:off x="0" y="0"/>
                      <a:ext cx="4984750" cy="642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132080</wp:posOffset>
            </wp:positionV>
            <wp:extent cx="7176135" cy="4000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504190</wp:posOffset>
            </wp:positionV>
            <wp:extent cx="4984750" cy="644588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clrChange>
                        <a:clrFrom>
                          <a:srgbClr val="FFFFFF"/>
                        </a:clrFrom>
                        <a:clrTo>
                          <a:srgbClr val="FFFFFF">
                            <a:alpha val="0"/>
                          </a:srgbClr>
                        </a:clrTo>
                      </a:clrChange>
                      <a:extLst>
                        <a:ext uri="{28A0092B-C50C-407E-A947-70E740481C1C}"/>
                      </a:extLst>
                    </a:blip>
                    <a:srcRect/>
                    <a:stretch>
                      <a:fillRect/>
                    </a:stretch>
                  </pic:blipFill>
                  <pic:spPr bwMode="auto">
                    <a:xfrm>
                      <a:off x="0" y="0"/>
                      <a:ext cx="4984750" cy="644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9B7AAA2"/>
    <w:multiLevelType w:val="hybridMultilevel"/>
    <w:lvl w:ilvl="0">
      <w:lvlJc w:val="left"/>
      <w:lvlText w:val="x"/>
      <w:numFmt w:val="bullet"/>
      <w:start w:val="1"/>
    </w:lvl>
  </w:abstractNum>
  <w:abstractNum w:abstractNumId="1">
    <w:nsid w:val="2B0D8DBE"/>
    <w:multiLevelType w:val="hybridMultilevel"/>
    <w:lvl w:ilvl="0">
      <w:lvlJc w:val="left"/>
      <w:lvlText w:val="o"/>
      <w:numFmt w:val="bullet"/>
      <w:start w:val="1"/>
    </w:lvl>
  </w:abstractNum>
  <w:abstractNum w:abstractNumId="2">
    <w:nsid w:val="6C80EC70"/>
    <w:multiLevelType w:val="hybridMultilevel"/>
    <w:lvl w:ilvl="0">
      <w:lvlJc w:val="left"/>
      <w:lvlText w:val="o"/>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endash "/>
      <w:numFmt w:val="bullet"/>
      <w:start w:val="1"/>
    </w:lvl>
  </w:abstractNum>
  <w:abstractNum w:abstractNumId="15">
    <w:nsid w:val="4F97E3E4"/>
    <w:multiLevelType w:val="hybridMultilevel"/>
    <w:lvl w:ilvl="0">
      <w:lvlJc w:val="left"/>
      <w:lvlText w:val="\endash "/>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lvl w:ilvl="1">
      <w:lvlJc w:val="left"/>
      <w:lvlText w:val="\endash "/>
      <w:numFmt w:val="bullet"/>
      <w:start w:val="1"/>
    </w:lvl>
  </w:abstractNum>
  <w:abstractNum w:abstractNumId="19">
    <w:nsid w:val="56438D15"/>
    <w:multiLevelType w:val="hybridMultilevel"/>
    <w:lvl w:ilvl="0">
      <w:lvlJc w:val="left"/>
      <w:lvlText w:val="\endash "/>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endash "/>
      <w:numFmt w:val="bullet"/>
      <w:start w:val="1"/>
    </w:lvl>
  </w:abstractNum>
  <w:abstractNum w:abstractNumId="24">
    <w:nsid w:val="5046B5A9"/>
    <w:multiLevelType w:val="hybridMultilevel"/>
    <w:lvl w:ilvl="0">
      <w:lvlJc w:val="left"/>
      <w:lvlText w:val="\endash "/>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lvl w:ilvl="1">
      <w:lvlJc w:val="left"/>
      <w:lvlText w:val="\endash "/>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endash "/>
      <w:numFmt w:val="bullet"/>
      <w:start w:val="1"/>
    </w:lvl>
    <w:lvl w:ilvl="1">
      <w:lvlJc w:val="left"/>
      <w:lvlText w:val="\endash "/>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lvl w:ilvl="1">
      <w:lvlJc w:val="left"/>
      <w:lvlText w:val="\endash "/>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endash "/>
      <w:numFmt w:val="bullet"/>
      <w:start w:val="1"/>
    </w:lvl>
  </w:abstractNum>
  <w:abstractNum w:abstractNumId="33">
    <w:nsid w:val="4427069A"/>
    <w:multiLevelType w:val="hybridMultilevel"/>
    <w:lvl w:ilvl="0">
      <w:lvlJc w:val="left"/>
      <w:lvlText w:val="\endash "/>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endash "/>
      <w:numFmt w:val="bullet"/>
      <w:start w:val="1"/>
    </w:lvl>
  </w:abstractNum>
  <w:abstractNum w:abstractNumId="38">
    <w:nsid w:val="BFFAE18"/>
    <w:multiLevelType w:val="hybridMultilevel"/>
    <w:lvl w:ilvl="0">
      <w:lvlJc w:val="left"/>
      <w:lvlText w:val="\endash "/>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lvl w:ilvl="1">
      <w:lvlJc w:val="left"/>
      <w:lvlText w:val="\endash "/>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endash "/>
      <w:numFmt w:val="bullet"/>
      <w:start w:val="1"/>
    </w:lvl>
  </w:abstractNum>
  <w:abstractNum w:abstractNumId="43">
    <w:nsid w:val="5551B9F3"/>
    <w:multiLevelType w:val="hybridMultilevel"/>
    <w:lvl w:ilvl="0">
      <w:lvlJc w:val="left"/>
      <w:lvlText w:val="\endash "/>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endash "/>
      <w:numFmt w:val="bullet"/>
      <w:start w:val="1"/>
    </w:lvl>
  </w:abstractNum>
  <w:abstractNum w:abstractNumId="48">
    <w:nsid w:val="1849C29B"/>
    <w:multiLevelType w:val="hybridMultilevel"/>
    <w:lvl w:ilvl="0">
      <w:lvlJc w:val="left"/>
      <w:lvlText w:val="\endash "/>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endash "/>
      <w:numFmt w:val="bullet"/>
      <w:start w:val="1"/>
    </w:lvl>
  </w:abstractNum>
  <w:abstractNum w:abstractNumId="53">
    <w:nsid w:val="1816F8C4"/>
    <w:multiLevelType w:val="hybridMultilevel"/>
    <w:lvl w:ilvl="0">
      <w:lvlJc w:val="left"/>
      <w:lvlText w:val="\endash "/>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lvl w:ilvl="1">
      <w:lvlJc w:val="left"/>
      <w:lvlText w:val="\endash "/>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endash "/>
      <w:numFmt w:val="bullet"/>
      <w:start w:val="1"/>
    </w:lvl>
  </w:abstractNum>
  <w:abstractNum w:abstractNumId="58">
    <w:nsid w:val="597B4D84"/>
    <w:multiLevelType w:val="hybridMultilevel"/>
    <w:lvl w:ilvl="0">
      <w:lvlJc w:val="left"/>
      <w:lvlText w:val="\endash "/>
      <w:numFmt w:val="bullet"/>
      <w:start w:val="1"/>
    </w:lvl>
  </w:abstractNum>
  <w:abstractNum w:abstractNumId="59">
    <w:nsid w:val="F819E7F"/>
    <w:multiLevelType w:val="hybridMultilevel"/>
    <w:lvl w:ilvl="0">
      <w:lvlJc w:val="left"/>
      <w:lvlText w:val="\endash "/>
      <w:numFmt w:val="bullet"/>
      <w:start w:val="1"/>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endash "/>
      <w:numFmt w:val="bullet"/>
      <w:start w:val="1"/>
    </w:lvl>
  </w:abstractNum>
  <w:abstractNum w:abstractNumId="64">
    <w:nsid w:val="75486E47"/>
    <w:multiLevelType w:val="hybridMultilevel"/>
    <w:lvl w:ilvl="0">
      <w:lvlJc w:val="left"/>
      <w:lvlText w:val="\endash "/>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endash "/>
      <w:numFmt w:val="bullet"/>
      <w:start w:val="1"/>
    </w:lvl>
  </w:abstractNum>
  <w:abstractNum w:abstractNumId="69">
    <w:nsid w:val="260D8C4A"/>
    <w:multiLevelType w:val="hybridMultilevel"/>
    <w:lvl w:ilvl="0">
      <w:lvlJc w:val="left"/>
      <w:lvlText w:val="\endash "/>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
      <w:numFmt w:val="bullet"/>
      <w:start w:val="1"/>
    </w:lvl>
  </w:abstractNum>
  <w:abstractNum w:abstractNumId="73">
    <w:nsid w:val="3FC32E20"/>
    <w:multiLevelType w:val="hybridMultilevel"/>
    <w:lvl w:ilvl="0">
      <w:lvlJc w:val="left"/>
      <w:lvlText w:val="\endash "/>
      <w:numFmt w:val="bullet"/>
      <w:start w:val="1"/>
    </w:lvl>
  </w:abstractNum>
  <w:abstractNum w:abstractNumId="74">
    <w:nsid w:val="49C0E823"/>
    <w:multiLevelType w:val="hybridMultilevel"/>
    <w:lvl w:ilvl="0">
      <w:lvlJc w:val="left"/>
      <w:lvlText w:val="\endash "/>
      <w:numFmt w:val="bullet"/>
      <w:start w:val="1"/>
    </w:lvl>
  </w:abstractNum>
  <w:abstractNum w:abstractNumId="75">
    <w:nsid w:val="14D53685"/>
    <w:multiLevelType w:val="hybridMultilevel"/>
    <w:lvl w:ilvl="0">
      <w:lvlJc w:val="left"/>
      <w:lvlText w:val="\endash "/>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
      <w:numFmt w:val="bullet"/>
      <w:start w:val="1"/>
    </w:lvl>
  </w:abstractNum>
  <w:abstractNum w:abstractNumId="79">
    <w:nsid w:val="3B594807"/>
    <w:multiLevelType w:val="hybridMultilevel"/>
    <w:lvl w:ilvl="0">
      <w:lvlJc w:val="left"/>
      <w:lvlText w:val="%1."/>
      <w:numFmt w:val="decimal"/>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
      <w:numFmt w:val="bullet"/>
      <w:start w:val="1"/>
    </w:lvl>
    <w:lvl w:ilvl="1">
      <w:lvlJc w:val="left"/>
      <w:lvlText w:val="•"/>
      <w:numFmt w:val="bullet"/>
      <w:start w:val="1"/>
    </w:lvl>
  </w:abstractNum>
  <w:abstractNum w:abstractNumId="84">
    <w:nsid w:val="579328B9"/>
    <w:multiLevelType w:val="hybridMultilevel"/>
    <w:lvl w:ilvl="0">
      <w:lvlJc w:val="left"/>
      <w:lvlText w:val="•"/>
      <w:numFmt w:val="bullet"/>
      <w:start w:val="1"/>
    </w:lvl>
  </w:abstractNum>
  <w:abstractNum w:abstractNumId="85">
    <w:nsid w:val="5D205E20"/>
    <w:multiLevelType w:val="hybridMultilevel"/>
    <w:lvl w:ilvl="0">
      <w:lvlJc w:val="left"/>
      <w:lvlText w:val="•"/>
      <w:numFmt w:val="bullet"/>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1."/>
      <w:numFmt w:val="decimal"/>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
      <w:numFmt w:val="bullet"/>
      <w:start w:val="1"/>
    </w:lvl>
  </w:abstractNum>
  <w:abstractNum w:abstractNumId="99">
    <w:nsid w:val="744939A3"/>
    <w:multiLevelType w:val="hybridMultilevel"/>
    <w:lvl w:ilvl="0">
      <w:lvlJc w:val="left"/>
      <w:lvlText w:val="•"/>
      <w:numFmt w:val="bullet"/>
      <w:start w:val="1"/>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1"/>
      <w:numFmt w:val="bullet"/>
      <w:start w:val="1"/>
    </w:lvl>
  </w:abstractNum>
  <w:abstractNum w:abstractNumId="102">
    <w:nsid w:val="68B867D3"/>
    <w:multiLevelType w:val="hybridMultilevel"/>
    <w:lvl w:ilvl="0">
      <w:lvlJc w:val="left"/>
      <w:lvlText w:val="2"/>
      <w:numFmt w:val="bullet"/>
      <w:start w:val="1"/>
    </w:lvl>
  </w:abstractNum>
  <w:abstractNum w:abstractNumId="103">
    <w:nsid w:val="3F7F5DD9"/>
    <w:multiLevelType w:val="hybridMultilevel"/>
    <w:lvl w:ilvl="0">
      <w:lvlJc w:val="left"/>
      <w:lvlText w:val="3"/>
      <w:numFmt w:val="bullet"/>
      <w:start w:val="1"/>
    </w:lvl>
  </w:abstractNum>
  <w:abstractNum w:abstractNumId="104">
    <w:nsid w:val="2AE05A34"/>
    <w:multiLevelType w:val="hybridMultilevel"/>
    <w:lvl w:ilvl="0">
      <w:lvlJc w:val="left"/>
      <w:lvlText w:val="4"/>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1"/>
      <w:numFmt w:val="bullet"/>
      <w:start w:val="1"/>
    </w:lvl>
  </w:abstractNum>
  <w:abstractNum w:abstractNumId="107">
    <w:nsid w:val="4DEFDFA0"/>
    <w:multiLevelType w:val="hybridMultilevel"/>
    <w:lvl w:ilvl="0">
      <w:lvlJc w:val="left"/>
      <w:lvlText w:val="2"/>
      <w:numFmt w:val="bullet"/>
      <w:start w:val="1"/>
    </w:lvl>
  </w:abstractNum>
  <w:abstractNum w:abstractNumId="108">
    <w:nsid w:val="2123D5F2"/>
    <w:multiLevelType w:val="hybridMultilevel"/>
    <w:lvl w:ilvl="0">
      <w:lvlJc w:val="left"/>
      <w:lvlText w:val="3"/>
      <w:numFmt w:val="bullet"/>
      <w:start w:val="1"/>
    </w:lvl>
  </w:abstractNum>
  <w:abstractNum w:abstractNumId="109">
    <w:nsid w:val="135B8110"/>
    <w:multiLevelType w:val="hybridMultilevel"/>
    <w:lvl w:ilvl="0">
      <w:lvlJc w:val="left"/>
      <w:lvlText w:val="1"/>
      <w:numFmt w:val="bullet"/>
      <w:start w:val="1"/>
    </w:lvl>
  </w:abstractNum>
  <w:abstractNum w:abstractNumId="110">
    <w:nsid w:val="94927A8"/>
    <w:multiLevelType w:val="hybridMultilevel"/>
    <w:lvl w:ilvl="0">
      <w:lvlJc w:val="left"/>
      <w:lvlText w:val="2"/>
      <w:numFmt w:val="bullet"/>
      <w:start w:val="1"/>
    </w:lvl>
  </w:abstractNum>
  <w:abstractNum w:abstractNumId="111">
    <w:nsid w:val="DCDF8F6"/>
    <w:multiLevelType w:val="hybridMultilevel"/>
    <w:lvl w:ilvl="0">
      <w:lvlJc w:val="left"/>
      <w:lvlText w:val="4"/>
      <w:numFmt w:val="bullet"/>
      <w:start w:val="1"/>
    </w:lvl>
  </w:abstractNum>
  <w:abstractNum w:abstractNumId="112">
    <w:nsid w:val="52D7B105"/>
    <w:multiLevelType w:val="hybridMultilevel"/>
    <w:lvl w:ilvl="0">
      <w:lvlJc w:val="left"/>
      <w:lvlText w:val="5"/>
      <w:numFmt w:val="bullet"/>
      <w:start w:val="1"/>
    </w:lvl>
  </w:abstractNum>
  <w:abstractNum w:abstractNumId="113">
    <w:nsid w:val="2E8A6394"/>
    <w:multiLevelType w:val="hybridMultilevel"/>
    <w:lvl w:ilvl="0">
      <w:lvlJc w:val="left"/>
      <w:lvlText w:val="1"/>
      <w:numFmt w:val="bullet"/>
      <w:start w:val="1"/>
    </w:lvl>
  </w:abstractNum>
  <w:abstractNum w:abstractNumId="114">
    <w:nsid w:val="24E60401"/>
    <w:multiLevelType w:val="hybridMultilevel"/>
    <w:lvl w:ilvl="0">
      <w:lvlJc w:val="left"/>
      <w:lvlText w:val="2"/>
      <w:numFmt w:val="bullet"/>
      <w:start w:val="1"/>
    </w:lvl>
  </w:abstractNum>
  <w:abstractNum w:abstractNumId="115">
    <w:nsid w:val="2A6AD9BE"/>
    <w:multiLevelType w:val="hybridMultilevel"/>
    <w:lvl w:ilvl="0">
      <w:lvlJc w:val="left"/>
      <w:lvlText w:val="3"/>
      <w:numFmt w:val="bullet"/>
      <w:start w:val="1"/>
    </w:lvl>
  </w:abstractNum>
  <w:abstractNum w:abstractNumId="116">
    <w:nsid w:val="BAAC1B4"/>
    <w:multiLevelType w:val="hybridMultilevel"/>
    <w:lvl w:ilvl="0">
      <w:lvlJc w:val="left"/>
      <w:lvlText w:val="4"/>
      <w:numFmt w:val="bullet"/>
      <w:start w:val="1"/>
    </w:lvl>
  </w:abstractNum>
  <w:abstractNum w:abstractNumId="117">
    <w:nsid w:val="36B2ACBC"/>
    <w:multiLevelType w:val="hybridMultilevel"/>
    <w:lvl w:ilvl="0">
      <w:lvlJc w:val="left"/>
      <w:lvlText w:val="•"/>
      <w:numFmt w:val="bullet"/>
      <w:start w:val="1"/>
    </w:lvl>
  </w:abstractNum>
  <w:abstractNum w:abstractNumId="118">
    <w:nsid w:val="779D8544"/>
    <w:multiLevelType w:val="hybridMultilevel"/>
    <w:lvl w:ilvl="0">
      <w:lvlJc w:val="left"/>
      <w:lvlText w:val="•"/>
      <w:numFmt w:val="bullet"/>
      <w:start w:val="1"/>
    </w:lvl>
  </w:abstractNum>
  <w:abstractNum w:abstractNumId="119">
    <w:nsid w:val="4AB26E78"/>
    <w:multiLevelType w:val="hybridMultilevel"/>
    <w:lvl w:ilvl="0">
      <w:lvlJc w:val="left"/>
      <w:lvlText w:val="•"/>
      <w:numFmt w:val="bullet"/>
      <w:start w:val="1"/>
    </w:lvl>
  </w:abstractNum>
  <w:abstractNum w:abstractNumId="120">
    <w:nsid w:val="21FAA2FA"/>
    <w:multiLevelType w:val="hybridMultilevel"/>
    <w:lvl w:ilvl="0">
      <w:lvlJc w:val="left"/>
      <w:lvlText w:val="•"/>
      <w:numFmt w:val="bullet"/>
      <w:start w:val="1"/>
    </w:lvl>
  </w:abstractNum>
  <w:abstractNum w:abstractNumId="121">
    <w:nsid w:val="5451CF49"/>
    <w:multiLevelType w:val="hybridMultilevel"/>
    <w:lvl w:ilvl="0">
      <w:lvlJc w:val="left"/>
      <w:lvlText w:val="•"/>
      <w:numFmt w:val="bullet"/>
      <w:start w:val="1"/>
    </w:lvl>
    <w:lvl w:ilvl="1">
      <w:lvlJc w:val="left"/>
      <w:lvlText w:val="\endash "/>
      <w:numFmt w:val="bullet"/>
      <w:start w:val="1"/>
    </w:lvl>
  </w:abstractNum>
  <w:abstractNum w:abstractNumId="122">
    <w:nsid w:val="6181EF69"/>
    <w:multiLevelType w:val="hybridMultilevel"/>
    <w:lvl w:ilvl="0">
      <w:lvlJc w:val="left"/>
      <w:lvlText w:val="•"/>
      <w:numFmt w:val="bullet"/>
      <w:start w:val="1"/>
    </w:lvl>
    <w:lvl w:ilvl="1">
      <w:lvlJc w:val="left"/>
      <w:lvlText w:val="\endash "/>
      <w:numFmt w:val="bullet"/>
      <w:start w:val="1"/>
    </w:lvl>
  </w:abstractNum>
  <w:abstractNum w:abstractNumId="123">
    <w:nsid w:val="3E6400E6"/>
    <w:multiLevelType w:val="hybridMultilevel"/>
    <w:lvl w:ilvl="0">
      <w:lvlJc w:val="left"/>
      <w:lvlText w:val="•"/>
      <w:numFmt w:val="bullet"/>
      <w:start w:val="1"/>
    </w:lvl>
  </w:abstractNum>
  <w:abstractNum w:abstractNumId="124">
    <w:nsid w:val="14217E23"/>
    <w:multiLevelType w:val="hybridMultilevel"/>
    <w:lvl w:ilvl="0">
      <w:lvlJc w:val="left"/>
      <w:lvlText w:val="•"/>
      <w:numFmt w:val="bullet"/>
      <w:start w:val="1"/>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
      <w:numFmt w:val="bullet"/>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
      <w:numFmt w:val="bullet"/>
      <w:start w:val="1"/>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
      <w:numFmt w:val="bullet"/>
      <w:start w:val="1"/>
    </w:lvl>
  </w:abstractNum>
  <w:abstractNum w:abstractNumId="131">
    <w:nsid w:val="6A3B714C"/>
    <w:multiLevelType w:val="hybridMultilevel"/>
    <w:lvl w:ilvl="0">
      <w:lvlJc w:val="left"/>
      <w:lvlText w:val="•"/>
      <w:numFmt w:val="bullet"/>
      <w:start w:val="1"/>
    </w:lvl>
  </w:abstractNum>
  <w:abstractNum w:abstractNumId="132">
    <w:nsid w:val="327B517E"/>
    <w:multiLevelType w:val="hybridMultilevel"/>
    <w:lvl w:ilvl="0">
      <w:lvlJc w:val="left"/>
      <w:lvlText w:val="1"/>
      <w:numFmt w:val="bullet"/>
      <w:start w:val="1"/>
    </w:lvl>
  </w:abstractNum>
  <w:abstractNum w:abstractNumId="133">
    <w:nsid w:val="1F461B51"/>
    <w:multiLevelType w:val="hybridMultilevel"/>
    <w:lvl w:ilvl="0">
      <w:lvlJc w:val="left"/>
      <w:lvlText w:val="1"/>
      <w:numFmt w:val="bullet"/>
      <w:start w:val="1"/>
    </w:lvl>
  </w:abstractNum>
  <w:abstractNum w:abstractNumId="134">
    <w:nsid w:val="29BACF25"/>
    <w:multiLevelType w:val="hybridMultilevel"/>
    <w:lvl w:ilvl="0">
      <w:lvlJc w:val="left"/>
      <w:lvlText w:val="1"/>
      <w:numFmt w:val="bullet"/>
      <w:start w:val="1"/>
    </w:lvl>
  </w:abstractNum>
  <w:abstractNum w:abstractNumId="135">
    <w:nsid w:val="5D5BABB3"/>
    <w:multiLevelType w:val="hybridMultilevel"/>
    <w:lvl w:ilvl="0">
      <w:lvlJc w:val="left"/>
      <w:lvlText w:val="•"/>
      <w:numFmt w:val="bullet"/>
      <w:start w:val="1"/>
    </w:lvl>
  </w:abstractNum>
  <w:abstractNum w:abstractNumId="136">
    <w:nsid w:val="51BF6B48"/>
    <w:multiLevelType w:val="hybridMultilevel"/>
    <w:lvl w:ilvl="0">
      <w:lvlJc w:val="left"/>
      <w:lvlText w:val="•"/>
      <w:numFmt w:val="bullet"/>
      <w:start w:val="1"/>
    </w:lvl>
  </w:abstractNum>
  <w:abstractNum w:abstractNumId="137">
    <w:nsid w:val="7E0F6384"/>
    <w:multiLevelType w:val="hybridMultilevel"/>
    <w:lvl w:ilvl="0">
      <w:lvlJc w:val="left"/>
      <w:lvlText w:val="1"/>
      <w:numFmt w:val="bullet"/>
      <w:start w:val="1"/>
    </w:lvl>
  </w:abstractNum>
  <w:abstractNum w:abstractNumId="138">
    <w:nsid w:val="2B4B8B53"/>
    <w:multiLevelType w:val="hybridMultilevel"/>
    <w:lvl w:ilvl="0">
      <w:lvlJc w:val="left"/>
      <w:lvlText w:val="1"/>
      <w:numFmt w:val="bullet"/>
      <w:start w:val="1"/>
    </w:lvl>
  </w:abstractNum>
  <w:abstractNum w:abstractNumId="139">
    <w:nsid w:val="72E3413A"/>
    <w:multiLevelType w:val="hybridMultilevel"/>
    <w:lvl w:ilvl="0">
      <w:lvlJc w:val="left"/>
      <w:lvlText w:val="1"/>
      <w:numFmt w:val="bullet"/>
      <w:start w:val="1"/>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
      <w:numFmt w:val="bullet"/>
      <w:start w:val="1"/>
    </w:lvl>
  </w:abstractNum>
  <w:abstractNum w:abstractNumId="142">
    <w:nsid w:val="B13A31"/>
    <w:multiLevelType w:val="hybridMultilevel"/>
    <w:lvl w:ilvl="0">
      <w:lvlJc w:val="left"/>
      <w:lvlText w:val="•"/>
      <w:numFmt w:val="bullet"/>
      <w:start w:val="1"/>
    </w:lvl>
  </w:abstractNum>
  <w:abstractNum w:abstractNumId="143">
    <w:nsid w:val="64429599"/>
    <w:multiLevelType w:val="hybridMultilevel"/>
    <w:lvl w:ilvl="0">
      <w:lvlJc w:val="left"/>
      <w:lvlText w:val="•"/>
      <w:numFmt w:val="bullet"/>
      <w:start w:val="1"/>
    </w:lvl>
    <w:lvl w:ilvl="1">
      <w:lvlJc w:val="left"/>
      <w:lvlText w:val="•"/>
      <w:numFmt w:val="bullet"/>
      <w:start w:val="1"/>
    </w:lvl>
  </w:abstractNum>
  <w:abstractNum w:abstractNumId="144">
    <w:nsid w:val="631F1690"/>
    <w:multiLevelType w:val="hybridMultilevel"/>
    <w:lvl w:ilvl="0">
      <w:lvlJc w:val="left"/>
      <w:lvlText w:val="(%1)"/>
      <w:numFmt w:val="lowerLetter"/>
      <w:start w:val="1"/>
    </w:lvl>
  </w:abstractNum>
  <w:abstractNum w:abstractNumId="145">
    <w:nsid w:val="25973E32"/>
    <w:multiLevelType w:val="hybridMultilevel"/>
    <w:lvl w:ilvl="0">
      <w:lvlJc w:val="left"/>
      <w:lvlText w:val="1"/>
      <w:numFmt w:val="bullet"/>
      <w:start w:val="1"/>
    </w:lvl>
    <w:lvl w:ilvl="1">
      <w:lvlJc w:val="left"/>
      <w:lvlText w:val="%2."/>
      <w:numFmt w:val="decimal"/>
      <w:start w:val="718"/>
    </w:lvl>
  </w:abstractNum>
  <w:abstractNum w:abstractNumId="146">
    <w:nsid w:val="EAD6F57"/>
    <w:multiLevelType w:val="hybridMultilevel"/>
    <w:lvl w:ilvl="0">
      <w:lvlJc w:val="left"/>
      <w:lvlText w:val="2"/>
      <w:numFmt w:val="bullet"/>
      <w:start w:val="1"/>
    </w:lvl>
  </w:abstractNum>
  <w:abstractNum w:abstractNumId="147">
    <w:nsid w:val="6EC9D844"/>
    <w:multiLevelType w:val="hybridMultilevel"/>
    <w:lvl w:ilvl="0">
      <w:lvlJc w:val="left"/>
      <w:lvlText w:val="3"/>
      <w:numFmt w:val="bullet"/>
      <w:start w:val="1"/>
    </w:lvl>
  </w:abstractNum>
  <w:abstractNum w:abstractNumId="148">
    <w:nsid w:val="5C49EAEE"/>
    <w:multiLevelType w:val="hybridMultilevel"/>
    <w:lvl w:ilvl="0">
      <w:lvlJc w:val="left"/>
      <w:lvlText w:val="4"/>
      <w:numFmt w:val="bullet"/>
      <w:start w:val="1"/>
    </w:lvl>
  </w:abstractNum>
  <w:abstractNum w:abstractNumId="149">
    <w:nsid w:val="64AF49B"/>
    <w:multiLevelType w:val="hybridMultilevel"/>
    <w:lvl w:ilvl="0">
      <w:lvlJc w:val="left"/>
      <w:lvlText w:val="5"/>
      <w:numFmt w:val="bullet"/>
      <w:start w:val="1"/>
    </w:lvl>
  </w:abstractNum>
  <w:abstractNum w:abstractNumId="150">
    <w:nsid w:val="397C46BC"/>
    <w:multiLevelType w:val="hybridMultilevel"/>
    <w:lvl w:ilvl="0">
      <w:lvlJc w:val="left"/>
      <w:lvlText w:val="1"/>
      <w:numFmt w:val="bullet"/>
      <w:start w:val="1"/>
    </w:lvl>
  </w:abstractNum>
  <w:abstractNum w:abstractNumId="151">
    <w:nsid w:val="7E448DE9"/>
    <w:multiLevelType w:val="hybridMultilevel"/>
    <w:lvl w:ilvl="0">
      <w:lvlJc w:val="left"/>
      <w:lvlText w:val="2"/>
      <w:numFmt w:val="bullet"/>
      <w:start w:val="1"/>
    </w:lvl>
  </w:abstractNum>
  <w:abstractNum w:abstractNumId="152">
    <w:nsid w:val="5A9CC3E5"/>
    <w:multiLevelType w:val="hybridMultilevel"/>
    <w:lvl w:ilvl="0">
      <w:lvlJc w:val="left"/>
      <w:lvlText w:val="3"/>
      <w:numFmt w:val="bullet"/>
      <w:start w:val="1"/>
    </w:lvl>
  </w:abstractNum>
  <w:abstractNum w:abstractNumId="153">
    <w:nsid w:val="1AFE3625"/>
    <w:multiLevelType w:val="hybridMultilevel"/>
    <w:lvl w:ilvl="0">
      <w:lvlJc w:val="left"/>
      <w:lvlText w:val="4"/>
      <w:numFmt w:val="bullet"/>
      <w:start w:val="1"/>
    </w:lvl>
  </w:abstractNum>
  <w:abstractNum w:abstractNumId="154">
    <w:nsid w:val="3CA88ECF"/>
    <w:multiLevelType w:val="hybridMultilevel"/>
    <w:lvl w:ilvl="0">
      <w:lvlJc w:val="left"/>
      <w:lvlText w:val="5"/>
      <w:numFmt w:val="bullet"/>
      <w:start w:val="1"/>
    </w:lvl>
  </w:abstractNum>
  <w:abstractNum w:abstractNumId="155">
    <w:nsid w:val="6EBE4208"/>
    <w:multiLevelType w:val="hybridMultilevel"/>
    <w:lvl w:ilvl="0">
      <w:lvlJc w:val="left"/>
      <w:lvlText w:val="1"/>
      <w:numFmt w:val="bullet"/>
      <w:start w:val="1"/>
    </w:lvl>
  </w:abstractNum>
  <w:abstractNum w:abstractNumId="156">
    <w:nsid w:val="C058DF5"/>
    <w:multiLevelType w:val="hybridMultilevel"/>
    <w:lvl w:ilvl="0">
      <w:lvlJc w:val="left"/>
      <w:lvlText w:val="2"/>
      <w:numFmt w:val="bullet"/>
      <w:start w:val="1"/>
    </w:lvl>
  </w:abstractNum>
  <w:abstractNum w:abstractNumId="157">
    <w:nsid w:val="CBE5BE9"/>
    <w:multiLevelType w:val="hybridMultilevel"/>
    <w:lvl w:ilvl="0">
      <w:lvlJc w:val="left"/>
      <w:lvlText w:val="3"/>
      <w:numFmt w:val="bullet"/>
      <w:start w:val="1"/>
    </w:lvl>
  </w:abstractNum>
  <w:abstractNum w:abstractNumId="158">
    <w:nsid w:val="3102BBE2"/>
    <w:multiLevelType w:val="hybridMultilevel"/>
    <w:lvl w:ilvl="0">
      <w:lvlJc w:val="left"/>
      <w:lvlText w:val="4"/>
      <w:numFmt w:val="bullet"/>
      <w:start w:val="1"/>
    </w:lvl>
  </w:abstractNum>
  <w:abstractNum w:abstractNumId="159">
    <w:nsid w:val="26A02C5E"/>
    <w:multiLevelType w:val="hybridMultilevel"/>
    <w:lvl w:ilvl="0">
      <w:lvlJc w:val="left"/>
      <w:lvlText w:val="5"/>
      <w:numFmt w:val="bullet"/>
      <w:start w:val="1"/>
    </w:lvl>
  </w:abstractNum>
  <w:abstractNum w:abstractNumId="160">
    <w:nsid w:val="541C8153"/>
    <w:multiLevelType w:val="hybridMultilevel"/>
    <w:lvl w:ilvl="0">
      <w:lvlJc w:val="left"/>
      <w:lvlText w:val="6"/>
      <w:numFmt w:val="bullet"/>
      <w:start w:val="1"/>
    </w:lvl>
  </w:abstractNum>
  <w:abstractNum w:abstractNumId="161">
    <w:nsid w:val="67906F60"/>
    <w:multiLevelType w:val="hybridMultilevel"/>
    <w:lvl w:ilvl="0">
      <w:lvlJc w:val="left"/>
      <w:lvlText w:val="7"/>
      <w:numFmt w:val="bullet"/>
      <w:start w:val="1"/>
    </w:lvl>
  </w:abstractNum>
  <w:abstractNum w:abstractNumId="162">
    <w:nsid w:val="10DB9DAA"/>
    <w:multiLevelType w:val="hybridMultilevel"/>
    <w:lvl w:ilvl="0">
      <w:lvlJc w:val="left"/>
      <w:lvlText w:val="8"/>
      <w:numFmt w:val="bullet"/>
      <w:start w:val="1"/>
    </w:lvl>
  </w:abstractNum>
  <w:abstractNum w:abstractNumId="163">
    <w:nsid w:val="697D2D2"/>
    <w:multiLevelType w:val="hybridMultilevel"/>
    <w:lvl w:ilvl="0">
      <w:lvlJc w:val="left"/>
      <w:lvlText w:val="1"/>
      <w:numFmt w:val="bullet"/>
      <w:start w:val="1"/>
    </w:lvl>
  </w:abstractNum>
  <w:abstractNum w:abstractNumId="164">
    <w:nsid w:val="6D68AB2"/>
    <w:multiLevelType w:val="hybridMultilevel"/>
    <w:lvl w:ilvl="0">
      <w:lvlJc w:val="left"/>
      <w:lvlText w:val="2"/>
      <w:numFmt w:val="bullet"/>
      <w:start w:val="1"/>
    </w:lvl>
  </w:abstractNum>
  <w:abstractNum w:abstractNumId="165">
    <w:nsid w:val="3A966CD0"/>
    <w:multiLevelType w:val="hybridMultilevel"/>
    <w:lvl w:ilvl="0">
      <w:lvlJc w:val="left"/>
      <w:lvlText w:val="5"/>
      <w:numFmt w:val="bullet"/>
      <w:start w:val="1"/>
    </w:lvl>
  </w:abstractNum>
  <w:abstractNum w:abstractNumId="166">
    <w:nsid w:val="63F37E85"/>
    <w:multiLevelType w:val="hybridMultilevel"/>
    <w:lvl w:ilvl="0">
      <w:lvlJc w:val="left"/>
      <w:lvlText w:val="6"/>
      <w:numFmt w:val="bullet"/>
      <w:start w:val="1"/>
    </w:lvl>
  </w:abstractNum>
  <w:abstractNum w:abstractNumId="167">
    <w:nsid w:val="5895F5FA"/>
    <w:multiLevelType w:val="hybridMultilevel"/>
    <w:lvl w:ilvl="0">
      <w:lvlJc w:val="left"/>
      <w:lvlText w:val="•"/>
      <w:numFmt w:val="bullet"/>
      <w:start w:val="1"/>
    </w:lvl>
  </w:abstractNum>
  <w:abstractNum w:abstractNumId="168">
    <w:nsid w:val="38A5D054"/>
    <w:multiLevelType w:val="hybridMultilevel"/>
    <w:lvl w:ilvl="0">
      <w:lvlJc w:val="left"/>
      <w:lvlText w:val="1"/>
      <w:numFmt w:val="bullet"/>
      <w:start w:val="1"/>
    </w:lvl>
  </w:abstractNum>
  <w:abstractNum w:abstractNumId="169">
    <w:nsid w:val="F3F09D8"/>
    <w:multiLevelType w:val="hybridMultilevel"/>
    <w:lvl w:ilvl="0">
      <w:lvlJc w:val="left"/>
      <w:lvlText w:val="•"/>
      <w:numFmt w:val="bullet"/>
      <w:start w:val="1"/>
    </w:lvl>
  </w:abstractNum>
  <w:abstractNum w:abstractNumId="170">
    <w:nsid w:val="4B793735"/>
    <w:multiLevelType w:val="hybridMultilevel"/>
    <w:lvl w:ilvl="0">
      <w:lvlJc w:val="left"/>
      <w:lvlText w:val="1"/>
      <w:numFmt w:val="bullet"/>
      <w:start w:val="1"/>
    </w:lvl>
  </w:abstractNum>
  <w:abstractNum w:abstractNumId="171">
    <w:nsid w:val="4A10B4E8"/>
    <w:multiLevelType w:val="hybridMultilevel"/>
    <w:lvl w:ilvl="0">
      <w:lvlJc w:val="left"/>
      <w:lvlText w:val="2"/>
      <w:numFmt w:val="bullet"/>
      <w:start w:val="1"/>
    </w:lvl>
  </w:abstractNum>
  <w:abstractNum w:abstractNumId="172">
    <w:nsid w:val="43D3BCD4"/>
    <w:multiLevelType w:val="hybridMultilevel"/>
    <w:lvl w:ilvl="0">
      <w:lvlJc w:val="left"/>
      <w:lvlText w:val="1"/>
      <w:numFmt w:val="bullet"/>
      <w:start w:val="1"/>
    </w:lvl>
  </w:abstractNum>
  <w:abstractNum w:abstractNumId="173">
    <w:nsid w:val="4C2A7166"/>
    <w:multiLevelType w:val="hybridMultilevel"/>
    <w:lvl w:ilvl="0">
      <w:lvlJc w:val="left"/>
      <w:lvlText w:val="2"/>
      <w:numFmt w:val="bullet"/>
      <w:start w:val="1"/>
    </w:lvl>
  </w:abstractNum>
  <w:abstractNum w:abstractNumId="174">
    <w:nsid w:val="2E534A82"/>
    <w:multiLevelType w:val="hybridMultilevel"/>
    <w:lvl w:ilvl="0">
      <w:lvlJc w:val="left"/>
      <w:lvlText w:val="•"/>
      <w:numFmt w:val="bullet"/>
      <w:start w:val="1"/>
    </w:lvl>
  </w:abstractNum>
  <w:abstractNum w:abstractNumId="175">
    <w:nsid w:val="26F2D364"/>
    <w:multiLevelType w:val="hybridMultilevel"/>
    <w:lvl w:ilvl="0">
      <w:lvlJc w:val="left"/>
      <w:lvlText w:val="•"/>
      <w:numFmt w:val="bullet"/>
      <w:start w:val="1"/>
    </w:lvl>
    <w:lvl w:ilvl="1">
      <w:lvlJc w:val="left"/>
      <w:lvlText w:val="•"/>
      <w:numFmt w:val="bullet"/>
      <w:start w:val="1"/>
    </w:lvl>
  </w:abstractNum>
  <w:abstractNum w:abstractNumId="176">
    <w:nsid w:val="71C1AF98"/>
    <w:multiLevelType w:val="hybridMultilevel"/>
    <w:lvl w:ilvl="0">
      <w:lvlJc w:val="left"/>
      <w:lvlText w:val="•"/>
      <w:numFmt w:val="bullet"/>
      <w:start w:val="1"/>
    </w:lvl>
  </w:abstractNum>
  <w:abstractNum w:abstractNumId="177">
    <w:nsid w:val="3D00B9D9"/>
    <w:multiLevelType w:val="hybridMultilevel"/>
    <w:lvl w:ilvl="0">
      <w:lvlJc w:val="left"/>
      <w:lvlText w:val="•"/>
      <w:numFmt w:val="bullet"/>
      <w:start w:val="1"/>
    </w:lvl>
  </w:abstractNum>
  <w:abstractNum w:abstractNumId="178">
    <w:nsid w:val="15BCABA8"/>
    <w:multiLevelType w:val="hybridMultilevel"/>
    <w:lvl w:ilvl="0">
      <w:lvlJc w:val="left"/>
      <w:lvlText w:val="•"/>
      <w:numFmt w:val="bullet"/>
      <w:start w:val="1"/>
    </w:lvl>
  </w:abstractNum>
  <w:abstractNum w:abstractNumId="179">
    <w:nsid w:val="4E0B9A87"/>
    <w:multiLevelType w:val="hybridMultilevel"/>
    <w:lvl w:ilvl="0">
      <w:lvlJc w:val="left"/>
      <w:lvlText w:val="1"/>
      <w:numFmt w:val="bullet"/>
      <w:start w:val="1"/>
    </w:lvl>
  </w:abstractNum>
  <w:abstractNum w:abstractNumId="180">
    <w:nsid w:val="434BAE75"/>
    <w:multiLevelType w:val="hybridMultilevel"/>
    <w:lvl w:ilvl="0">
      <w:lvlJc w:val="left"/>
      <w:lvlText w:val="2"/>
      <w:numFmt w:val="bullet"/>
      <w:start w:val="1"/>
    </w:lvl>
  </w:abstractNum>
  <w:abstractNum w:abstractNumId="181">
    <w:nsid w:val="4F38F265"/>
    <w:multiLevelType w:val="hybridMultilevel"/>
    <w:lvl w:ilvl="0">
      <w:lvlJc w:val="left"/>
      <w:lvlText w:val="3"/>
      <w:numFmt w:val="bullet"/>
      <w:start w:val="1"/>
    </w:lvl>
  </w:abstractNum>
  <w:abstractNum w:abstractNumId="182">
    <w:nsid w:val="4C502870"/>
    <w:multiLevelType w:val="hybridMultilevel"/>
    <w:lvl w:ilvl="0">
      <w:lvlJc w:val="left"/>
      <w:lvlText w:val="4"/>
      <w:numFmt w:val="bullet"/>
      <w:start w:val="1"/>
    </w:lvl>
  </w:abstractNum>
  <w:abstractNum w:abstractNumId="183">
    <w:nsid w:val="1DE8725A"/>
    <w:multiLevelType w:val="hybridMultilevel"/>
    <w:lvl w:ilvl="0">
      <w:lvlJc w:val="left"/>
      <w:lvlText w:val="5"/>
      <w:numFmt w:val="bullet"/>
      <w:start w:val="1"/>
    </w:lvl>
  </w:abstractNum>
  <w:abstractNum w:abstractNumId="184">
    <w:nsid w:val="6A37288A"/>
    <w:multiLevelType w:val="hybridMultilevel"/>
    <w:lvl w:ilvl="0">
      <w:lvlJc w:val="left"/>
      <w:lvlText w:val="6"/>
      <w:numFmt w:val="bullet"/>
      <w:start w:val="1"/>
    </w:lvl>
  </w:abstractNum>
  <w:abstractNum w:abstractNumId="185">
    <w:nsid w:val="8F8B73F"/>
    <w:multiLevelType w:val="hybridMultilevel"/>
    <w:lvl w:ilvl="0">
      <w:lvlJc w:val="left"/>
      <w:lvlText w:val="7"/>
      <w:numFmt w:val="bullet"/>
      <w:start w:val="1"/>
    </w:lvl>
  </w:abstractNum>
  <w:abstractNum w:abstractNumId="186">
    <w:nsid w:val="CA6B462"/>
    <w:multiLevelType w:val="hybridMultilevel"/>
    <w:lvl w:ilvl="0">
      <w:lvlJc w:val="left"/>
      <w:lvlText w:val="1"/>
      <w:numFmt w:val="bullet"/>
      <w:start w:val="1"/>
    </w:lvl>
  </w:abstractNum>
  <w:abstractNum w:abstractNumId="187">
    <w:nsid w:val="763CB680"/>
    <w:multiLevelType w:val="hybridMultilevel"/>
    <w:lvl w:ilvl="0">
      <w:lvlJc w:val="left"/>
      <w:lvlText w:val="%1."/>
      <w:numFmt w:val="decimal"/>
      <w:start w:val="1"/>
    </w:lvl>
  </w:abstractNum>
  <w:abstractNum w:abstractNumId="188">
    <w:nsid w:val="15B71329"/>
    <w:multiLevelType w:val="hybridMultilevel"/>
    <w:lvl w:ilvl="0">
      <w:lvlJc w:val="left"/>
      <w:lvlText w:val="•"/>
      <w:numFmt w:val="bullet"/>
      <w:start w:val="1"/>
    </w:lvl>
  </w:abstractNum>
  <w:abstractNum w:abstractNumId="189">
    <w:nsid w:val="3DA97044"/>
    <w:multiLevelType w:val="hybridMultilevel"/>
    <w:lvl w:ilvl="0">
      <w:lvlJc w:val="left"/>
      <w:lvlText w:val="•"/>
      <w:numFmt w:val="bullet"/>
      <w:start w:val="1"/>
    </w:lvl>
  </w:abstractNum>
  <w:abstractNum w:abstractNumId="190">
    <w:nsid w:val="1CDCE2DE"/>
    <w:multiLevelType w:val="hybridMultilevel"/>
    <w:lvl w:ilvl="0">
      <w:lvlJc w:val="left"/>
      <w:lvlText w:val="•"/>
      <w:numFmt w:val="bullet"/>
      <w:start w:val="1"/>
    </w:lvl>
  </w:abstractNum>
  <w:abstractNum w:abstractNumId="191">
    <w:nsid w:val="69D3947C"/>
    <w:multiLevelType w:val="hybridMultilevel"/>
    <w:lvl w:ilvl="0">
      <w:lvlJc w:val="left"/>
      <w:lvlText w:val="%1."/>
      <w:numFmt w:val="decimal"/>
      <w:start w:val="1"/>
    </w:lvl>
  </w:abstractNum>
  <w:abstractNum w:abstractNumId="192">
    <w:nsid w:val="2539DFA5"/>
    <w:multiLevelType w:val="hybridMultilevel"/>
    <w:lvl w:ilvl="0">
      <w:lvlJc w:val="left"/>
      <w:lvlText w:val="1"/>
      <w:numFmt w:val="bullet"/>
      <w:start w:val="1"/>
    </w:lvl>
  </w:abstractNum>
  <w:abstractNum w:abstractNumId="193">
    <w:nsid w:val="2DB88089"/>
    <w:multiLevelType w:val="hybridMultilevel"/>
    <w:lvl w:ilvl="0">
      <w:lvlJc w:val="left"/>
      <w:lvlText w:val="2"/>
      <w:numFmt w:val="bullet"/>
      <w:start w:val="1"/>
    </w:lvl>
  </w:abstractNum>
  <w:abstractNum w:abstractNumId="194">
    <w:nsid w:val="706B674E"/>
    <w:multiLevelType w:val="hybridMultilevel"/>
    <w:lvl w:ilvl="0">
      <w:lvlJc w:val="left"/>
      <w:lvlText w:val="•"/>
      <w:numFmt w:val="bullet"/>
      <w:start w:val="1"/>
    </w:lvl>
  </w:abstractNum>
  <w:abstractNum w:abstractNumId="195">
    <w:nsid w:val="2C106A57"/>
    <w:multiLevelType w:val="hybridMultilevel"/>
    <w:lvl w:ilvl="0">
      <w:lvlJc w:val="left"/>
      <w:lvlText w:val="•"/>
      <w:numFmt w:val="bullet"/>
      <w:start w:val="1"/>
    </w:lvl>
  </w:abstractNum>
  <w:abstractNum w:abstractNumId="196">
    <w:nsid w:val="684EED59"/>
    <w:multiLevelType w:val="hybridMultilevel"/>
    <w:lvl w:ilvl="0">
      <w:lvlJc w:val="left"/>
      <w:lvlText w:val="6"/>
      <w:numFmt w:val="bullet"/>
      <w:start w:val="1"/>
    </w:lvl>
  </w:abstractNum>
  <w:abstractNum w:abstractNumId="197">
    <w:nsid w:val="545EE5D3"/>
    <w:multiLevelType w:val="hybridMultilevel"/>
    <w:lvl w:ilvl="0">
      <w:lvlJc w:val="left"/>
      <w:lvlText w:val="7"/>
      <w:numFmt w:val="bullet"/>
      <w:start w:val="1"/>
    </w:lvl>
  </w:abstractNum>
  <w:abstractNum w:abstractNumId="198">
    <w:nsid w:val="4A66051"/>
    <w:multiLevelType w:val="hybridMultilevel"/>
    <w:lvl w:ilvl="0">
      <w:lvlJc w:val="left"/>
      <w:lvlText w:val="8"/>
      <w:numFmt w:val="bullet"/>
      <w:start w:val="1"/>
    </w:lvl>
  </w:abstractNum>
  <w:abstractNum w:abstractNumId="199">
    <w:nsid w:val="20F4BDAD"/>
    <w:multiLevelType w:val="hybridMultilevel"/>
    <w:lvl w:ilvl="0">
      <w:lvlJc w:val="left"/>
      <w:lvlText w:val="9"/>
      <w:numFmt w:val="bullet"/>
      <w:start w:val="1"/>
    </w:lvl>
  </w:abstractNum>
  <w:abstractNum w:abstractNumId="200">
    <w:nsid w:val="639DEFAC"/>
    <w:multiLevelType w:val="hybridMultilevel"/>
    <w:lvl w:ilvl="0">
      <w:lvlJc w:val="left"/>
      <w:lvlText w:val="%1"/>
      <w:numFmt w:val="decimal"/>
      <w:start w:val="10"/>
    </w:lvl>
  </w:abstractNum>
  <w:abstractNum w:abstractNumId="201">
    <w:nsid w:val="501F9786"/>
    <w:multiLevelType w:val="hybridMultilevel"/>
    <w:lvl w:ilvl="0">
      <w:lvlJc w:val="left"/>
      <w:lvlText w:val="%1"/>
      <w:numFmt w:val="decimal"/>
      <w:start w:val="11"/>
    </w:lvl>
  </w:abstractNum>
  <w:abstractNum w:abstractNumId="202">
    <w:nsid w:val="6B057295"/>
    <w:multiLevelType w:val="hybridMultilevel"/>
    <w:lvl w:ilvl="0">
      <w:lvlJc w:val="left"/>
      <w:lvlText w:val="•"/>
      <w:numFmt w:val="bullet"/>
      <w:start w:val="1"/>
    </w:lvl>
  </w:abstractNum>
  <w:abstractNum w:abstractNumId="203">
    <w:nsid w:val="2771AC80"/>
    <w:multiLevelType w:val="hybridMultilevel"/>
    <w:lvl w:ilvl="0">
      <w:lvlJc w:val="left"/>
      <w:lvlText w:val="%1"/>
      <w:numFmt w:val="decimal"/>
      <w:start w:val="14"/>
    </w:lvl>
  </w:abstractNum>
  <w:abstractNum w:abstractNumId="204">
    <w:nsid w:val="1C4A08EC"/>
    <w:multiLevelType w:val="hybridMultilevel"/>
    <w:lvl w:ilvl="0">
      <w:lvlJc w:val="left"/>
      <w:lvlText w:val="%1"/>
      <w:numFmt w:val="decimal"/>
      <w:start w:val="15"/>
    </w:lvl>
  </w:abstractNum>
  <w:abstractNum w:abstractNumId="205">
    <w:nsid w:val="1958BD17"/>
    <w:multiLevelType w:val="hybridMultilevel"/>
    <w:lvl w:ilvl="0">
      <w:lvlJc w:val="left"/>
      <w:lvlText w:val="%1"/>
      <w:numFmt w:val="decimal"/>
      <w:start w:val="18"/>
    </w:lvl>
  </w:abstractNum>
  <w:abstractNum w:abstractNumId="206">
    <w:nsid w:val="4E647FE4"/>
    <w:multiLevelType w:val="hybridMultilevel"/>
    <w:lvl w:ilvl="0">
      <w:lvlJc w:val="left"/>
      <w:lvlText w:val="%1"/>
      <w:numFmt w:val="decimal"/>
      <w:start w:val="20"/>
    </w:lvl>
  </w:abstractNum>
  <w:abstractNum w:abstractNumId="207">
    <w:nsid w:val="E0BB885"/>
    <w:multiLevelType w:val="hybridMultilevel"/>
    <w:lvl w:ilvl="0">
      <w:lvlJc w:val="left"/>
      <w:lvlText w:val="•"/>
      <w:numFmt w:val="bullet"/>
      <w:start w:val="1"/>
    </w:lvl>
  </w:abstractNum>
  <w:abstractNum w:abstractNumId="208">
    <w:nsid w:val="565976F1"/>
    <w:multiLevelType w:val="hybridMultilevel"/>
    <w:lvl w:ilvl="0">
      <w:lvlJc w:val="left"/>
      <w:lvlText w:val="%1"/>
      <w:numFmt w:val="decimal"/>
      <w:start w:val="21"/>
    </w:lvl>
  </w:abstractNum>
  <w:abstractNum w:abstractNumId="209">
    <w:nsid w:val="64212B8C"/>
    <w:multiLevelType w:val="hybridMultilevel"/>
    <w:lvl w:ilvl="0">
      <w:lvlJc w:val="left"/>
      <w:lvlText w:val="•"/>
      <w:numFmt w:val="bullet"/>
      <w:start w:val="1"/>
    </w:lvl>
  </w:abstractNum>
  <w:abstractNum w:abstractNumId="210">
    <w:nsid w:val="5C17530C"/>
    <w:multiLevelType w:val="hybridMultilevel"/>
    <w:lvl w:ilvl="0">
      <w:lvlJc w:val="left"/>
      <w:lvlText w:val="•"/>
      <w:numFmt w:val="bullet"/>
      <w:start w:val="1"/>
    </w:lvl>
  </w:abstractNum>
  <w:abstractNum w:abstractNumId="211">
    <w:nsid w:val="19A52566"/>
    <w:multiLevelType w:val="hybridMultilevel"/>
    <w:lvl w:ilvl="0">
      <w:lvlJc w:val="left"/>
      <w:lvlText w:val="%1"/>
      <w:numFmt w:val="decimal"/>
      <w:start w:val="31"/>
    </w:lvl>
  </w:abstractNum>
  <w:abstractNum w:abstractNumId="212">
    <w:nsid w:val="335A1DF1"/>
    <w:multiLevelType w:val="hybridMultilevel"/>
    <w:lvl w:ilvl="0">
      <w:lvlJc w:val="left"/>
      <w:lvlText w:val="•"/>
      <w:numFmt w:val="bullet"/>
      <w:start w:val="1"/>
    </w:lvl>
  </w:abstractNum>
  <w:abstractNum w:abstractNumId="213">
    <w:nsid w:val="28677B7C"/>
    <w:multiLevelType w:val="hybridMultilevel"/>
    <w:lvl w:ilvl="0">
      <w:lvlJc w:val="left"/>
      <w:lvlText w:val="%1"/>
      <w:numFmt w:val="decimal"/>
      <w:start w:val="34"/>
    </w:lvl>
  </w:abstractNum>
  <w:abstractNum w:abstractNumId="214">
    <w:nsid w:val="378D97C0"/>
    <w:multiLevelType w:val="hybridMultilevel"/>
    <w:lvl w:ilvl="0">
      <w:lvlJc w:val="left"/>
      <w:lvlText w:val="◦"/>
      <w:numFmt w:val="bullet"/>
      <w:start w:val="1"/>
    </w:lvl>
  </w:abstractNum>
  <w:abstractNum w:abstractNumId="215">
    <w:nsid w:val="1D91467C"/>
    <w:multiLevelType w:val="hybridMultilevel"/>
    <w:lvl w:ilvl="0">
      <w:lvlJc w:val="left"/>
      <w:lvlText w:val="1"/>
      <w:numFmt w:val="bullet"/>
      <w:start w:val="1"/>
    </w:lvl>
  </w:abstractNum>
  <w:abstractNum w:abstractNumId="216">
    <w:nsid w:val="316032BB"/>
    <w:multiLevelType w:val="hybridMultilevel"/>
    <w:lvl w:ilvl="0">
      <w:lvlJc w:val="left"/>
      <w:lvlText w:val="•"/>
      <w:numFmt w:val="bullet"/>
      <w:start w:val="1"/>
    </w:lvl>
  </w:abstractNum>
  <w:abstractNum w:abstractNumId="217">
    <w:nsid w:val="44344C22"/>
    <w:multiLevelType w:val="hybridMultilevel"/>
    <w:lvl w:ilvl="0">
      <w:lvlJc w:val="left"/>
      <w:lvlText w:val="•"/>
      <w:numFmt w:val="bullet"/>
      <w:start w:val="1"/>
    </w:lvl>
  </w:abstractNum>
  <w:abstractNum w:abstractNumId="218">
    <w:nsid w:val="13CDFCFC"/>
    <w:multiLevelType w:val="hybridMultilevel"/>
    <w:lvl w:ilvl="0">
      <w:lvlJc w:val="left"/>
      <w:lvlText w:val="•"/>
      <w:numFmt w:val="bullet"/>
      <w:start w:val="1"/>
    </w:lvl>
  </w:abstractNum>
  <w:abstractNum w:abstractNumId="219">
    <w:nsid w:val="471745E4"/>
    <w:multiLevelType w:val="hybridMultilevel"/>
    <w:lvl w:ilvl="0">
      <w:lvlJc w:val="left"/>
      <w:lvlText w:val="•"/>
      <w:numFmt w:val="bullet"/>
      <w:start w:val="1"/>
    </w:lvl>
  </w:abstractNum>
  <w:abstractNum w:abstractNumId="220">
    <w:nsid w:val="1DDBC66"/>
    <w:multiLevelType w:val="hybridMultilevel"/>
    <w:lvl w:ilvl="0">
      <w:lvlJc w:val="left"/>
      <w:lvlText w:val="•"/>
      <w:numFmt w:val="bullet"/>
      <w:start w:val="1"/>
    </w:lvl>
  </w:abstractNum>
  <w:abstractNum w:abstractNumId="221">
    <w:nsid w:val="30AADFDA"/>
    <w:multiLevelType w:val="hybridMultilevel"/>
    <w:lvl w:ilvl="0">
      <w:lvlJc w:val="left"/>
      <w:lvlText w:val="•"/>
      <w:numFmt w:val="bullet"/>
      <w:start w:val="1"/>
    </w:lvl>
  </w:abstractNum>
  <w:abstractNum w:abstractNumId="222">
    <w:nsid w:val="30EADA61"/>
    <w:multiLevelType w:val="hybridMultilevel"/>
    <w:lvl w:ilvl="0">
      <w:lvlJc w:val="left"/>
      <w:lvlText w:val="•"/>
      <w:numFmt w:val="bullet"/>
      <w:start w:val="1"/>
    </w:lvl>
  </w:abstractNum>
  <w:abstractNum w:abstractNumId="223">
    <w:nsid w:val="27179C0B"/>
    <w:multiLevelType w:val="hybridMultilevel"/>
    <w:lvl w:ilvl="0">
      <w:lvlJc w:val="left"/>
      <w:lvlText w:val="(%1)"/>
      <w:numFmt w:val="lowerLetter"/>
      <w:start w:val="1"/>
    </w:lvl>
  </w:abstractNum>
  <w:abstractNum w:abstractNumId="224">
    <w:nsid w:val="5E636063"/>
    <w:multiLevelType w:val="hybridMultilevel"/>
    <w:lvl w:ilvl="0">
      <w:lvlJc w:val="left"/>
      <w:lvlText w:val="%1."/>
      <w:numFmt w:val="decimal"/>
      <w:start w:val="9"/>
    </w:lvl>
    <w:lvl w:ilvl="1">
      <w:lvlJc w:val="left"/>
      <w:lvlText w:val="(%2)"/>
      <w:numFmt w:val="lowerLetter"/>
      <w:start w:val="1"/>
    </w:lvl>
  </w:abstractNum>
  <w:abstractNum w:abstractNumId="225">
    <w:nsid w:val="215641AF"/>
    <w:multiLevelType w:val="hybridMultilevel"/>
    <w:lvl w:ilvl="0">
      <w:lvlJc w:val="left"/>
      <w:lvlText w:val="%1."/>
      <w:numFmt w:val="decimal"/>
      <w:start w:val="13"/>
    </w:lvl>
  </w:abstractNum>
  <w:abstractNum w:abstractNumId="226">
    <w:nsid w:val="53280662"/>
    <w:multiLevelType w:val="hybridMultilevel"/>
    <w:lvl w:ilvl="0">
      <w:lvlJc w:val="left"/>
      <w:lvlText w:val="(%1)"/>
      <w:numFmt w:val="lowerLetter"/>
      <w:start w:val="1"/>
    </w:lvl>
    <w:lvl w:ilvl="1">
      <w:lvlJc w:val="left"/>
      <w:lvlText w:val="(%2)"/>
      <w:numFmt w:val="lowerRoman"/>
      <w:start w:val="1"/>
    </w:lvl>
  </w:abstractNum>
  <w:abstractNum w:abstractNumId="227">
    <w:nsid w:val="46B24DB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8">
    <w:nsid w:val="75B5278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29">
    <w:nsid w:val="57CE66B4"/>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30">
    <w:nsid w:val="67A70B69"/>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jpeg"/><Relationship Id="rId1179" Type="http://schemas.openxmlformats.org/officeDocument/2006/relationships/image" Target="media/image1172.pn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jpe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png"/><Relationship Id="rId1210" Type="http://schemas.openxmlformats.org/officeDocument/2006/relationships/image" Target="media/image1203.jpe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jpe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jpe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jpe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jpeg"/><Relationship Id="rId1618" Type="http://schemas.openxmlformats.org/officeDocument/2006/relationships/image" Target="media/image1611.png"/><Relationship Id="rId1619" Type="http://schemas.openxmlformats.org/officeDocument/2006/relationships/image" Target="media/image1612.jpe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jpe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jpeg"/><Relationship Id="rId1693" Type="http://schemas.openxmlformats.org/officeDocument/2006/relationships/image" Target="media/image1686.png"/><Relationship Id="rId1694" Type="http://schemas.openxmlformats.org/officeDocument/2006/relationships/image" Target="media/image1687.jpeg"/><Relationship Id="rId1695" Type="http://schemas.openxmlformats.org/officeDocument/2006/relationships/image" Target="media/image1688.png"/><Relationship Id="rId1696" Type="http://schemas.openxmlformats.org/officeDocument/2006/relationships/image" Target="media/image1689.jpeg"/><Relationship Id="rId1697" Type="http://schemas.openxmlformats.org/officeDocument/2006/relationships/image" Target="media/image1690.png"/><Relationship Id="rId1698" Type="http://schemas.openxmlformats.org/officeDocument/2006/relationships/image" Target="media/image16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2023-02-24T19:28:00Z</dcterms:created>
  <dcterms:modified xsi:type="dcterms:W3CDTF">2023-02-24T19:28:00Z</dcterms:modified>
</cp:coreProperties>
</file>