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49"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55"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55"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96"/>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620"/>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960" w:type="dxa"/>
            <w:vAlign w:val="bottom"/>
          </w:tcPr>
          <w:p>
            <w:pPr>
              <w:spacing w:after="0"/>
              <w:rPr>
                <w:sz w:val="21"/>
                <w:szCs w:val="21"/>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October 26, 2026:</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940,745,031</w:t>
            </w:r>
          </w:p>
        </w:tc>
        <w:tc>
          <w:tcPr>
            <w:tcW w:w="20" w:type="dxa"/>
            <w:vAlign w:val="bottom"/>
          </w:tcPr>
          <w:p>
            <w:pPr>
              <w:spacing w:after="0"/>
              <w:rPr>
                <w:sz w:val="17"/>
                <w:szCs w:val="17"/>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r>
      <w:tr>
        <w:trPr>
          <w:trHeight w:val="223"/>
        </w:trPr>
        <w:tc>
          <w:tcPr>
            <w:tcW w:w="20" w:type="dxa"/>
            <w:vAlign w:val="bottom"/>
          </w:tcPr>
          <w:p>
            <w:pPr>
              <w:spacing w:after="0"/>
              <w:rPr>
                <w:sz w:val="19"/>
                <w:szCs w:val="19"/>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7"/>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Comprehensive Income</w:t>
            </w:r>
          </w:p>
        </w:tc>
        <w:tc>
          <w:tcPr>
            <w:tcW w:w="21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99"/>
              </w:rPr>
              <w:t>Consolidated Condensed Balance Sheets</w:t>
            </w:r>
          </w:p>
        </w:tc>
        <w:tc>
          <w:tcPr>
            <w:tcW w:w="1800" w:type="dxa"/>
            <w:vAlign w:val="bottom"/>
            <w:gridSpan w:val="6"/>
          </w:tcPr>
          <w:p>
            <w:pPr>
              <w:spacing w:after="0"/>
              <w:rPr>
                <w:sz w:val="19"/>
                <w:szCs w:val="19"/>
                <w:color w:val="auto"/>
              </w:rPr>
            </w:pPr>
          </w:p>
        </w:tc>
        <w:tc>
          <w:tcPr>
            <w:tcW w:w="21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3140" w:type="dxa"/>
            <w:vAlign w:val="bottom"/>
            <w:gridSpan w:val="6"/>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5"/>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24</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80" w:type="dxa"/>
            <w:vAlign w:val="bottom"/>
            <w:gridSpan w:val="18"/>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24</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7"/>
          </w:tcPr>
          <w:p>
            <w:pPr>
              <w:spacing w:after="0"/>
              <w:rPr>
                <w:sz w:val="20"/>
                <w:szCs w:val="20"/>
                <w:color w:val="auto"/>
              </w:rPr>
            </w:pPr>
            <w:r>
              <w:rPr>
                <w:rFonts w:ascii="Arial" w:cs="Arial" w:eastAsia="Arial" w:hAnsi="Arial"/>
                <w:sz w:val="18"/>
                <w:szCs w:val="18"/>
                <w:color w:val="0000FF"/>
                <w:w w:val="98"/>
              </w:rPr>
              <w:t>Results of Operations</w:t>
            </w:r>
          </w:p>
        </w:tc>
        <w:tc>
          <w:tcPr>
            <w:tcW w:w="5580" w:type="dxa"/>
            <w:vAlign w:val="bottom"/>
            <w:gridSpan w:val="12"/>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28</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4720" w:type="dxa"/>
            <w:vAlign w:val="bottom"/>
            <w:gridSpan w:val="10"/>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31</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9"/>
                <w:szCs w:val="19"/>
                <w:color w:val="auto"/>
              </w:rPr>
            </w:pPr>
          </w:p>
        </w:tc>
        <w:tc>
          <w:tcPr>
            <w:tcW w:w="4720" w:type="dxa"/>
            <w:vAlign w:val="bottom"/>
            <w:gridSpan w:val="10"/>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31</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20" w:type="dxa"/>
            <w:vAlign w:val="bottom"/>
            <w:gridSpan w:val="19"/>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32</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2560" w:type="dxa"/>
            <w:vAlign w:val="bottom"/>
            <w:gridSpan w:val="5"/>
          </w:tcPr>
          <w:p>
            <w:pPr>
              <w:spacing w:after="0"/>
              <w:rPr>
                <w:sz w:val="19"/>
                <w:szCs w:val="19"/>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800" w:type="dxa"/>
            <w:vAlign w:val="bottom"/>
            <w:gridSpan w:val="4"/>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32</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9"/>
                <w:szCs w:val="19"/>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8"/>
          </w:tcPr>
          <w:p>
            <w:pPr>
              <w:spacing w:after="0"/>
              <w:rPr>
                <w:sz w:val="19"/>
                <w:szCs w:val="19"/>
                <w:color w:val="auto"/>
              </w:rPr>
            </w:pPr>
          </w:p>
        </w:tc>
        <w:tc>
          <w:tcPr>
            <w:tcW w:w="2800" w:type="dxa"/>
            <w:vAlign w:val="bottom"/>
            <w:gridSpan w:val="4"/>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32</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33</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5"/>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33</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9"/>
                <w:szCs w:val="19"/>
                <w:color w:val="auto"/>
              </w:rPr>
            </w:pPr>
          </w:p>
        </w:tc>
        <w:tc>
          <w:tcPr>
            <w:tcW w:w="752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33</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180" w:type="dxa"/>
            <w:vAlign w:val="bottom"/>
            <w:tcBorders>
              <w:bottom w:val="single" w:sz="8" w:color="0000FF"/>
            </w:tcBorders>
          </w:tcPr>
          <w:p>
            <w:pPr>
              <w:spacing w:after="0"/>
              <w:rPr>
                <w:sz w:val="19"/>
                <w:szCs w:val="19"/>
                <w:color w:val="auto"/>
              </w:rPr>
            </w:pPr>
          </w:p>
        </w:tc>
        <w:tc>
          <w:tcPr>
            <w:tcW w:w="2260" w:type="dxa"/>
            <w:vAlign w:val="bottom"/>
            <w:gridSpan w:val="3"/>
          </w:tcPr>
          <w:p>
            <w:pPr>
              <w:spacing w:after="0"/>
              <w:rPr>
                <w:sz w:val="19"/>
                <w:szCs w:val="19"/>
                <w:color w:val="auto"/>
              </w:rPr>
            </w:pPr>
          </w:p>
        </w:tc>
        <w:tc>
          <w:tcPr>
            <w:tcW w:w="48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3"/>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33</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2560" w:type="dxa"/>
            <w:vAlign w:val="bottom"/>
            <w:gridSpan w:val="5"/>
          </w:tcPr>
          <w:p>
            <w:pPr>
              <w:spacing w:after="0"/>
              <w:rPr>
                <w:sz w:val="19"/>
                <w:szCs w:val="19"/>
                <w:color w:val="auto"/>
              </w:rPr>
            </w:pPr>
          </w:p>
        </w:tc>
        <w:tc>
          <w:tcPr>
            <w:tcW w:w="752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33</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120" w:type="dxa"/>
            <w:vAlign w:val="bottom"/>
            <w:gridSpan w:val="1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9"/>
                <w:szCs w:val="19"/>
                <w:color w:val="auto"/>
              </w:rPr>
            </w:pPr>
          </w:p>
        </w:tc>
        <w:tc>
          <w:tcPr>
            <w:tcW w:w="6120" w:type="dxa"/>
            <w:vAlign w:val="bottom"/>
            <w:gridSpan w:val="16"/>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34</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34</w:t>
            </w:r>
          </w:p>
        </w:tc>
        <w:tc>
          <w:tcPr>
            <w:tcW w:w="140" w:type="dxa"/>
            <w:vAlign w:val="bottom"/>
          </w:tcPr>
          <w:p>
            <w:pPr>
              <w:spacing w:after="0"/>
              <w:rPr>
                <w:sz w:val="24"/>
                <w:szCs w:val="24"/>
                <w:color w:val="auto"/>
              </w:rPr>
            </w:pPr>
          </w:p>
        </w:tc>
      </w:tr>
      <w:tr>
        <w:trPr>
          <w:trHeight w:val="888"/>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Quarterly Report on Form 10-Q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 and the ability of the company's clinical trials to meet expectations;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49" w:lineRule="exact"/>
        <w:rPr>
          <w:rFonts w:ascii="Arial" w:cs="Arial" w:eastAsia="Arial" w:hAnsi="Arial"/>
          <w:sz w:val="18"/>
          <w:szCs w:val="18"/>
          <w:color w:val="auto"/>
        </w:rPr>
      </w:pPr>
    </w:p>
    <w:p>
      <w:pPr>
        <w:ind w:left="340" w:right="380" w:hanging="332"/>
        <w:spacing w:after="0" w:line="273"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actors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our voluntary agreement with the U.S. government related to drug pricing and access;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or uncertainties related to our or competitive products, including as may relate to safety or efficacy concerns;</w:t>
      </w:r>
    </w:p>
    <w:p>
      <w:pPr>
        <w:spacing w:after="0" w:line="49" w:lineRule="exact"/>
        <w:rPr>
          <w:rFonts w:ascii="Arial" w:cs="Arial" w:eastAsia="Arial" w:hAnsi="Arial"/>
          <w:sz w:val="18"/>
          <w:szCs w:val="18"/>
          <w:color w:val="auto"/>
        </w:rPr>
      </w:pPr>
    </w:p>
    <w:p>
      <w:pPr>
        <w:ind w:left="340" w:right="400" w:hanging="332"/>
        <w:spacing w:after="0" w:line="273"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 consolidated supply chain;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w:t>
      </w:r>
    </w:p>
    <w:p>
      <w:pPr>
        <w:spacing w:after="0" w:line="63"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32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regulatory approvals, or other negative outcomes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including partnerships related to the use of, or the sharing of, such technologies with third parties, which may exacerbate competitive, regulatory, litigation, cybersecurity, and other risks;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changes in interest rates, and inflation or deflation;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and sudden declines or volatility in the trading price of our common stock and market capitalization;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activities, or intellectual property;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changes, developments, and uncertainty;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oversight and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from the proliferation of counterfeit, misbranded, adulterated, or illegally compounded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117" w:lineRule="exact"/>
        <w:rPr>
          <w:sz w:val="20"/>
          <w:szCs w:val="20"/>
          <w:color w:val="auto"/>
        </w:rPr>
      </w:pPr>
    </w:p>
    <w:p>
      <w:pPr>
        <w:ind w:right="80"/>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More information on factors that could cause our actual results to differ from those expressed in forward-looking statements is included from time to time in our reports filed with the Securities and Exchange Commission, including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2025, particularly under Part I, Item 1A,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be a complete statement of all potential risks and uncertainties.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trademarks or trade names referred to in this Quarterly Report on Form 10-Q are the property of the company, or, to the extent trademarks or trade names belonging to other companies are referenced in this Quarterly Report on Form 10-Q, the property of their respective owners. Solely for convenience, the trademarks and trade names in this Quarterly Report on Form 10-Q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4" w:right="37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2025</w:t>
            </w:r>
          </w:p>
        </w:tc>
      </w:tr>
      <w:tr>
        <w:trPr>
          <w:trHeight w:val="23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24,397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17,601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67,170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45,887</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3,933</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10,778</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r>
      <w:tr>
        <w:trPr>
          <w:trHeight w:val="243"/>
        </w:trPr>
        <w:tc>
          <w:tcPr>
            <w:tcW w:w="57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4,247</w:t>
            </w:r>
          </w:p>
        </w:tc>
        <w:tc>
          <w:tcPr>
            <w:tcW w:w="3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3,466</w:t>
            </w: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11,576</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9,536</w:t>
            </w: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3,125</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2,741</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9,489</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r>
      <w:tr>
        <w:trPr>
          <w:trHeight w:val="243"/>
        </w:trPr>
        <w:tc>
          <w:tcPr>
            <w:tcW w:w="57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4,181</w:t>
            </w:r>
          </w:p>
        </w:tc>
        <w:tc>
          <w:tcPr>
            <w:tcW w:w="3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7,541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2,381</w:t>
            </w: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303</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1,285</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37"/>
        </w:trPr>
        <w:tc>
          <w:tcPr>
            <w:tcW w:w="57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15,991</w:t>
            </w: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10,368</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40,667</w:t>
            </w: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28,422</w:t>
            </w: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8,406</w:t>
            </w:r>
          </w:p>
        </w:tc>
        <w:tc>
          <w:tcPr>
            <w:tcW w:w="36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7,233</w:t>
            </w:r>
          </w:p>
        </w:tc>
        <w:tc>
          <w:tcPr>
            <w:tcW w:w="200" w:type="dxa"/>
            <w:vAlign w:val="bottom"/>
          </w:tcPr>
          <w:p>
            <w:pPr>
              <w:spacing w:after="0"/>
              <w:rPr>
                <w:sz w:val="20"/>
                <w:szCs w:val="20"/>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26,503</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17,465</w:t>
            </w: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1,955</w:t>
            </w: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1,650</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5,561</w:t>
            </w: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6,451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20,942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14,002</w:t>
            </w:r>
          </w:p>
        </w:tc>
      </w:tr>
      <w:tr>
        <w:trPr>
          <w:trHeight w:val="257"/>
        </w:trPr>
        <w:tc>
          <w:tcPr>
            <w:tcW w:w="5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9"/>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7.23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23.45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r>
      <w:tr>
        <w:trPr>
          <w:trHeight w:val="224"/>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7.22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23.42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r>
      <w:tr>
        <w:trPr>
          <w:trHeight w:val="256"/>
        </w:trPr>
        <w:tc>
          <w:tcPr>
            <w:tcW w:w="5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891.9</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896.9</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892.9</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r>
      <w:tr>
        <w:trPr>
          <w:trHeight w:val="255"/>
        </w:trPr>
        <w:tc>
          <w:tcPr>
            <w:tcW w:w="57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893.4</w:t>
            </w: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898.8</w:t>
            </w:r>
          </w:p>
        </w:tc>
        <w:tc>
          <w:tcPr>
            <w:tcW w:w="2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894.4</w:t>
            </w: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899.7</w:t>
            </w: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2025</w:t>
            </w:r>
          </w:p>
        </w:tc>
      </w:tr>
      <w:tr>
        <w:trPr>
          <w:trHeight w:val="23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6,451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20,942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r>
      <w:tr>
        <w:trPr>
          <w:trHeight w:val="24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132</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510</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251</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6,583</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6,093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21,193</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8"/>
        </w:trPr>
        <w:tc>
          <w:tcPr>
            <w:tcW w:w="754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4,885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7,268</w:t>
            </w:r>
          </w:p>
        </w:tc>
      </w:tr>
      <w:tr>
        <w:trPr>
          <w:trHeight w:val="229"/>
        </w:trPr>
        <w:tc>
          <w:tcPr>
            <w:tcW w:w="754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22,089</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17,760</w:t>
            </w:r>
          </w:p>
        </w:tc>
      </w:tr>
      <w:tr>
        <w:trPr>
          <w:trHeight w:val="229"/>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receivables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3,142</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w:t>
            </w:r>
          </w:p>
        </w:tc>
      </w:tr>
      <w:tr>
        <w:trPr>
          <w:trHeight w:val="230"/>
        </w:trPr>
        <w:tc>
          <w:tcPr>
            <w:tcW w:w="754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18,194</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13,744</w:t>
            </w:r>
          </w:p>
        </w:tc>
      </w:tr>
      <w:tr>
        <w:trPr>
          <w:trHeight w:val="229"/>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16,862</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w:t>
            </w:r>
          </w:p>
        </w:tc>
      </w:tr>
      <w:tr>
        <w:trPr>
          <w:trHeight w:val="230"/>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2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65,263</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55,629</w:t>
            </w:r>
          </w:p>
        </w:tc>
      </w:tr>
      <w:tr>
        <w:trPr>
          <w:trHeight w:val="229"/>
        </w:trPr>
        <w:tc>
          <w:tcPr>
            <w:tcW w:w="7540" w:type="dxa"/>
            <w:vAlign w:val="bottom"/>
          </w:tcPr>
          <w:p>
            <w:pPr>
              <w:spacing w:after="0"/>
              <w:rPr>
                <w:sz w:val="20"/>
                <w:szCs w:val="20"/>
                <w:color w:val="auto"/>
              </w:rPr>
            </w:pPr>
            <w:r>
              <w:rPr>
                <w:rFonts w:ascii="Arial" w:cs="Arial" w:eastAsia="Arial" w:hAnsi="Arial"/>
                <w:sz w:val="16"/>
                <w:szCs w:val="16"/>
                <w:i w:val="1"/>
                <w:iCs w:val="1"/>
                <w:color w:val="auto"/>
              </w:rPr>
              <w:t>Noncurrent Assets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4,013</w:t>
            </w: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w:t>
            </w:r>
          </w:p>
        </w:tc>
      </w:tr>
      <w:tr>
        <w:trPr>
          <w:trHeight w:val="229"/>
        </w:trPr>
        <w:tc>
          <w:tcPr>
            <w:tcW w:w="754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9,874</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5,898</w:t>
            </w: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intangibles, net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18,084</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w:t>
            </w:r>
          </w:p>
        </w:tc>
      </w:tr>
      <w:tr>
        <w:trPr>
          <w:trHeight w:val="229"/>
        </w:trPr>
        <w:tc>
          <w:tcPr>
            <w:tcW w:w="7540" w:type="dxa"/>
            <w:vAlign w:val="bottom"/>
          </w:tcPr>
          <w:p>
            <w:pPr>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10,955</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9,959</w:t>
            </w:r>
          </w:p>
        </w:tc>
      </w:tr>
      <w:tr>
        <w:trPr>
          <w:trHeight w:val="229"/>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Property and equipment, net of accumulated depreciation of </w:t>
            </w:r>
            <w:r>
              <w:rPr>
                <w:rFonts w:ascii="Arial" w:cs="Arial" w:eastAsia="Arial" w:hAnsi="Arial"/>
                <w:sz w:val="16"/>
                <w:szCs w:val="16"/>
                <w:b w:val="1"/>
                <w:bCs w:val="1"/>
                <w:color w:val="auto"/>
              </w:rPr>
              <w:t>$13,373 (2026)</w:t>
            </w:r>
            <w:r>
              <w:rPr>
                <w:rFonts w:ascii="Arial" w:cs="Arial" w:eastAsia="Arial" w:hAnsi="Arial"/>
                <w:sz w:val="16"/>
                <w:szCs w:val="16"/>
                <w:color w:val="auto"/>
              </w:rPr>
              <w:t xml:space="preserve"> and $12,560 (2025)</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32,188</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24,675</w:t>
            </w:r>
          </w:p>
        </w:tc>
      </w:tr>
      <w:tr>
        <w:trPr>
          <w:trHeight w:val="230"/>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7,695</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6,992</w:t>
            </w:r>
          </w:p>
        </w:tc>
      </w:tr>
      <w:tr>
        <w:trPr>
          <w:trHeight w:val="243"/>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148,072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112,476</w:t>
            </w:r>
          </w:p>
        </w:tc>
      </w:tr>
      <w:tr>
        <w:trPr>
          <w:trHeight w:val="203"/>
        </w:trPr>
        <w:tc>
          <w:tcPr>
            <w:tcW w:w="754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9"/>
        </w:trPr>
        <w:tc>
          <w:tcPr>
            <w:tcW w:w="75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Current Liabilities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540" w:type="dxa"/>
            <w:vAlign w:val="bottom"/>
          </w:tcPr>
          <w:p>
            <w:pPr>
              <w:ind w:left="120"/>
              <w:spacing w:after="0"/>
              <w:rPr>
                <w:sz w:val="20"/>
                <w:szCs w:val="20"/>
                <w:color w:val="auto"/>
              </w:rPr>
            </w:pPr>
            <w:r>
              <w:rPr>
                <w:rFonts w:ascii="Arial" w:cs="Arial" w:eastAsia="Arial" w:hAnsi="Arial"/>
                <w:sz w:val="16"/>
                <w:szCs w:val="16"/>
                <w:color w:val="auto"/>
              </w:rPr>
              <w:t>Short-term borrowings and current maturities of long-term debt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2,517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29"/>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5,793</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w:t>
            </w:r>
          </w:p>
        </w:tc>
      </w:tr>
      <w:tr>
        <w:trPr>
          <w:trHeight w:val="230"/>
        </w:trPr>
        <w:tc>
          <w:tcPr>
            <w:tcW w:w="7540" w:type="dxa"/>
            <w:vAlign w:val="bottom"/>
          </w:tcPr>
          <w:p>
            <w:pPr>
              <w:ind w:left="120"/>
              <w:spacing w:after="0"/>
              <w:rPr>
                <w:sz w:val="20"/>
                <w:szCs w:val="20"/>
                <w:color w:val="auto"/>
              </w:rPr>
            </w:pPr>
            <w:r>
              <w:rPr>
                <w:rFonts w:ascii="Arial" w:cs="Arial" w:eastAsia="Arial" w:hAnsi="Arial"/>
                <w:sz w:val="16"/>
                <w:szCs w:val="16"/>
                <w:color w:val="auto"/>
              </w:rPr>
              <w:t>Employee compensation</w:t>
            </w:r>
          </w:p>
        </w:tc>
        <w:tc>
          <w:tcPr>
            <w:tcW w:w="1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2,292</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2,375</w:t>
            </w:r>
          </w:p>
        </w:tc>
      </w:tr>
      <w:tr>
        <w:trPr>
          <w:trHeight w:val="230"/>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rebates and discounts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24,170</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17,382</w:t>
            </w:r>
          </w:p>
        </w:tc>
      </w:tr>
      <w:tr>
        <w:trPr>
          <w:trHeight w:val="229"/>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12,224</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8,457</w:t>
            </w:r>
          </w:p>
        </w:tc>
      </w:tr>
      <w:tr>
        <w:trPr>
          <w:trHeight w:val="22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46,996</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35,228</w:t>
            </w:r>
          </w:p>
        </w:tc>
      </w:tr>
      <w:tr>
        <w:trPr>
          <w:trHeight w:val="228"/>
        </w:trPr>
        <w:tc>
          <w:tcPr>
            <w:tcW w:w="7540" w:type="dxa"/>
            <w:vAlign w:val="bottom"/>
          </w:tcPr>
          <w:p>
            <w:pPr>
              <w:spacing w:after="0"/>
              <w:rPr>
                <w:sz w:val="20"/>
                <w:szCs w:val="20"/>
                <w:color w:val="auto"/>
              </w:rPr>
            </w:pPr>
            <w:r>
              <w:rPr>
                <w:rFonts w:ascii="Arial" w:cs="Arial" w:eastAsia="Arial" w:hAnsi="Arial"/>
                <w:sz w:val="16"/>
                <w:szCs w:val="16"/>
                <w:i w:val="1"/>
                <w:iCs w:val="1"/>
                <w:color w:val="auto"/>
              </w:rPr>
              <w:t>Noncurrent Liabilities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46,986</w:t>
            </w: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40,868</w:t>
            </w:r>
          </w:p>
        </w:tc>
      </w:tr>
      <w:tr>
        <w:trPr>
          <w:trHeight w:val="230"/>
        </w:trPr>
        <w:tc>
          <w:tcPr>
            <w:tcW w:w="7540" w:type="dxa"/>
            <w:vAlign w:val="bottom"/>
          </w:tcPr>
          <w:p>
            <w:pPr>
              <w:ind w:left="120"/>
              <w:spacing w:after="0"/>
              <w:rPr>
                <w:sz w:val="20"/>
                <w:szCs w:val="20"/>
                <w:color w:val="auto"/>
              </w:rPr>
            </w:pPr>
            <w:r>
              <w:rPr>
                <w:rFonts w:ascii="Arial" w:cs="Arial" w:eastAsia="Arial" w:hAnsi="Arial"/>
                <w:sz w:val="16"/>
                <w:szCs w:val="16"/>
                <w:color w:val="auto"/>
              </w:rPr>
              <w:t>Long-term income taxes payable</w:t>
            </w:r>
          </w:p>
        </w:tc>
        <w:tc>
          <w:tcPr>
            <w:tcW w:w="1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6,070</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5,875</w:t>
            </w:r>
          </w:p>
        </w:tc>
      </w:tr>
      <w:tr>
        <w:trPr>
          <w:trHeight w:val="230"/>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7,749</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3,970</w:t>
            </w:r>
          </w:p>
        </w:tc>
      </w:tr>
      <w:tr>
        <w:trPr>
          <w:trHeight w:val="223"/>
        </w:trPr>
        <w:tc>
          <w:tcPr>
            <w:tcW w:w="7540" w:type="dxa"/>
            <w:vAlign w:val="bottom"/>
          </w:tcPr>
          <w:p>
            <w:pPr>
              <w:spacing w:after="0"/>
              <w:rPr>
                <w:sz w:val="20"/>
                <w:szCs w:val="20"/>
                <w:color w:val="auto"/>
              </w:rPr>
            </w:pPr>
            <w:r>
              <w:rPr>
                <w:rFonts w:ascii="Arial" w:cs="Arial" w:eastAsia="Arial" w:hAnsi="Arial"/>
                <w:sz w:val="16"/>
                <w:szCs w:val="16"/>
                <w:color w:val="auto"/>
              </w:rPr>
              <w:t>Total noncurrent liabilities</w:t>
            </w:r>
          </w:p>
        </w:tc>
        <w:tc>
          <w:tcPr>
            <w:tcW w:w="1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60,805</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50,713</w:t>
            </w: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Commitments and Contingencies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8"/>
        </w:trPr>
        <w:tc>
          <w:tcPr>
            <w:tcW w:w="7540" w:type="dxa"/>
            <w:vAlign w:val="bottom"/>
          </w:tcPr>
          <w:p>
            <w:pPr>
              <w:spacing w:after="0"/>
              <w:rPr>
                <w:sz w:val="20"/>
                <w:szCs w:val="20"/>
                <w:color w:val="auto"/>
              </w:rPr>
            </w:pPr>
            <w:r>
              <w:rPr>
                <w:rFonts w:ascii="Arial" w:cs="Arial" w:eastAsia="Arial" w:hAnsi="Arial"/>
                <w:sz w:val="16"/>
                <w:szCs w:val="16"/>
                <w:i w:val="1"/>
                <w:iCs w:val="1"/>
                <w:color w:val="auto"/>
              </w:rPr>
              <w:t>Equity</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588</w:t>
            </w: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30"/>
        </w:trPr>
        <w:tc>
          <w:tcPr>
            <w:tcW w:w="75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b w:val="1"/>
                <w:bCs w:val="1"/>
                <w:color w:val="auto"/>
              </w:rPr>
              <w:t>7,309</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7,346</w:t>
            </w:r>
          </w:p>
        </w:tc>
      </w:tr>
      <w:tr>
        <w:trPr>
          <w:trHeight w:val="230"/>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37,969</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24,470</w:t>
            </w:r>
          </w:p>
        </w:tc>
      </w:tr>
      <w:tr>
        <w:trPr>
          <w:trHeight w:val="229"/>
        </w:trPr>
        <w:tc>
          <w:tcPr>
            <w:tcW w:w="7540" w:type="dxa"/>
            <w:vAlign w:val="bottom"/>
          </w:tcPr>
          <w:p>
            <w:pPr>
              <w:ind w:left="120"/>
              <w:spacing w:after="0"/>
              <w:rPr>
                <w:sz w:val="20"/>
                <w:szCs w:val="20"/>
                <w:color w:val="auto"/>
              </w:rPr>
            </w:pPr>
            <w:r>
              <w:rPr>
                <w:rFonts w:ascii="Arial" w:cs="Arial" w:eastAsia="Arial" w:hAnsi="Arial"/>
                <w:sz w:val="16"/>
                <w:szCs w:val="16"/>
                <w:color w:val="auto"/>
              </w:rPr>
              <w:t>Employee benefit trust</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(3,013)</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(3,013)</w:t>
            </w:r>
          </w:p>
        </w:tc>
      </w:tr>
      <w:tr>
        <w:trPr>
          <w:trHeight w:val="230"/>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(2,629)</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w:t>
            </w:r>
          </w:p>
        </w:tc>
      </w:tr>
      <w:tr>
        <w:trPr>
          <w:trHeight w:val="230"/>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equity</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40,271</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26,535</w:t>
            </w:r>
          </w:p>
        </w:tc>
      </w:tr>
      <w:tr>
        <w:trPr>
          <w:trHeight w:val="230"/>
        </w:trPr>
        <w:tc>
          <w:tcPr>
            <w:tcW w:w="754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148,072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112,476</w:t>
            </w: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23495</wp:posOffset>
            </wp:positionV>
            <wp:extent cx="1937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r>
      <w:tr>
        <w:trPr>
          <w:trHeight w:val="23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20,942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14,002</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1,588</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(1,098)</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562</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7,541</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(1,899)</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(4,419)</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(216)</w:t>
            </w:r>
          </w:p>
        </w:tc>
        <w:tc>
          <w:tcPr>
            <w:tcW w:w="4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27,420</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13,588</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(8,437)</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(5,294)</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noncurrent investments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(862)</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(7,548)</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(10,692)</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4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(27,611)</w:t>
            </w: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(4,635)</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(4,338)</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8,941</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(1,623)</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(4,334)</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4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(612)</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Provided by Financing Activities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(2,263)</w:t>
            </w: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4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71</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(2,383)</w:t>
            </w: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r>
      <w:tr>
        <w:trPr>
          <w:trHeight w:val="24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7,268</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4,885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(Tables present dollars and shares in millions, except per-share data, and numbers may not add due to rounding)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ind w:right="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We issued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 if dilutive.</w:t>
      </w:r>
    </w:p>
    <w:p>
      <w:pPr>
        <w:spacing w:after="0" w:line="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See Note 11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Accounting Standards Update 2024-03, </w:t>
      </w:r>
      <w:r>
        <w:rPr>
          <w:rFonts w:ascii="Arial" w:cs="Arial" w:eastAsia="Arial" w:hAnsi="Arial"/>
          <w:sz w:val="18"/>
          <w:szCs w:val="18"/>
          <w:i w:val="1"/>
          <w:iCs w:val="1"/>
          <w:color w:val="auto"/>
        </w:rPr>
        <w:t>Income Statement—Reporting Comprehensive Income—Expense Disaggregation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220-40): Disaggregation of Income Statement Expenses</w:t>
      </w:r>
      <w:r>
        <w:rPr>
          <w:rFonts w:ascii="Arial" w:cs="Arial" w:eastAsia="Arial" w:hAnsi="Arial"/>
          <w:sz w:val="18"/>
          <w:szCs w:val="18"/>
          <w:color w:val="auto"/>
        </w:rPr>
        <w:t>, requires disaggregation of specific expense categories in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a qualitative description of the remaining expense amounts not separately disaggregated. This standard is effective for annual reporting periods beginning after December 15, 2026, and requires prospective application with the option to apply it retrospectively. We intend to adopt this standard in our Annual Report on Form 10-K for the year ending December 31, 2027. We are currently evaluating the potential impact of adopting this standard on our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r>
      <w:tr>
        <w:trPr>
          <w:trHeight w:val="238"/>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22,650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16,331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62,506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42,658</w:t>
            </w:r>
          </w:p>
        </w:tc>
      </w:tr>
      <w:tr>
        <w:trPr>
          <w:trHeight w:val="24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1,747</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1,270</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4,664</w:t>
            </w: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24,397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17,601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67,170</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45,887</w:t>
            </w:r>
          </w:p>
        </w:tc>
      </w:tr>
    </w:tbl>
    <w:p>
      <w:pPr>
        <w:spacing w:after="0" w:line="1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3 for additional information related to our collaborations and other arrangements. Collaboration and other revenue disclosed above includes the revenue resulting from our collaboration with Boehringer Ingelheim, as well as the sale of product rights. Substantially all of the remainder of collaboration and other revenue is related to contracts accounted for as contracts with customers.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Adjustments to Revenue</w:t>
      </w:r>
    </w:p>
    <w:p>
      <w:pPr>
        <w:spacing w:after="0" w:line="117" w:lineRule="exact"/>
        <w:rPr>
          <w:sz w:val="20"/>
          <w:szCs w:val="20"/>
          <w:color w:val="auto"/>
        </w:rPr>
      </w:pPr>
    </w:p>
    <w:p>
      <w:pPr>
        <w:jc w:val="both"/>
        <w:ind w:right="260"/>
        <w:spacing w:after="0" w:line="291" w:lineRule="auto"/>
        <w:rPr>
          <w:sz w:val="20"/>
          <w:szCs w:val="20"/>
          <w:color w:val="auto"/>
        </w:rPr>
      </w:pPr>
      <w:r>
        <w:rPr>
          <w:rFonts w:ascii="Arial" w:cs="Arial" w:eastAsia="Arial" w:hAnsi="Arial"/>
          <w:sz w:val="17"/>
          <w:szCs w:val="17"/>
          <w:color w:val="auto"/>
        </w:rPr>
        <w:t>Adjustments to revenue recognized as a result of changes in estimates for our most significant United States (U.S.) sales returns, rebates, and discounts liability balances for products shipped in previous periods were 2 percent of U.S. revenue during the three and nine months ended September 30, 2026 and less than 1 percent of U.S. revenue during the three and nine months ended September 30,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three months ended September 30, 2026 and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9"/>
        </w:trPr>
        <w:tc>
          <w:tcPr>
            <w:tcW w:w="3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7"/>
        </w:trPr>
        <w:tc>
          <w:tcPr>
            <w:tcW w:w="3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38"/>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390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4,998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5,725</w:t>
            </w:r>
          </w:p>
        </w:tc>
        <w:tc>
          <w:tcPr>
            <w:tcW w:w="32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10,723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6,515</w:t>
            </w:r>
          </w:p>
        </w:tc>
      </w:tr>
      <w:tr>
        <w:trPr>
          <w:trHeight w:val="243"/>
        </w:trPr>
        <w:tc>
          <w:tcPr>
            <w:tcW w:w="3900" w:type="dxa"/>
            <w:vAlign w:val="bottom"/>
            <w:shd w:val="clear" w:color="auto" w:fill="CCEEFF"/>
          </w:tcPr>
          <w:p>
            <w:pPr>
              <w:ind w:left="560"/>
              <w:spacing w:after="0" w:line="243"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i w:val="1"/>
                <w:iCs w:val="1"/>
                <w:color w:val="auto"/>
                <w:vertAlign w:val="superscript"/>
              </w:rPr>
              <w:t>(1)</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5,267</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5,352</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r>
      <w:tr>
        <w:trPr>
          <w:trHeight w:val="243"/>
        </w:trPr>
        <w:tc>
          <w:tcPr>
            <w:tcW w:w="3900" w:type="dxa"/>
            <w:vAlign w:val="bottom"/>
          </w:tcPr>
          <w:p>
            <w:pPr>
              <w:ind w:left="560"/>
              <w:spacing w:after="0" w:line="243"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781</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1,578</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43"/>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Trulicity</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904</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43"/>
        </w:trPr>
        <w:tc>
          <w:tcPr>
            <w:tcW w:w="3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1,207</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r>
      <w:tr>
        <w:trPr>
          <w:trHeight w:val="23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12,376</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7,388</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19,764</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13,178</w:t>
            </w:r>
          </w:p>
        </w:tc>
      </w:tr>
      <w:tr>
        <w:trPr>
          <w:trHeight w:val="257"/>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390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897</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1,511</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43"/>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1,089</w:t>
            </w: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36"/>
        </w:trPr>
        <w:tc>
          <w:tcPr>
            <w:tcW w:w="390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1,518</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1,082</w:t>
            </w: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2,600</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57"/>
        </w:trPr>
        <w:tc>
          <w:tcPr>
            <w:tcW w:w="3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Taltz</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856</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43"/>
        </w:trPr>
        <w:tc>
          <w:tcPr>
            <w:tcW w:w="3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579</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37"/>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1,435</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56"/>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444</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57"/>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154</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57"/>
        </w:trPr>
        <w:tc>
          <w:tcPr>
            <w:tcW w:w="3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9,261</w:t>
            </w: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24,397</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17,601</w:t>
            </w:r>
          </w:p>
        </w:tc>
      </w:tr>
    </w:tbl>
    <w:p>
      <w:pPr>
        <w:spacing w:after="0" w:line="64"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Tirzepatide is marketed for obesity under the brand name Zepbound in Canada, Japan, and the U.S.</w:t>
      </w: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 w:name="page11"/>
    <w:bookmarkEnd w:id="10"/>
    <w:p>
      <w:pPr>
        <w:ind w:right="8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nine months ended September 30, 2026 and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9"/>
        </w:trPr>
        <w:tc>
          <w:tcPr>
            <w:tcW w:w="3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3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37"/>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390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14,022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15,306</w:t>
            </w:r>
          </w:p>
        </w:tc>
        <w:tc>
          <w:tcPr>
            <w:tcW w:w="32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29,328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6,048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15,556</w:t>
            </w:r>
          </w:p>
        </w:tc>
      </w:tr>
      <w:tr>
        <w:trPr>
          <w:trHeight w:val="243"/>
        </w:trPr>
        <w:tc>
          <w:tcPr>
            <w:tcW w:w="3900" w:type="dxa"/>
            <w:vAlign w:val="bottom"/>
            <w:shd w:val="clear" w:color="auto" w:fill="CCEEFF"/>
          </w:tcPr>
          <w:p>
            <w:pPr>
              <w:ind w:left="560"/>
              <w:spacing w:after="0" w:line="243"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i w:val="1"/>
                <w:iCs w:val="1"/>
                <w:color w:val="auto"/>
                <w:vertAlign w:val="superscript"/>
              </w:rPr>
              <w:t>(1)</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14,273</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14,440</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r>
      <w:tr>
        <w:trPr>
          <w:trHeight w:val="243"/>
        </w:trPr>
        <w:tc>
          <w:tcPr>
            <w:tcW w:w="3900" w:type="dxa"/>
            <w:vAlign w:val="bottom"/>
          </w:tcPr>
          <w:p>
            <w:pPr>
              <w:ind w:left="560"/>
              <w:spacing w:after="0" w:line="243"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1,909</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3,924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1,116</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1,547</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43"/>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Trulicity</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2,109</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3,042</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43"/>
        </w:trPr>
        <w:tc>
          <w:tcPr>
            <w:tcW w:w="3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1,728</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1,416</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3,143</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w:t>
            </w:r>
          </w:p>
        </w:tc>
      </w:tr>
      <w:tr>
        <w:trPr>
          <w:trHeight w:val="237"/>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34,041</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19,836</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53,877</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23,807</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33,729</w:t>
            </w:r>
          </w:p>
        </w:tc>
      </w:tr>
      <w:tr>
        <w:trPr>
          <w:trHeight w:val="257"/>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390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2,448</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1,838</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4,286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2,467</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1,651</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4,118</w:t>
            </w:r>
          </w:p>
        </w:tc>
      </w:tr>
      <w:tr>
        <w:trPr>
          <w:trHeight w:val="243"/>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3,151</w:t>
            </w: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36"/>
        </w:trPr>
        <w:tc>
          <w:tcPr>
            <w:tcW w:w="390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4,218</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3,219</w:t>
            </w: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7,437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3,840</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2,929</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6,769</w:t>
            </w:r>
          </w:p>
        </w:tc>
      </w:tr>
      <w:tr>
        <w:trPr>
          <w:trHeight w:val="257"/>
        </w:trPr>
        <w:tc>
          <w:tcPr>
            <w:tcW w:w="3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Taltz</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2,444</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43"/>
        </w:trPr>
        <w:tc>
          <w:tcPr>
            <w:tcW w:w="3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1,611</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r>
      <w:tr>
        <w:trPr>
          <w:trHeight w:val="237"/>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2,211</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1,844</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4,055</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r>
      <w:tr>
        <w:trPr>
          <w:trHeight w:val="256"/>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1,254</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56"/>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546</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56"/>
        </w:trPr>
        <w:tc>
          <w:tcPr>
            <w:tcW w:w="3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25,502</w:t>
            </w: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67,170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45,887</w:t>
            </w:r>
          </w:p>
        </w:tc>
      </w:tr>
    </w:tbl>
    <w:p>
      <w:pPr>
        <w:spacing w:after="0" w:line="77"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Tirzepatide is marketed for obesity under the brand name Zepbound in Canada, Japan, and the U.S.</w:t>
      </w: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r>
      <w:tr>
        <w:trPr>
          <w:trHeight w:val="237"/>
        </w:trPr>
        <w:tc>
          <w:tcPr>
            <w:tcW w:w="484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4840" w:type="dxa"/>
            <w:vAlign w:val="bottom"/>
          </w:tcPr>
          <w:p>
            <w:pPr>
              <w:ind w:left="14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15,136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11,300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b w:val="1"/>
                <w:bCs w:val="1"/>
                <w:color w:val="auto"/>
              </w:rPr>
              <w:t>41,668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30,604</w:t>
            </w:r>
          </w:p>
        </w:tc>
      </w:tr>
      <w:tr>
        <w:trPr>
          <w:trHeight w:val="243"/>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4,459</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3,498</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12,219</w:t>
            </w: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r>
      <w:tr>
        <w:trPr>
          <w:trHeight w:val="243"/>
        </w:trPr>
        <w:tc>
          <w:tcPr>
            <w:tcW w:w="4840" w:type="dxa"/>
            <w:vAlign w:val="bottom"/>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947</w:t>
            </w:r>
          </w:p>
        </w:tc>
        <w:tc>
          <w:tcPr>
            <w:tcW w:w="4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560</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b w:val="1"/>
                <w:bCs w:val="1"/>
                <w:color w:val="auto"/>
              </w:rPr>
              <w:t>2,582</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43"/>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648</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555</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1,847</w:t>
            </w: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43"/>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3,206</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1,688</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8,854</w:t>
            </w: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24,397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17,601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67,170</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45,887</w:t>
            </w:r>
          </w:p>
        </w:tc>
      </w:tr>
    </w:tbl>
    <w:p>
      <w:pPr>
        <w:spacing w:after="0" w:line="8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 or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Boehringer Ingelheim's Jardiance product family, which includes Glyxambi, Synjardy, and Trijardy XR, is the significant product family included in the collaboration.</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For the Jardiance product family in the most significant markets, which remains in the collaboration through December 31, 2028, we receive a share of net sales depending on performance of the product, which we recognize as collaboration and other revenue. The following table summarizes our revenue recognized: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31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39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1,578</w:t>
            </w:r>
          </w:p>
        </w:tc>
        <w:tc>
          <w:tcPr>
            <w:tcW w:w="13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3,924</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r>
    </w:tbl>
    <w:p>
      <w:pPr>
        <w:spacing w:after="0" w:line="1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recognized sales-based milestones for Jardiance of $410 million and $ 910 million for the three and nine months ended September 30, 2026, respectively, compared with $200 million for both the three and nine months ended September 30, 2025. During the nine months ended September 30, 2025, we also recognized a one-time benefit of $370 million for Jardiance. As of September 30, 2026, no further sales-based milestones remain to be earned under the collaboration.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September 30, 2026, Roche is eligible to receive additional payments from us, including up to $900 million in potential sales-based milestones.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As of September 30, 2026, we are eligible to receive additional payments up to $1.2 billion in a series of sales-based milestones.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Foundayo</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a license agreement with Chugai Pharmaceutical Co., Ltd. (Chugai), which provides us the worldwide development and commercialization rights to orforglipron, which is branded and trademarked as Foundayo. In addition to milestone payment rights which are not material, Chugai receives tiered royalty payments on worldwide net sales ranging in percentages from mid single digits to low teens, which we recognize as cost of sales.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if the products are approved for commercialization and/or milestones based on the successful progress of compounds through the development process. We account for each arrangement as either a business combination or an asset acquisition in accordance with GAAP.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an acquisition met the definition of a business under GAAP,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condensed financial statements from the date of acquisition.</w:t>
      </w:r>
    </w:p>
    <w:p>
      <w:pPr>
        <w:spacing w:after="0" w:line="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 the nine months ended September 30, 2026 and 2025, our significant acquisitions that were accounted for as business combinations were Kelonia Therapeutics, Inc. (Kelonia), Centessa Pharmaceuticals plc (Centessa), and Ventyx Biosciences, Inc. (Ventyx) and are summarized in the following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Kelonia</w:t>
            </w: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rPr>
              <w:t>Centessa</w:t>
            </w: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Ventyx</w:t>
            </w:r>
          </w:p>
        </w:tc>
        <w:tc>
          <w:tcPr>
            <w:tcW w:w="0" w:type="dxa"/>
            <w:vAlign w:val="bottom"/>
          </w:tcPr>
          <w:p>
            <w:pPr>
              <w:spacing w:after="0"/>
              <w:rPr>
                <w:sz w:val="1"/>
                <w:szCs w:val="1"/>
                <w:color w:val="auto"/>
              </w:rPr>
            </w:pPr>
          </w:p>
        </w:tc>
      </w:tr>
      <w:tr>
        <w:trPr>
          <w:trHeight w:val="34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w:t>
            </w:r>
          </w:p>
        </w:tc>
        <w:tc>
          <w:tcPr>
            <w:tcW w:w="140" w:type="dxa"/>
            <w:vAlign w:val="bottom"/>
            <w:shd w:val="clear" w:color="auto" w:fill="CCEEFF"/>
          </w:tcPr>
          <w:p>
            <w:pPr>
              <w:spacing w:after="0"/>
              <w:rPr>
                <w:sz w:val="24"/>
                <w:szCs w:val="24"/>
                <w:color w:val="auto"/>
              </w:rPr>
            </w:pPr>
          </w:p>
        </w:tc>
        <w:tc>
          <w:tcPr>
            <w:tcW w:w="202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99"/>
              </w:rPr>
              <w:t>June 25, 2026</w:t>
            </w:r>
          </w:p>
        </w:tc>
        <w:tc>
          <w:tcPr>
            <w:tcW w:w="320" w:type="dxa"/>
            <w:vAlign w:val="bottom"/>
            <w:shd w:val="clear" w:color="auto" w:fill="CCEEFF"/>
          </w:tcPr>
          <w:p>
            <w:pPr>
              <w:spacing w:after="0"/>
              <w:rPr>
                <w:sz w:val="24"/>
                <w:szCs w:val="24"/>
                <w:color w:val="auto"/>
              </w:rPr>
            </w:pPr>
          </w:p>
        </w:tc>
        <w:tc>
          <w:tcPr>
            <w:tcW w:w="1840" w:type="dxa"/>
            <w:vAlign w:val="bottom"/>
            <w:shd w:val="clear" w:color="auto" w:fill="CCEEFF"/>
          </w:tcPr>
          <w:p>
            <w:pPr>
              <w:jc w:val="center"/>
              <w:ind w:right="211"/>
              <w:spacing w:after="0"/>
              <w:rPr>
                <w:sz w:val="20"/>
                <w:szCs w:val="20"/>
                <w:color w:val="auto"/>
              </w:rPr>
            </w:pPr>
            <w:r>
              <w:rPr>
                <w:rFonts w:ascii="Arial" w:cs="Arial" w:eastAsia="Arial" w:hAnsi="Arial"/>
                <w:sz w:val="18"/>
                <w:szCs w:val="18"/>
                <w:color w:val="auto"/>
                <w:w w:val="99"/>
              </w:rPr>
              <w:t>June 24, 2026</w:t>
            </w:r>
          </w:p>
        </w:tc>
        <w:tc>
          <w:tcPr>
            <w:tcW w:w="140" w:type="dxa"/>
            <w:vAlign w:val="bottom"/>
            <w:shd w:val="clear" w:color="auto" w:fill="CCEEFF"/>
          </w:tcPr>
          <w:p>
            <w:pPr>
              <w:spacing w:after="0"/>
              <w:rPr>
                <w:sz w:val="24"/>
                <w:szCs w:val="24"/>
                <w:color w:val="auto"/>
              </w:rPr>
            </w:pPr>
          </w:p>
        </w:tc>
        <w:tc>
          <w:tcPr>
            <w:tcW w:w="204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99"/>
              </w:rPr>
              <w:t>March 4, 2026</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51"/>
              <w:spacing w:after="0" w:line="189" w:lineRule="exact"/>
              <w:rPr>
                <w:sz w:val="20"/>
                <w:szCs w:val="20"/>
                <w:color w:val="auto"/>
              </w:rPr>
            </w:pPr>
            <w:r>
              <w:rPr>
                <w:rFonts w:ascii="Arial" w:cs="Arial" w:eastAsia="Arial" w:hAnsi="Arial"/>
                <w:sz w:val="18"/>
                <w:szCs w:val="18"/>
                <w:color w:val="auto"/>
                <w:w w:val="99"/>
              </w:rPr>
              <w:t>In vivo chimeric antigen</w:t>
            </w:r>
          </w:p>
        </w:tc>
        <w:tc>
          <w:tcPr>
            <w:tcW w:w="3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jc w:val="center"/>
              <w:ind w:right="51"/>
              <w:spacing w:after="0" w:line="189" w:lineRule="exact"/>
              <w:rPr>
                <w:sz w:val="20"/>
                <w:szCs w:val="20"/>
                <w:color w:val="auto"/>
              </w:rPr>
            </w:pPr>
            <w:r>
              <w:rPr>
                <w:rFonts w:ascii="Arial" w:cs="Arial" w:eastAsia="Arial" w:hAnsi="Arial"/>
                <w:sz w:val="18"/>
                <w:szCs w:val="18"/>
                <w:color w:val="auto"/>
                <w:w w:val="99"/>
              </w:rPr>
              <w:t>Oral therapies for</w:t>
            </w:r>
          </w:p>
        </w:tc>
        <w:tc>
          <w:tcPr>
            <w:tcW w:w="0" w:type="dxa"/>
            <w:vAlign w:val="bottom"/>
          </w:tcPr>
          <w:p>
            <w:pPr>
              <w:spacing w:after="0"/>
              <w:rPr>
                <w:sz w:val="1"/>
                <w:szCs w:val="1"/>
                <w:color w:val="auto"/>
              </w:rPr>
            </w:pPr>
          </w:p>
        </w:tc>
      </w:tr>
      <w:tr>
        <w:trPr>
          <w:trHeight w:val="175"/>
        </w:trPr>
        <w:tc>
          <w:tcPr>
            <w:tcW w:w="4580" w:type="dxa"/>
            <w:vAlign w:val="bottom"/>
            <w:vMerge w:val="restart"/>
          </w:tcPr>
          <w:p>
            <w:pPr>
              <w:ind w:left="20"/>
              <w:spacing w:after="0"/>
              <w:rPr>
                <w:sz w:val="20"/>
                <w:szCs w:val="20"/>
                <w:color w:val="auto"/>
              </w:rPr>
            </w:pPr>
            <w:r>
              <w:rPr>
                <w:rFonts w:ascii="Arial" w:cs="Arial" w:eastAsia="Arial" w:hAnsi="Arial"/>
                <w:sz w:val="18"/>
                <w:szCs w:val="18"/>
                <w:color w:val="auto"/>
              </w:rPr>
              <w:t>Business description</w:t>
            </w:r>
          </w:p>
        </w:tc>
        <w:tc>
          <w:tcPr>
            <w:tcW w:w="140" w:type="dxa"/>
            <w:vAlign w:val="bottom"/>
          </w:tcPr>
          <w:p>
            <w:pPr>
              <w:spacing w:after="0"/>
              <w:rPr>
                <w:sz w:val="15"/>
                <w:szCs w:val="15"/>
                <w:color w:val="auto"/>
              </w:rPr>
            </w:pPr>
          </w:p>
        </w:tc>
        <w:tc>
          <w:tcPr>
            <w:tcW w:w="4180" w:type="dxa"/>
            <w:vAlign w:val="bottom"/>
            <w:gridSpan w:val="3"/>
          </w:tcPr>
          <w:p>
            <w:pPr>
              <w:jc w:val="center"/>
              <w:spacing w:after="0" w:line="176" w:lineRule="exact"/>
              <w:rPr>
                <w:sz w:val="20"/>
                <w:szCs w:val="20"/>
                <w:color w:val="auto"/>
              </w:rPr>
            </w:pPr>
            <w:r>
              <w:rPr>
                <w:rFonts w:ascii="Arial" w:cs="Arial" w:eastAsia="Arial" w:hAnsi="Arial"/>
                <w:sz w:val="18"/>
                <w:szCs w:val="18"/>
                <w:color w:val="auto"/>
              </w:rPr>
              <w:t>receptor T-cell (CAR-T)  Orexin receptor 2 agonists</w:t>
            </w:r>
          </w:p>
        </w:tc>
        <w:tc>
          <w:tcPr>
            <w:tcW w:w="140" w:type="dxa"/>
            <w:vAlign w:val="bottom"/>
          </w:tcPr>
          <w:p>
            <w:pPr>
              <w:spacing w:after="0"/>
              <w:rPr>
                <w:sz w:val="15"/>
                <w:szCs w:val="15"/>
                <w:color w:val="auto"/>
              </w:rPr>
            </w:pPr>
          </w:p>
        </w:tc>
        <w:tc>
          <w:tcPr>
            <w:tcW w:w="2040" w:type="dxa"/>
            <w:vAlign w:val="bottom"/>
          </w:tcPr>
          <w:p>
            <w:pPr>
              <w:jc w:val="center"/>
              <w:ind w:right="51"/>
              <w:spacing w:after="0" w:line="176" w:lineRule="exact"/>
              <w:rPr>
                <w:sz w:val="20"/>
                <w:szCs w:val="20"/>
                <w:color w:val="auto"/>
              </w:rPr>
            </w:pPr>
            <w:r>
              <w:rPr>
                <w:rFonts w:ascii="Arial" w:cs="Arial" w:eastAsia="Arial" w:hAnsi="Arial"/>
                <w:sz w:val="18"/>
                <w:szCs w:val="18"/>
                <w:color w:val="auto"/>
                <w:w w:val="99"/>
              </w:rPr>
              <w:t>inflammatory-mediated</w:t>
            </w: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center"/>
              <w:ind w:right="31"/>
              <w:spacing w:after="0"/>
              <w:rPr>
                <w:sz w:val="20"/>
                <w:szCs w:val="20"/>
                <w:color w:val="auto"/>
              </w:rPr>
            </w:pPr>
            <w:r>
              <w:rPr>
                <w:rFonts w:ascii="Arial" w:cs="Arial" w:eastAsia="Arial" w:hAnsi="Arial"/>
                <w:sz w:val="18"/>
                <w:szCs w:val="18"/>
                <w:color w:val="auto"/>
                <w:w w:val="99"/>
              </w:rPr>
              <w:t>therapies</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9"/>
              </w:rPr>
              <w:t>for sleep-wake disorders</w:t>
            </w:r>
          </w:p>
        </w:tc>
        <w:tc>
          <w:tcPr>
            <w:tcW w:w="140" w:type="dxa"/>
            <w:vAlign w:val="bottom"/>
          </w:tcPr>
          <w:p>
            <w:pPr>
              <w:spacing w:after="0"/>
              <w:rPr>
                <w:sz w:val="21"/>
                <w:szCs w:val="21"/>
                <w:color w:val="auto"/>
              </w:rPr>
            </w:pPr>
          </w:p>
        </w:tc>
        <w:tc>
          <w:tcPr>
            <w:tcW w:w="2040" w:type="dxa"/>
            <w:vAlign w:val="bottom"/>
          </w:tcPr>
          <w:p>
            <w:pPr>
              <w:jc w:val="center"/>
              <w:ind w:right="51"/>
              <w:spacing w:after="0"/>
              <w:rPr>
                <w:sz w:val="20"/>
                <w:szCs w:val="20"/>
                <w:color w:val="auto"/>
              </w:rPr>
            </w:pPr>
            <w:r>
              <w:rPr>
                <w:rFonts w:ascii="Arial" w:cs="Arial" w:eastAsia="Arial" w:hAnsi="Arial"/>
                <w:sz w:val="18"/>
                <w:szCs w:val="18"/>
                <w:color w:val="auto"/>
                <w:w w:val="98"/>
              </w:rPr>
              <w:t>diseases</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 as of acquisition date:</w:t>
            </w:r>
          </w:p>
        </w:tc>
        <w:tc>
          <w:tcPr>
            <w:tcW w:w="1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Acquired in-process research and development</w:t>
            </w:r>
          </w:p>
        </w:tc>
        <w:tc>
          <w:tcPr>
            <w:tcW w:w="140" w:type="dxa"/>
            <w:vAlign w:val="bottom"/>
            <w:shd w:val="clear" w:color="auto" w:fill="CCEEFF"/>
          </w:tcPr>
          <w:p>
            <w:pPr>
              <w:spacing w:after="0"/>
              <w:rPr>
                <w:sz w:val="16"/>
                <w:szCs w:val="16"/>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320" w:type="dxa"/>
            <w:vAlign w:val="bottom"/>
            <w:shd w:val="clear" w:color="auto" w:fill="CCEEFF"/>
          </w:tcPr>
          <w:p>
            <w:pPr>
              <w:spacing w:after="0"/>
              <w:rPr>
                <w:sz w:val="16"/>
                <w:szCs w:val="16"/>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140" w:type="dxa"/>
            <w:vAlign w:val="bottom"/>
            <w:shd w:val="clear" w:color="auto" w:fill="CCEEFF"/>
          </w:tcPr>
          <w:p>
            <w:pPr>
              <w:spacing w:after="0"/>
              <w:rPr>
                <w:sz w:val="16"/>
                <w:szCs w:val="16"/>
                <w:color w:val="auto"/>
              </w:rPr>
            </w:pP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(IPR&amp;D)</w:t>
            </w:r>
          </w:p>
        </w:tc>
        <w:tc>
          <w:tcPr>
            <w:tcW w:w="140" w:type="dxa"/>
            <w:vAlign w:val="bottom"/>
            <w:shd w:val="clear" w:color="auto" w:fill="CCEEFF"/>
          </w:tcPr>
          <w:p>
            <w:pPr>
              <w:spacing w:after="0"/>
              <w:rPr>
                <w:sz w:val="21"/>
                <w:szCs w:val="21"/>
                <w:color w:val="auto"/>
              </w:rPr>
            </w:pPr>
          </w:p>
        </w:tc>
        <w:tc>
          <w:tcPr>
            <w:tcW w:w="20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line="243"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 net</w:t>
            </w:r>
          </w:p>
        </w:tc>
        <w:tc>
          <w:tcPr>
            <w:tcW w:w="14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4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 and liabilities, net</w:t>
            </w: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date fair value of consideration</w:t>
            </w:r>
          </w:p>
        </w:tc>
        <w:tc>
          <w:tcPr>
            <w:tcW w:w="14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3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4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acquired</w:t>
            </w:r>
          </w:p>
        </w:tc>
        <w:tc>
          <w:tcPr>
            <w:tcW w:w="14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Fair value of contingent consideration</w:t>
            </w: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consideration paid, net of cash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4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Primary acquired IPR&amp;D intangible</w:t>
            </w: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KLN-1010</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ORX750</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VTX3232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360" w:hanging="172"/>
        <w:spacing w:after="0" w:line="229" w:lineRule="auto"/>
        <w:tabs>
          <w:tab w:leader="none" w:pos="158"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these acquisitions is primarily attributable to future unidentified projects and products, the assembled workforce for the companies, and the recognition of deferred tax liabilities, which is not deductible for tax purposes.</w:t>
      </w: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These amounts represent the maximum amount of potential payments and are subject to the achievement of certain specified milestones. See Note 8 for additional</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information related to contingent consideration amounts.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N/A - Not applicable</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in the process of determining fair values and tax bases of the assets acquired and liabilities assumed, including the identification and valuation of intangible assets and tax exposures, as our access to information was limited prior to each acquisition. The final determination of these amounts will be completed as soon as practicable but no later than one year from each acquisition date. The final determination may result in asset and liability fair values and tax bases that differ from the preliminary estimates and require changes to the preliminary amounts recognized.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Upon each asset acquisition, the cost allocated to acquired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 We recognized acquired IPR&amp;D charges of $ 4.2 billion and $7.5 billion for the three and nine months ended September 30, 2026, respectively, and $656 million and $2.4 billion for the three and nine months ended September 30, 2025,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acquired IPR&amp;D charges during 2026 and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Counterparty</w:t>
            </w:r>
          </w:p>
        </w:tc>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Compound, Therapy, or Asset</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260" w:type="dxa"/>
            <w:vAlign w:val="bottom"/>
          </w:tcPr>
          <w:p>
            <w:pPr>
              <w:spacing w:after="0"/>
              <w:rPr>
                <w:sz w:val="14"/>
                <w:szCs w:val="14"/>
                <w:color w:val="auto"/>
              </w:rPr>
            </w:pPr>
          </w:p>
        </w:tc>
        <w:tc>
          <w:tcPr>
            <w:tcW w:w="1300" w:type="dxa"/>
            <w:vAlign w:val="bottom"/>
          </w:tcPr>
          <w:p>
            <w:pPr>
              <w:jc w:val="right"/>
              <w:ind w:right="75"/>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auto"/>
            </w:tcBorders>
            <w:vMerge w:val="continue"/>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7"/>
              </w:rPr>
              <w:t>Development</w:t>
            </w:r>
            <w:r>
              <w:rPr>
                <w:rFonts w:ascii="Arial" w:cs="Arial" w:eastAsia="Arial" w:hAnsi="Arial"/>
                <w:sz w:val="18"/>
                <w:szCs w:val="18"/>
                <w:b w:val="1"/>
                <w:bCs w:val="1"/>
                <w:color w:val="auto"/>
                <w:w w:val="97"/>
                <w:vertAlign w:val="superscript"/>
              </w:rPr>
              <w:t>(1)</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Charge</w:t>
            </w:r>
          </w:p>
        </w:tc>
        <w:tc>
          <w:tcPr>
            <w:tcW w:w="0" w:type="dxa"/>
            <w:vAlign w:val="bottom"/>
          </w:tcPr>
          <w:p>
            <w:pPr>
              <w:spacing w:after="0"/>
              <w:rPr>
                <w:sz w:val="1"/>
                <w:szCs w:val="1"/>
                <w:color w:val="auto"/>
              </w:rPr>
            </w:pPr>
          </w:p>
        </w:tc>
      </w:tr>
      <w:tr>
        <w:trPr>
          <w:trHeight w:val="29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AtaiBeckley Inc.</w:t>
            </w:r>
          </w:p>
        </w:tc>
        <w:tc>
          <w:tcPr>
            <w:tcW w:w="4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BPL-003 (mebufotenin benzoate), synthetic form of 5-</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September 2026</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Phase 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2,610</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(AtaiBeckley)</w:t>
            </w:r>
          </w:p>
        </w:tc>
        <w:tc>
          <w:tcPr>
            <w:tcW w:w="4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MeO-DMT for treatment-resistant depression</w:t>
            </w:r>
          </w:p>
        </w:tc>
        <w:tc>
          <w:tcPr>
            <w:tcW w:w="162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40" w:type="dxa"/>
            <w:vAlign w:val="bottom"/>
            <w:vMerge w:val="restart"/>
          </w:tcPr>
          <w:p>
            <w:pPr>
              <w:ind w:left="20"/>
              <w:spacing w:after="0"/>
              <w:rPr>
                <w:sz w:val="20"/>
                <w:szCs w:val="20"/>
                <w:color w:val="auto"/>
              </w:rPr>
            </w:pPr>
            <w:r>
              <w:rPr>
                <w:rFonts w:ascii="Arial" w:cs="Arial" w:eastAsia="Arial" w:hAnsi="Arial"/>
                <w:sz w:val="18"/>
                <w:szCs w:val="18"/>
                <w:color w:val="auto"/>
              </w:rPr>
              <w:t>Curevo Inc. (Curevo)</w:t>
            </w:r>
          </w:p>
        </w:tc>
        <w:tc>
          <w:tcPr>
            <w:tcW w:w="4460" w:type="dxa"/>
            <w:vAlign w:val="bottom"/>
          </w:tcPr>
          <w:p>
            <w:pPr>
              <w:jc w:val="center"/>
              <w:spacing w:after="0" w:line="182" w:lineRule="exact"/>
              <w:rPr>
                <w:sz w:val="20"/>
                <w:szCs w:val="20"/>
                <w:color w:val="auto"/>
              </w:rPr>
            </w:pPr>
            <w:r>
              <w:rPr>
                <w:rFonts w:ascii="Arial" w:cs="Arial" w:eastAsia="Arial" w:hAnsi="Arial"/>
                <w:sz w:val="18"/>
                <w:szCs w:val="18"/>
                <w:color w:val="auto"/>
                <w:w w:val="99"/>
              </w:rPr>
              <w:t>Amezosvatein, adjuvanted subunit vaccine for the</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rPr>
              <w:t>July 2026</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Phase 2</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954</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vMerge w:val="continue"/>
          </w:tcPr>
          <w:p>
            <w:pPr>
              <w:spacing w:after="0"/>
              <w:rPr>
                <w:sz w:val="21"/>
                <w:szCs w:val="21"/>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prevention of shingles</w:t>
            </w:r>
          </w:p>
        </w:tc>
        <w:tc>
          <w:tcPr>
            <w:tcW w:w="162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Ajax Therapeutics, Inc.</w:t>
            </w:r>
          </w:p>
        </w:tc>
        <w:tc>
          <w:tcPr>
            <w:tcW w:w="44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AJ1-11095, oral, Type II JAK2 inhibitor for the</w:t>
            </w:r>
          </w:p>
        </w:tc>
        <w:tc>
          <w:tcPr>
            <w:tcW w:w="1620" w:type="dxa"/>
            <w:vAlign w:val="bottom"/>
            <w:vMerge w:val="restart"/>
            <w:shd w:val="clear" w:color="auto" w:fill="CCEEFF"/>
          </w:tcPr>
          <w:p>
            <w:pPr>
              <w:jc w:val="center"/>
              <w:ind w:right="13"/>
              <w:spacing w:after="0"/>
              <w:rPr>
                <w:sz w:val="20"/>
                <w:szCs w:val="20"/>
                <w:color w:val="auto"/>
              </w:rPr>
            </w:pPr>
            <w:r>
              <w:rPr>
                <w:rFonts w:ascii="Arial" w:cs="Arial" w:eastAsia="Arial" w:hAnsi="Arial"/>
                <w:sz w:val="18"/>
                <w:szCs w:val="18"/>
                <w:color w:val="auto"/>
                <w:w w:val="99"/>
              </w:rPr>
              <w:t>June 2026</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Phase 1</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(Ajax)</w:t>
            </w:r>
          </w:p>
        </w:tc>
        <w:tc>
          <w:tcPr>
            <w:tcW w:w="4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treatment of myelofibrosis and polycythemia vera</w:t>
            </w:r>
          </w:p>
        </w:tc>
        <w:tc>
          <w:tcPr>
            <w:tcW w:w="162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40" w:type="dxa"/>
            <w:vAlign w:val="bottom"/>
          </w:tcPr>
          <w:p>
            <w:pPr>
              <w:ind w:left="20"/>
              <w:spacing w:after="0" w:line="182" w:lineRule="exact"/>
              <w:rPr>
                <w:sz w:val="20"/>
                <w:szCs w:val="20"/>
                <w:color w:val="auto"/>
              </w:rPr>
            </w:pPr>
            <w:r>
              <w:rPr>
                <w:rFonts w:ascii="Arial" w:cs="Arial" w:eastAsia="Arial" w:hAnsi="Arial"/>
                <w:sz w:val="18"/>
                <w:szCs w:val="18"/>
                <w:color w:val="auto"/>
              </w:rPr>
              <w:t>Orna Therapeutics, Inc.</w:t>
            </w:r>
          </w:p>
        </w:tc>
        <w:tc>
          <w:tcPr>
            <w:tcW w:w="4460" w:type="dxa"/>
            <w:vAlign w:val="bottom"/>
          </w:tcPr>
          <w:p>
            <w:pPr>
              <w:jc w:val="center"/>
              <w:spacing w:after="0" w:line="182" w:lineRule="exact"/>
              <w:rPr>
                <w:sz w:val="20"/>
                <w:szCs w:val="20"/>
                <w:color w:val="auto"/>
              </w:rPr>
            </w:pPr>
            <w:r>
              <w:rPr>
                <w:rFonts w:ascii="Arial" w:cs="Arial" w:eastAsia="Arial" w:hAnsi="Arial"/>
                <w:sz w:val="18"/>
                <w:szCs w:val="18"/>
                <w:color w:val="auto"/>
                <w:w w:val="99"/>
              </w:rPr>
              <w:t>ORN-252, CD19 targeting in vivo CAR-T therapy</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8"/>
              </w:rPr>
              <w:t>May 2026</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Phase 1</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1,233</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(Orna)</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designed to treat B cell-driven autoimmune diseases</w:t>
            </w:r>
          </w:p>
        </w:tc>
        <w:tc>
          <w:tcPr>
            <w:tcW w:w="162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shd w:val="clear" w:color="auto" w:fill="CCEEFF"/>
          </w:tcPr>
          <w:p>
            <w:pPr>
              <w:spacing w:after="0"/>
              <w:rPr>
                <w:sz w:val="12"/>
                <w:szCs w:val="12"/>
                <w:color w:val="auto"/>
              </w:rPr>
            </w:pPr>
          </w:p>
        </w:tc>
        <w:tc>
          <w:tcPr>
            <w:tcW w:w="446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240" w:type="dxa"/>
            <w:vAlign w:val="bottom"/>
          </w:tcPr>
          <w:p>
            <w:pPr>
              <w:ind w:left="20"/>
              <w:spacing w:after="0" w:line="182" w:lineRule="exact"/>
              <w:rPr>
                <w:sz w:val="20"/>
                <w:szCs w:val="20"/>
                <w:color w:val="auto"/>
              </w:rPr>
            </w:pPr>
            <w:r>
              <w:rPr>
                <w:rFonts w:ascii="Arial" w:cs="Arial" w:eastAsia="Arial" w:hAnsi="Arial"/>
                <w:sz w:val="18"/>
                <w:szCs w:val="18"/>
                <w:color w:val="auto"/>
              </w:rPr>
              <w:t>SiteOne Therapeutics, Inc.</w:t>
            </w:r>
          </w:p>
        </w:tc>
        <w:tc>
          <w:tcPr>
            <w:tcW w:w="4460" w:type="dxa"/>
            <w:vAlign w:val="bottom"/>
            <w:vMerge w:val="restart"/>
          </w:tcPr>
          <w:p>
            <w:pPr>
              <w:jc w:val="center"/>
              <w:spacing w:after="0"/>
              <w:rPr>
                <w:sz w:val="20"/>
                <w:szCs w:val="20"/>
                <w:color w:val="auto"/>
              </w:rPr>
            </w:pPr>
            <w:r>
              <w:rPr>
                <w:rFonts w:ascii="Arial" w:cs="Arial" w:eastAsia="Arial" w:hAnsi="Arial"/>
                <w:sz w:val="18"/>
                <w:szCs w:val="18"/>
                <w:color w:val="auto"/>
              </w:rPr>
              <w:t>STC-004, Nav1.8 inhibitor for the treatment of pain</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rPr>
              <w:t>July 2025</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Phase 1</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(SiteOne)</w:t>
            </w:r>
          </w:p>
        </w:tc>
        <w:tc>
          <w:tcPr>
            <w:tcW w:w="446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7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Scorpion Therapeutics, Inc.  STX-478, PI3Kα inhibitor for the treatment of breast</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March 2025</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Phase 1</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(Scorpion)</w:t>
            </w:r>
          </w:p>
        </w:tc>
        <w:tc>
          <w:tcPr>
            <w:tcW w:w="4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cancer and other advanced solid tumors</w:t>
            </w:r>
          </w:p>
        </w:tc>
        <w:tc>
          <w:tcPr>
            <w:tcW w:w="162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October 2026, we acquired Merida Biosciences, Inc. (Merida) for up to $2.9 billion in aggregate, inclusive of an upfront payment and additional potential payments based upon the achievement of certain clinical and regulatory milestones. Our access to information was limited prior to the acquisition. As a consequence, we are in the process of determining the fair values of the assets acquired and liabilities assumed and the associated accounting treatment.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Asset impairment, restructuring, and other special charges recognized during the three and nine months ended September 30, 2026 were $303 million and $ 1.3 billion, respectively. The charges recognized in the three and nine months ended September 30, 2026 related to a partial impairment of an intangible asset associated with a molecule in development. In addition, charges recognized in the nine months ended September 30, 2026 included charges related to acquisition and integration costs associated with the closing of our acquisitions and charges related to litigation matters.</w:t>
      </w:r>
    </w:p>
    <w:p>
      <w:pPr>
        <w:spacing w:after="0" w:line="7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Asset impairment, restructuring, and other special charges recognized during the three and nine months ended September 30, 2025 were $365 million and $400 million, respectively, primarily related to a litigation charge and acquisition and integration costs associated with the closing of our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4 and Note 9 for additional information related to our acquisitions and litigation matters, respectively.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Income Taxes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effective tax rates were 23.3 percent and 21.0 percent for the three and nine months ended September 30, 2026, respectively, compared to 22.8 percent and 19.8 percent for the three and nine months ended September 30, 2025, respectively, primarily driven by the unfavorable tax impact of nondeductible acquired IPR&amp;D charges, with a larger impact occurring in 2026. The 2025 effective tax rates were also unfavorably impacted by U.S. tax law changes.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2026 and December 31, 2025, prepaid expenses included prepaid taxes of $15.1 billion and $12.9 billion, respectively.</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October 2026, the Internal Revenue Service (IRS) commenced its examination of tax years 2022-2024. The IRS examination of tax years 2019-2021 remains ongoing. For tax years 2016-2018, we are pursuing competent authority assistance through the Mutual Agreement Procedure (MAP) process for the pricing of certain intercompany transactions. The resolution of these audit periods will likely extend beyond the next 12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inventories: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September 30, 2026</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2025</w:t>
            </w:r>
          </w:p>
        </w:tc>
      </w:tr>
      <w:tr>
        <w:trPr>
          <w:trHeight w:val="238"/>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3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b w:val="1"/>
                <w:bCs w:val="1"/>
                <w:color w:val="auto"/>
              </w:rPr>
              <w:t>10,688</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8,183</w:t>
            </w: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30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4,460</w:t>
            </w:r>
          </w:p>
        </w:tc>
        <w:tc>
          <w:tcPr>
            <w:tcW w:w="3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b w:val="1"/>
                <w:bCs w:val="1"/>
                <w:color w:val="auto"/>
              </w:rPr>
              <w:t>18,146</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13,701</w:t>
            </w: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last-in, first-out cost</w:t>
            </w:r>
          </w:p>
        </w:tc>
        <w:tc>
          <w:tcPr>
            <w:tcW w:w="30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48</w:t>
            </w:r>
          </w:p>
        </w:tc>
        <w:tc>
          <w:tcPr>
            <w:tcW w:w="3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4"/>
        </w:trPr>
        <w:tc>
          <w:tcPr>
            <w:tcW w:w="43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13"/>
              <w:spacing w:after="0"/>
              <w:rPr>
                <w:sz w:val="20"/>
                <w:szCs w:val="20"/>
                <w:color w:val="auto"/>
              </w:rPr>
            </w:pPr>
            <w:r>
              <w:rPr>
                <w:rFonts w:ascii="Arial" w:cs="Arial" w:eastAsia="Arial" w:hAnsi="Arial"/>
                <w:sz w:val="18"/>
                <w:szCs w:val="18"/>
                <w:b w:val="1"/>
                <w:bCs w:val="1"/>
                <w:color w:val="auto"/>
              </w:rPr>
              <w:t>18,194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13,744</w:t>
            </w:r>
          </w:p>
        </w:tc>
      </w:tr>
      <w:tr>
        <w:trPr>
          <w:trHeight w:val="868"/>
        </w:trPr>
        <w:tc>
          <w:tcPr>
            <w:tcW w:w="4300" w:type="dxa"/>
            <w:vAlign w:val="bottom"/>
          </w:tcPr>
          <w:p>
            <w:pPr>
              <w:spacing w:after="0"/>
              <w:rPr>
                <w:sz w:val="24"/>
                <w:szCs w:val="24"/>
                <w:color w:val="auto"/>
              </w:rPr>
            </w:pPr>
          </w:p>
        </w:tc>
        <w:tc>
          <w:tcPr>
            <w:tcW w:w="3060" w:type="dxa"/>
            <w:vAlign w:val="bottom"/>
          </w:tcPr>
          <w:p>
            <w:pPr>
              <w:jc w:val="right"/>
              <w:ind w:right="155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The following table summarizes certain fair value information at September 30, 2026 and December 31, 2025 for investment assets measured at fair value on a recurring basis, as well as the carrying amount and amortized cost of certain other investments: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1"/>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3"/>
                <w:szCs w:val="13"/>
                <w:color w:val="auto"/>
              </w:rPr>
            </w:pPr>
          </w:p>
        </w:tc>
        <w:tc>
          <w:tcPr>
            <w:tcW w:w="10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1,336</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rPr>
              <w:t>1,336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b w:val="1"/>
                <w:bCs w:val="1"/>
                <w:color w:val="auto"/>
              </w:rPr>
              <w:t>1,336</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1,336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line="230"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3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line="230"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380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67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288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760</w:t>
            </w:r>
          </w:p>
        </w:tc>
        <w:tc>
          <w:tcPr>
            <w:tcW w:w="360" w:type="dxa"/>
            <w:vAlign w:val="bottom"/>
          </w:tcPr>
          <w:p>
            <w:pPr>
              <w:spacing w:after="0"/>
              <w:rPr>
                <w:sz w:val="19"/>
                <w:szCs w:val="19"/>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597</w:t>
            </w:r>
          </w:p>
        </w:tc>
        <w:tc>
          <w:tcPr>
            <w:tcW w:w="14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760</w:t>
            </w:r>
          </w:p>
        </w:tc>
        <w:tc>
          <w:tcPr>
            <w:tcW w:w="22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760</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Equity investments without readily determinable</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1,191</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1,623</w:t>
            </w:r>
          </w:p>
        </w:tc>
        <w:tc>
          <w:tcPr>
            <w:tcW w:w="3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4,013</w:t>
            </w: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4,392</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4,392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4,392</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line="230"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1"/>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3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line="230"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368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w:t>
            </w:r>
          </w:p>
        </w:tc>
        <w:tc>
          <w:tcPr>
            <w:tcW w:w="360" w:type="dxa"/>
            <w:vAlign w:val="bottom"/>
          </w:tcPr>
          <w:p>
            <w:pPr>
              <w:spacing w:after="0"/>
              <w:rPr>
                <w:sz w:val="19"/>
                <w:szCs w:val="19"/>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292</w:t>
            </w:r>
          </w:p>
        </w:tc>
        <w:tc>
          <w:tcPr>
            <w:tcW w:w="14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Equity investments without readily determinable</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c>
          <w:tcPr>
            <w:tcW w:w="3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880" w:hanging="172"/>
        <w:spacing w:after="0" w:line="229"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4"/>
          <w:szCs w:val="14"/>
          <w:color w:val="auto"/>
        </w:rPr>
        <w:t>For available-for-sale debt securities, amounts disclosed represent the securities' amortized cost.</w:t>
      </w:r>
    </w:p>
    <w:p>
      <w:pPr>
        <w:spacing w:after="0" w:line="14" w:lineRule="exact"/>
        <w:rPr>
          <w:rFonts w:ascii="Arial" w:cs="Arial" w:eastAsia="Arial" w:hAnsi="Arial"/>
          <w:sz w:val="9"/>
          <w:szCs w:val="9"/>
          <w:color w:val="auto"/>
        </w:rPr>
      </w:pPr>
    </w:p>
    <w:p>
      <w:pPr>
        <w:ind w:left="160" w:hanging="152"/>
        <w:spacing w:after="0" w:line="204"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Below are the details of our issuance of long-term debt in 2026. The cash proceeds were used for general corporate purposes, including the repayment of outstanding commercial paper and the funding of a portion of the upfront cash consideration and related fees and expenses payable in connection with our acquisitions of Centessa and Kelonia.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 of Issuance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2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Stated Interest Rate</w:t>
            </w: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2026</w:t>
            </w:r>
          </w:p>
        </w:tc>
        <w:tc>
          <w:tcPr>
            <w:tcW w:w="34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9,000</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2028-2066</w:t>
            </w:r>
          </w:p>
        </w:tc>
        <w:tc>
          <w:tcPr>
            <w:tcW w:w="2220" w:type="dxa"/>
            <w:vAlign w:val="bottom"/>
            <w:shd w:val="clear" w:color="auto" w:fill="CCEEFF"/>
          </w:tcPr>
          <w:p>
            <w:pPr>
              <w:jc w:val="right"/>
              <w:ind w:right="499"/>
              <w:spacing w:after="0" w:line="237" w:lineRule="exact"/>
              <w:rPr>
                <w:sz w:val="20"/>
                <w:szCs w:val="20"/>
                <w:color w:val="auto"/>
              </w:rPr>
            </w:pPr>
            <w:r>
              <w:rPr>
                <w:rFonts w:ascii="Arial" w:cs="Arial" w:eastAsia="Arial" w:hAnsi="Arial"/>
                <w:sz w:val="18"/>
                <w:szCs w:val="18"/>
                <w:color w:val="auto"/>
              </w:rPr>
              <w:t>4.150%-5.700%</w:t>
            </w:r>
            <w:r>
              <w:rPr>
                <w:rFonts w:ascii="Arial" w:cs="Arial" w:eastAsia="Arial" w:hAnsi="Arial"/>
                <w:sz w:val="23"/>
                <w:szCs w:val="23"/>
                <w:color w:val="auto"/>
                <w:vertAlign w:val="superscript"/>
              </w:rPr>
              <w:t>(1)</w:t>
            </w:r>
          </w:p>
        </w:tc>
      </w:tr>
    </w:tbl>
    <w:p>
      <w:pPr>
        <w:spacing w:after="0" w:line="99" w:lineRule="exact"/>
        <w:rPr>
          <w:sz w:val="20"/>
          <w:szCs w:val="20"/>
          <w:color w:val="auto"/>
        </w:rPr>
      </w:pPr>
    </w:p>
    <w:p>
      <w:pPr>
        <w:ind w:right="300" w:firstLine="8"/>
        <w:spacing w:after="0" w:line="316"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Included in the 2028 and 2029 tranches are an aggregate $1.3 billion of floating-rate notes, with interest reset and paid quarterly using Secured Overnight Financing Rate (SOFR) plus 0.350 and 0.460 percent, respectively.</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6" w:name="page17"/>
    <w:bookmarkEnd w:id="16"/>
    <w:p>
      <w:pPr>
        <w:ind w:right="420"/>
        <w:spacing w:after="0" w:line="287" w:lineRule="auto"/>
        <w:rPr>
          <w:sz w:val="20"/>
          <w:szCs w:val="20"/>
          <w:color w:val="auto"/>
        </w:rPr>
      </w:pPr>
      <w:r>
        <w:rPr>
          <w:rFonts w:ascii="Arial" w:cs="Arial" w:eastAsia="Arial" w:hAnsi="Arial"/>
          <w:sz w:val="18"/>
          <w:szCs w:val="18"/>
          <w:color w:val="auto"/>
        </w:rPr>
        <w:t>In August 2026, we renewed our 364-day credit facility, which continues to provide $6.0 billion of capacity and is available to support our commercial paper program. We have not drawn against the 364-day facility as of September 30, 2026.</w:t>
      </w:r>
    </w:p>
    <w:p>
      <w:pPr>
        <w:spacing w:after="0" w:line="180"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August 2026, we refinanced our multi-year credit facility, which continues to provide $ 4.0 billion of capacity and is available to support our commercial paper program. Our multi-year credit facility will now expire in August 2031. We have not drawn against the multi-year facility as of September 30,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 and fair value using Level 2 inputs for our long-term debt: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4"/>
                <w:szCs w:val="14"/>
                <w:b w:val="1"/>
                <w:bCs w:val="1"/>
                <w:color w:val="auto"/>
              </w:rPr>
              <w:t>September 30, 2026</w:t>
            </w:r>
          </w:p>
        </w:tc>
        <w:tc>
          <w:tcPr>
            <w:tcW w:w="4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ind w:right="264"/>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4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3"/>
                <w:szCs w:val="13"/>
                <w:color w:val="auto"/>
              </w:rPr>
            </w:pPr>
          </w:p>
        </w:tc>
        <w:tc>
          <w:tcPr>
            <w:tcW w:w="1360" w:type="dxa"/>
            <w:vAlign w:val="bottom"/>
          </w:tcPr>
          <w:p>
            <w:pPr>
              <w:jc w:val="center"/>
              <w:ind w:right="244"/>
              <w:spacing w:after="0"/>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3"/>
                <w:szCs w:val="13"/>
                <w:color w:val="auto"/>
              </w:rPr>
            </w:pPr>
          </w:p>
        </w:tc>
        <w:tc>
          <w:tcPr>
            <w:tcW w:w="144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49,503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43,687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42,503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Contingent consideration is additional consideration payable as a result of an acquisition accounted for as a business combination that is contingent on the achievement of certain development, success-based regulatory, or sales-based milestones. Contingent consideration liabilities are carried at fair value, estimated using a discounted cash flow analysis and Level 3 inputs. These inputs include projections of expected cash payments associated with the agreed-upon milestones based primarily on probabilities of technical success, timing of the potential milestone events for the compounds, and estimated discount rates. The following table summarizes the fair value for our contingent consideration liabilities: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September 30, 2026</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December 31, 2025</w:t>
            </w:r>
          </w:p>
        </w:tc>
      </w:tr>
      <w:tr>
        <w:trPr>
          <w:trHeight w:val="23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5"/>
        </w:trPr>
        <w:tc>
          <w:tcPr>
            <w:tcW w:w="73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2"/>
                <w:szCs w:val="22"/>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b w:val="1"/>
                <w:bCs w:val="1"/>
                <w:color w:val="auto"/>
              </w:rPr>
              <w:t>2,070</w:t>
            </w:r>
          </w:p>
        </w:tc>
        <w:tc>
          <w:tcPr>
            <w:tcW w:w="3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217</w:t>
            </w:r>
          </w:p>
        </w:tc>
      </w:tr>
    </w:tbl>
    <w:p>
      <w:pPr>
        <w:spacing w:after="0" w:line="15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During 2026, the increase in contingent consideration liabilities primarily related to our acquisition of Kelonia. See Note 4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We manage foreign currency risk primarily through the use of foreign currency debt and foreign currency forward contracts. Our foreign currency-denominated notes designated as accounting hedges had carrying amounts of $5.0 billion and $6.0 billion as of September 30, 2026 and December 31, 2025, respectively. The following table summarizes the aggregate outstanding notional amounts of our foreign currency forward contracts in U.S. dollar equivalent: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2026</w:t>
            </w:r>
          </w:p>
        </w:tc>
        <w:tc>
          <w:tcPr>
            <w:tcW w:w="15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080" w:type="dxa"/>
            <w:vAlign w:val="bottom"/>
            <w:tcBorders>
              <w:bottom w:val="single" w:sz="8" w:color="auto"/>
            </w:tcBorders>
          </w:tcPr>
          <w:p>
            <w:pPr>
              <w:spacing w:after="0"/>
              <w:rPr>
                <w:sz w:val="17"/>
                <w:szCs w:val="17"/>
                <w:color w:val="auto"/>
              </w:rPr>
            </w:pPr>
          </w:p>
        </w:tc>
      </w:tr>
      <w:tr>
        <w:trPr>
          <w:trHeight w:val="209"/>
        </w:trPr>
        <w:tc>
          <w:tcPr>
            <w:tcW w:w="4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Purchase</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36"/>
              <w:spacing w:after="0"/>
              <w:rPr>
                <w:sz w:val="20"/>
                <w:szCs w:val="20"/>
                <w:color w:val="auto"/>
              </w:rPr>
            </w:pPr>
            <w:r>
              <w:rPr>
                <w:rFonts w:ascii="Arial" w:cs="Arial" w:eastAsia="Arial" w:hAnsi="Arial"/>
                <w:sz w:val="14"/>
                <w:szCs w:val="14"/>
                <w:b w:val="1"/>
                <w:bCs w:val="1"/>
                <w:color w:val="auto"/>
              </w:rPr>
              <w:t>Sell</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Purchase</w:t>
            </w: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Sell</w:t>
            </w:r>
          </w:p>
        </w:tc>
      </w:tr>
      <w:tr>
        <w:trPr>
          <w:trHeight w:val="238"/>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Designated as accounting hedges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5,712</w:t>
            </w:r>
          </w:p>
        </w:tc>
        <w:tc>
          <w:tcPr>
            <w:tcW w:w="74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4040" w:type="dxa"/>
            <w:vAlign w:val="bottom"/>
          </w:tcPr>
          <w:p>
            <w:pPr>
              <w:ind w:left="20"/>
              <w:spacing w:after="0"/>
              <w:rPr>
                <w:sz w:val="20"/>
                <w:szCs w:val="20"/>
                <w:color w:val="auto"/>
              </w:rPr>
            </w:pPr>
            <w:r>
              <w:rPr>
                <w:rFonts w:ascii="Arial" w:cs="Arial" w:eastAsia="Arial" w:hAnsi="Arial"/>
                <w:sz w:val="18"/>
                <w:szCs w:val="18"/>
                <w:color w:val="auto"/>
              </w:rPr>
              <w:t>Not designated as accounting hedges</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11,438</w:t>
            </w:r>
          </w:p>
        </w:tc>
        <w:tc>
          <w:tcPr>
            <w:tcW w:w="740" w:type="dxa"/>
            <w:vAlign w:val="bottom"/>
          </w:tcPr>
          <w:p>
            <w:pPr>
              <w:spacing w:after="0"/>
              <w:rPr>
                <w:sz w:val="22"/>
                <w:szCs w:val="22"/>
                <w:color w:val="auto"/>
              </w:rPr>
            </w:pPr>
          </w:p>
        </w:tc>
        <w:tc>
          <w:tcPr>
            <w:tcW w:w="1500" w:type="dxa"/>
            <w:vAlign w:val="bottom"/>
          </w:tcPr>
          <w:p>
            <w:pPr>
              <w:jc w:val="right"/>
              <w:ind w:right="456"/>
              <w:spacing w:after="0"/>
              <w:rPr>
                <w:sz w:val="20"/>
                <w:szCs w:val="20"/>
                <w:color w:val="auto"/>
              </w:rPr>
            </w:pPr>
            <w:r>
              <w:rPr>
                <w:rFonts w:ascii="Arial" w:cs="Arial" w:eastAsia="Arial" w:hAnsi="Arial"/>
                <w:sz w:val="18"/>
                <w:szCs w:val="18"/>
                <w:b w:val="1"/>
                <w:bCs w:val="1"/>
                <w:color w:val="auto"/>
              </w:rPr>
              <w:t>7,969</w:t>
            </w:r>
          </w:p>
        </w:tc>
        <w:tc>
          <w:tcPr>
            <w:tcW w:w="1400" w:type="dxa"/>
            <w:vAlign w:val="bottom"/>
          </w:tcPr>
          <w:p>
            <w:pPr>
              <w:jc w:val="right"/>
              <w:spacing w:after="0"/>
              <w:rPr>
                <w:sz w:val="20"/>
                <w:szCs w:val="20"/>
                <w:color w:val="auto"/>
              </w:rPr>
            </w:pPr>
            <w:r>
              <w:rPr>
                <w:rFonts w:ascii="Arial" w:cs="Arial" w:eastAsia="Arial" w:hAnsi="Arial"/>
                <w:sz w:val="18"/>
                <w:szCs w:val="18"/>
                <w:color w:val="auto"/>
              </w:rPr>
              <w:t>14,281</w:t>
            </w:r>
          </w:p>
        </w:tc>
        <w:tc>
          <w:tcPr>
            <w:tcW w:w="7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9,264</w:t>
            </w:r>
          </w:p>
        </w:tc>
      </w:tr>
      <w:tr>
        <w:trPr>
          <w:trHeight w:val="856"/>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4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summarizes the effects of significant hedging activity on our consolidated condensed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in other–net, (income) expense:</w:t>
            </w:r>
          </w:p>
        </w:tc>
        <w:tc>
          <w:tcPr>
            <w:tcW w:w="10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line="189" w:lineRule="exact"/>
              <w:rPr>
                <w:sz w:val="20"/>
                <w:szCs w:val="20"/>
                <w:color w:val="auto"/>
              </w:rPr>
            </w:pPr>
            <w:r>
              <w:rPr>
                <w:rFonts w:ascii="Arial" w:cs="Arial" w:eastAsia="Arial" w:hAnsi="Arial"/>
                <w:sz w:val="18"/>
                <w:szCs w:val="18"/>
                <w:color w:val="auto"/>
              </w:rPr>
              <w:t>Foreign currency forward contracts not designated as</w:t>
            </w:r>
          </w:p>
        </w:tc>
        <w:tc>
          <w:tcPr>
            <w:tcW w:w="1080" w:type="dxa"/>
            <w:vAlign w:val="bottom"/>
            <w:vMerge w:val="restart"/>
          </w:tcPr>
          <w:p>
            <w:pPr>
              <w:jc w:val="right"/>
              <w:ind w:right="882"/>
              <w:spacing w:after="0"/>
              <w:rPr>
                <w:sz w:val="20"/>
                <w:szCs w:val="20"/>
                <w:color w:val="auto"/>
              </w:rPr>
            </w:pPr>
            <w:r>
              <w:rPr>
                <w:rFonts w:ascii="Arial" w:cs="Arial" w:eastAsia="Arial" w:hAnsi="Arial"/>
                <w:sz w:val="18"/>
                <w:szCs w:val="18"/>
                <w:b w:val="1"/>
                <w:bCs w:val="1"/>
                <w:color w:val="auto"/>
                <w:w w:val="99"/>
              </w:rPr>
              <w:t>$</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163</w:t>
            </w:r>
          </w:p>
        </w:tc>
        <w:tc>
          <w:tcPr>
            <w:tcW w:w="1260" w:type="dxa"/>
            <w:vAlign w:val="bottom"/>
            <w:vMerge w:val="restart"/>
          </w:tcPr>
          <w:p>
            <w:pPr>
              <w:jc w:val="right"/>
              <w:ind w:right="979"/>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170</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13</w:t>
            </w: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Arial" w:cs="Arial" w:eastAsia="Arial" w:hAnsi="Arial"/>
                <w:sz w:val="18"/>
                <w:szCs w:val="18"/>
                <w:color w:val="auto"/>
              </w:rPr>
              <w:t>accounting hedges</w:t>
            </w:r>
          </w:p>
        </w:tc>
        <w:tc>
          <w:tcPr>
            <w:tcW w:w="108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in other comprehensive income (loss):</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Arial" w:cs="Arial" w:eastAsia="Arial" w:hAnsi="Arial"/>
                <w:sz w:val="18"/>
                <w:szCs w:val="18"/>
                <w:color w:val="auto"/>
              </w:rPr>
              <w:t>Foreign currency-denominated notes:</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Designated as accounting hedges</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168</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Arial" w:cs="Arial" w:eastAsia="Arial" w:hAnsi="Arial"/>
                <w:sz w:val="18"/>
                <w:szCs w:val="18"/>
                <w:color w:val="auto"/>
              </w:rPr>
              <w:t>Foreign currency forward contracts:</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Designated as accounting hedges</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and may become involved in various lawsuits, claims, government investigations and other legal proceedings that arise from time to time in the course of our business, including patent, environmental, commercial, contractual, licensing, employment, health and safety, consumer protection, pricing, access, consumer, sales and marketing, product liability, insurance, antitrust, securities, and regulatory compliance matters, among others. Such matters may involve inquiries from or disputes with various types of parties, including governments, regulatory agencies, competitors, customers, suppliers, service providers, licensees, employees, or shareholders, among others. We cannot predict the final outcome of these proceedings, and while we intend to vigorously prosecute or defend our position as appropriate, there can be no assurance that we will be successful or obtain any requested relief. Matters often develop over a long period of time and expectations can change as a result of new findings, rulings, appeals, settlements, legal or regulatory changes, or other factors. From time to time we may discontinue or settle and compromise matters as appropriate in our best interest.</w:t>
      </w:r>
    </w:p>
    <w:p>
      <w:pPr>
        <w:spacing w:after="0" w:line="7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proceedings in which we are named as defendants, unless otherwise noted, we cannot reasonably estimate the maximum potential exposure or the range of possible loss in excess of amounts accrued;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Litigation accruals and environmental liabilities and any related estimated insurance recoverables are reflected on a gross basis as liabilities and assets, respectively, on our consolidated balance sheets. We accrue for estimated exposures to the extent they are both probable and reasonably estimable based on the then available information. We accrue for certain unfiled product liability claims to the extent we can formulate a reasonable estimate of their exposure. We estimate these exposures based primarily on historical claims experience and data regarding product usage. Legal defense costs expected to be incurred in connection with significant liability loss contingencies are accrued when both probable and reasonably estimable.</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predominantly self-insured for litigation liability losses for all our currently and previously marketed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Patent Matters</w:t>
      </w:r>
    </w:p>
    <w:p>
      <w:pPr>
        <w:spacing w:after="0" w:line="117"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In the course of our business, we are party to actions and proceedings involving third parties that seek to challenge, invalidate, or circumvent our patents and patent applications relating to our products, product candidates, and technologies, including the matter described below.</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2018, Teva Pharmaceuticals International GmbH and Teva Pharmaceuticals USA, Inc. (collectively, Teva) filed a complaint in the U.S. District Court for the District of Massachusetts alleging that Lilly's launch and continued sales of Emgality infringed various claims in three Teva patents. In November 2022, following a trial, a jury returned a verdict in favor of Teva. In September 2023, the trial court overruled the jury verdict, found all asserted claims invalid, and entered judgment in Lilly's favor. In April 2026, the U.S. Court of Appeals for the Federal Circuit issued an opinion reversing the trial court's finding that the patents are invalid and remanding to the district court, and we recognized a charge related to the matter during the three months ended March 31, 2026. In September 2026, the Federal Circuit denied our petition for rehearing en banc.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Verzenio Hatch-Waxman Litigation</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April 2026, Lilly received notice that Cipla Ltd. had filed an Abbreviated New Drug Application (ANDA) seeking approval for a generic version of Verzenio (abemaciclib) tablets before expiration of the compound patent listed in the U.S. Food and Drug Administration's (FDA) Orange Book. In June 2026, Lilly filed a patent infringement action against Cipla Ltd. and its subsidiary Cipla USA Inc. in the U.S. District Court for the District of Delaware. Trial is scheduled for May 2028.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Tirzepatide Hatch-Waxman Litigation</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July 2026, Lilly received notice that multiple generic companies had filed ANDAs seeking approval to market generic versions of Mounjaro and/or Zepbound before the expiration of some or all of the patents listed for those products in the FDA’s Orange Book. In August 2026, we filed patent infringement actions against these companies in the U.S. District Court for the District of 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are party to environmental proceedings and other matters, and are responsible under various federal, state and foreign laws, including the Comprehensive Environmental Response, Compensation, and Liability Act, commonly known as "Superfund," for certain costs of investigating and/or remediating environmental contingencies resulting from past activity at our current or former sites or waste disposal or reprocessing facilities operated by third parties.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Since 2021, we have been involved in litigation, administrative proceedings, and other inquiries related to the 340B program. Various state and 340B provider plaintiffs have filed lawsuits against us, and in some cases other manufacturers and third parties, relating to the 340B program, including our policies regarding contract pharmacies, submission of claims data, and our compliance with state laws purporting to regulate the 340B program. The complaints in these lawsuits assert a variety of claims, including antitrust, consumer protection, unfair or deceptive trade practices, unfair competition, breach of contract, breach of the implied covenant of good faith and fair dealing, unjust enrichment, and violations of state statutes governing 340B pricing. The lawsuits are pending in various federal courts. The plaintiffs generally seek damages, civil penalties, and/or injunctive relief, and are at various stages in the litigation process. We are also involved in other ongoing litigation and inquiries related to the 340B program, including lawsuits Lilly has filed challenging aspects of the 340B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Insulin Pricing Litigation</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2017, various plaintiffs, including consumers, states and state attorneys general, counties, municipalities, Native American tribes, school districts, wholesalers, third-party payers, and others, have filed lawsuits, including putative class actions, against us, other manufacturers, pharmacy benefit managers, and others, relating to the pricing of insulin medications, and in some cases other diabetes medications, and rebates paid by manufacturers to pharmacy benefit managers. The complaints in the various lawsuits assert a variety of claims, including among others consumer protection, unfair or deceptive trade practices, fraud, false advertising, unjust enrichment, civil conspiracy, racketeering, antitrust, and unfair competition claims. Most cases have been coordinated or consolidated for pretrial proceedings in a multidistrict litigation (MDL) pending in the U.S. District Court for the District of New Jersey. The lawsuits are at various stages in the litigation process.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Pricing Investigations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been subject to various investigations and received subpoenas, civil investigative demands, information requests, interrogatories, and other inquiries from various governmental entities related to the pricing and sale of our medications, and/or calculations of average manufacturer price and best price. These include subpoenas, civil investigative demands, or information requests from the U.S. Department of Justice, the U.S. Federal Trade Commission, and attorneys general from various states and the District of Columbia.</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the extent the foregoing governmental entities have not filed lawsuits, we are cooperating with the various investigations, subpoenas, and inquiries.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Litigation</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along with Takeda Chemical Industries, Ltd. and Takeda affiliates (collectively, Takeda), are named as defendants in a third-party payer class action in the U.S. District Court for the Central District of California. The plaintiffs allege that bladder cancer risk was concealed from them and claim that as a result they and a class of third-party payers are entitled to recover money paid for Actos prescriptions. Our agreement with Takeda calls for Takeda to defend and indemnify us against losses and expenses with respect to U.S. litigation arising out of the manufacture, use, or sale of Actos and other related expenses in accordance with the terms of the agreement. In October 2025, defendants filed a motion for summary judgment, which remains pending.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Trulicity, and Zepbound Product Liability 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August 2023, various plaintiffs have filed lawsuits against us, Novo Nordisk A/S, and other related entities, alleging various injuries following purported use of incretin medicines, including Mounjaro, Trulicity, and Zepbound. The complaints assert a variety of claims and generally seek damages and/or other relief. Most of these lawsuits in the United States have been coordinated or consolidated for pretrial proceedings in two federal MDLs: one focused on alleged gastrointestinal injuries, and the other relating to claims of non-arteritic anterior ischemic optic neuropathy (NAION). Both MDLs are pending in the U.S. District Court for the Eastern District of Pennsylvania. There are also similar proceedings pending against Lilly in Indiana and other state courts. In addition to the cases in the United States, there are two class action petitions in Israel and two class action petitions in Canada alleging various injuries and claims.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 xml:space="preserve">In October 2019, a relator filed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against us in Texas state court asserting claims under the Texas Medicaid Fraud Prevention Act (TMFPA) based on allegations about certain patient support programs related to three of our products. The relator sought to recover the value of payments by the Texas Medicaid Program for these products, as well as civil penalties and other relief. In August 2025, the relator purported to dismiss the first lawsuit and filed a second lawsuit in a different Texas state court adding the State of Texas as a party and expanding claims under the TMFPA to fifteen of our products. We are opposing the relator's purported dismissal of the first lawsuit.</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Equity</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summarizes components of equity with significant changes during the three months ended September 30, 2026 and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680" w:type="dxa"/>
            <w:vAlign w:val="bottom"/>
            <w:gridSpan w:val="3"/>
          </w:tcPr>
          <w:p>
            <w:pPr>
              <w:jc w:val="right"/>
              <w:ind w:right="732"/>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140" w:type="dxa"/>
            <w:vAlign w:val="bottom"/>
          </w:tcPr>
          <w:p>
            <w:pPr>
              <w:jc w:val="right"/>
              <w:ind w:right="255"/>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restart"/>
          </w:tcPr>
          <w:p>
            <w:pPr>
              <w:jc w:val="right"/>
              <w:ind w:right="375"/>
              <w:spacing w:after="0" w:line="122" w:lineRule="exact"/>
              <w:rPr>
                <w:sz w:val="20"/>
                <w:szCs w:val="20"/>
                <w:color w:val="auto"/>
              </w:rPr>
            </w:pPr>
            <w:r>
              <w:rPr>
                <w:rFonts w:ascii="Arial" w:cs="Arial" w:eastAsia="Arial" w:hAnsi="Arial"/>
                <w:sz w:val="14"/>
                <w:szCs w:val="14"/>
                <w:b w:val="1"/>
                <w:bCs w:val="1"/>
                <w:color w:val="auto"/>
              </w:rPr>
              <w:t>Paid-in</w:t>
            </w:r>
          </w:p>
        </w:tc>
        <w:tc>
          <w:tcPr>
            <w:tcW w:w="300" w:type="dxa"/>
            <w:vAlign w:val="bottom"/>
          </w:tcPr>
          <w:p>
            <w:pPr>
              <w:spacing w:after="0"/>
              <w:rPr>
                <w:sz w:val="4"/>
                <w:szCs w:val="4"/>
                <w:color w:val="auto"/>
              </w:rPr>
            </w:pPr>
          </w:p>
        </w:tc>
        <w:tc>
          <w:tcPr>
            <w:tcW w:w="1120" w:type="dxa"/>
            <w:vAlign w:val="bottom"/>
            <w:vMerge w:val="restart"/>
          </w:tcPr>
          <w:p>
            <w:pPr>
              <w:jc w:val="right"/>
              <w:ind w:right="313"/>
              <w:spacing w:after="0" w:line="122" w:lineRule="exact"/>
              <w:rPr>
                <w:sz w:val="20"/>
                <w:szCs w:val="20"/>
                <w:color w:val="auto"/>
              </w:rPr>
            </w:pPr>
            <w:r>
              <w:rPr>
                <w:rFonts w:ascii="Arial" w:cs="Arial" w:eastAsia="Arial" w:hAnsi="Arial"/>
                <w:sz w:val="14"/>
                <w:szCs w:val="14"/>
                <w:b w:val="1"/>
                <w:bCs w:val="1"/>
                <w:color w:val="auto"/>
              </w:rPr>
              <w:t>Retained</w:t>
            </w:r>
          </w:p>
        </w:tc>
        <w:tc>
          <w:tcPr>
            <w:tcW w:w="1600" w:type="dxa"/>
            <w:vAlign w:val="bottom"/>
            <w:gridSpan w:val="2"/>
            <w:vMerge w:val="restart"/>
          </w:tcPr>
          <w:p>
            <w:pPr>
              <w:jc w:val="right"/>
              <w:ind w:right="10"/>
              <w:spacing w:after="0" w:line="122" w:lineRule="exact"/>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4"/>
                <w:szCs w:val="4"/>
                <w:color w:val="auto"/>
              </w:rPr>
            </w:pPr>
          </w:p>
        </w:tc>
        <w:tc>
          <w:tcPr>
            <w:tcW w:w="10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Capital</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Earnings</w:t>
            </w: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2026</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941.5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7,117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31,893</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(2,761)</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6,451</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stock under employee stock plans,</w:t>
            </w:r>
          </w:p>
        </w:tc>
        <w:tc>
          <w:tcPr>
            <w:tcW w:w="13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3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200</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w:t>
            </w: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September 30, 2026</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941.2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7,309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37,969</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(2,629)</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Balance at June 30, 2025</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947.2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7,089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17,376</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5,583</w:t>
            </w: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common stock</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line="189" w:lineRule="exact"/>
              <w:rPr>
                <w:sz w:val="20"/>
                <w:szCs w:val="20"/>
                <w:color w:val="auto"/>
              </w:rPr>
            </w:pPr>
            <w:r>
              <w:rPr>
                <w:rFonts w:ascii="Arial" w:cs="Arial" w:eastAsia="Arial" w:hAnsi="Arial"/>
                <w:sz w:val="18"/>
                <w:szCs w:val="18"/>
                <w:color w:val="auto"/>
              </w:rPr>
              <w:t>Issuance of stock under employee stock plans,</w:t>
            </w:r>
          </w:p>
        </w:tc>
        <w:tc>
          <w:tcPr>
            <w:tcW w:w="134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w:t>
            </w:r>
          </w:p>
        </w:tc>
        <w:tc>
          <w:tcPr>
            <w:tcW w:w="13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946.2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7,232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22,252</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summarizes components of equity with significant changes during the nine months ended September 30, 2026 and 2025: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680" w:type="dxa"/>
            <w:vAlign w:val="bottom"/>
            <w:gridSpan w:val="3"/>
          </w:tcPr>
          <w:p>
            <w:pPr>
              <w:jc w:val="right"/>
              <w:ind w:right="732"/>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140" w:type="dxa"/>
            <w:vAlign w:val="bottom"/>
          </w:tcPr>
          <w:p>
            <w:pPr>
              <w:jc w:val="right"/>
              <w:ind w:right="255"/>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restart"/>
          </w:tcPr>
          <w:p>
            <w:pPr>
              <w:jc w:val="right"/>
              <w:ind w:right="375"/>
              <w:spacing w:after="0" w:line="122" w:lineRule="exact"/>
              <w:rPr>
                <w:sz w:val="20"/>
                <w:szCs w:val="20"/>
                <w:color w:val="auto"/>
              </w:rPr>
            </w:pPr>
            <w:r>
              <w:rPr>
                <w:rFonts w:ascii="Arial" w:cs="Arial" w:eastAsia="Arial" w:hAnsi="Arial"/>
                <w:sz w:val="14"/>
                <w:szCs w:val="14"/>
                <w:b w:val="1"/>
                <w:bCs w:val="1"/>
                <w:color w:val="auto"/>
              </w:rPr>
              <w:t>Paid-in</w:t>
            </w:r>
          </w:p>
        </w:tc>
        <w:tc>
          <w:tcPr>
            <w:tcW w:w="300" w:type="dxa"/>
            <w:vAlign w:val="bottom"/>
          </w:tcPr>
          <w:p>
            <w:pPr>
              <w:spacing w:after="0"/>
              <w:rPr>
                <w:sz w:val="4"/>
                <w:szCs w:val="4"/>
                <w:color w:val="auto"/>
              </w:rPr>
            </w:pPr>
          </w:p>
        </w:tc>
        <w:tc>
          <w:tcPr>
            <w:tcW w:w="1120" w:type="dxa"/>
            <w:vAlign w:val="bottom"/>
            <w:vMerge w:val="restart"/>
          </w:tcPr>
          <w:p>
            <w:pPr>
              <w:jc w:val="right"/>
              <w:ind w:right="313"/>
              <w:spacing w:after="0" w:line="122" w:lineRule="exact"/>
              <w:rPr>
                <w:sz w:val="20"/>
                <w:szCs w:val="20"/>
                <w:color w:val="auto"/>
              </w:rPr>
            </w:pPr>
            <w:r>
              <w:rPr>
                <w:rFonts w:ascii="Arial" w:cs="Arial" w:eastAsia="Arial" w:hAnsi="Arial"/>
                <w:sz w:val="14"/>
                <w:szCs w:val="14"/>
                <w:b w:val="1"/>
                <w:bCs w:val="1"/>
                <w:color w:val="auto"/>
              </w:rPr>
              <w:t>Retained</w:t>
            </w:r>
          </w:p>
        </w:tc>
        <w:tc>
          <w:tcPr>
            <w:tcW w:w="1600" w:type="dxa"/>
            <w:vAlign w:val="bottom"/>
            <w:gridSpan w:val="2"/>
            <w:vMerge w:val="restart"/>
          </w:tcPr>
          <w:p>
            <w:pPr>
              <w:jc w:val="right"/>
              <w:ind w:right="10"/>
              <w:spacing w:after="0" w:line="122" w:lineRule="exact"/>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4"/>
                <w:szCs w:val="4"/>
                <w:color w:val="auto"/>
              </w:rPr>
            </w:pPr>
          </w:p>
        </w:tc>
        <w:tc>
          <w:tcPr>
            <w:tcW w:w="10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Capital</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Earnings</w:t>
            </w: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944.8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7,346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24,470</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(2,880)</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20,942</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Cash dividends declared per share: $3.46</w:t>
            </w: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(3,088)</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common stock</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(4.7)</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(4,361)</w:t>
            </w: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line="189" w:lineRule="exact"/>
              <w:rPr>
                <w:sz w:val="20"/>
                <w:szCs w:val="20"/>
                <w:color w:val="auto"/>
              </w:rPr>
            </w:pPr>
            <w:r>
              <w:rPr>
                <w:rFonts w:ascii="Arial" w:cs="Arial" w:eastAsia="Arial" w:hAnsi="Arial"/>
                <w:sz w:val="18"/>
                <w:szCs w:val="18"/>
                <w:color w:val="auto"/>
              </w:rPr>
              <w:t>Issuance of stock under employee stock plans,</w:t>
            </w:r>
          </w:p>
        </w:tc>
        <w:tc>
          <w:tcPr>
            <w:tcW w:w="13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(599)</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w:t>
            </w:r>
          </w:p>
        </w:tc>
        <w:tc>
          <w:tcPr>
            <w:tcW w:w="13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562</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w:t>
            </w: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2026</w:t>
            </w: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941.2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7,309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37,969</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(2,629)</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947.9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7,439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13,545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14,002</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Cash dividends declared per share: $3.00</w:t>
            </w: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(2,692)</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common stock</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line="189" w:lineRule="exact"/>
              <w:rPr>
                <w:sz w:val="20"/>
                <w:szCs w:val="20"/>
                <w:color w:val="auto"/>
              </w:rPr>
            </w:pPr>
            <w:r>
              <w:rPr>
                <w:rFonts w:ascii="Arial" w:cs="Arial" w:eastAsia="Arial" w:hAnsi="Arial"/>
                <w:sz w:val="18"/>
                <w:szCs w:val="18"/>
                <w:color w:val="auto"/>
              </w:rPr>
              <w:t>Issuance of stock under employee stock plans,</w:t>
            </w:r>
          </w:p>
        </w:tc>
        <w:tc>
          <w:tcPr>
            <w:tcW w:w="1340" w:type="dxa"/>
            <w:vAlign w:val="bottom"/>
            <w:vMerge w:val="restart"/>
          </w:tcPr>
          <w:p>
            <w:pPr>
              <w:jc w:val="right"/>
              <w:ind w:right="54"/>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(697)</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w:t>
            </w:r>
          </w:p>
        </w:tc>
        <w:tc>
          <w:tcPr>
            <w:tcW w:w="13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490</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946.2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7,232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22,252</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we had $6.6 billion remaining under our $15.0 billion share repurchase program authorized in December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retire shares once we repurchase them.</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summarizes the activity related to each component of accumulated other comprehensive income (loss) during the three months ended September 30, 2026 and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220" w:type="dxa"/>
            <w:vAlign w:val="bottom"/>
          </w:tcPr>
          <w:p>
            <w:pPr>
              <w:jc w:val="right"/>
              <w:ind w:right="255"/>
              <w:spacing w:after="0"/>
              <w:rPr>
                <w:sz w:val="20"/>
                <w:szCs w:val="20"/>
                <w:color w:val="auto"/>
              </w:rPr>
            </w:pPr>
            <w:r>
              <w:rPr>
                <w:rFonts w:ascii="Arial" w:cs="Arial" w:eastAsia="Arial" w:hAnsi="Arial"/>
                <w:sz w:val="14"/>
                <w:szCs w:val="14"/>
                <w:b w:val="1"/>
                <w:bCs w:val="1"/>
                <w:color w:val="auto"/>
              </w:rPr>
              <w:t>Retirement</w:t>
            </w:r>
          </w:p>
        </w:tc>
        <w:tc>
          <w:tcPr>
            <w:tcW w:w="340" w:type="dxa"/>
            <w:vAlign w:val="bottom"/>
          </w:tcPr>
          <w:p>
            <w:pPr>
              <w:spacing w:after="0"/>
              <w:rPr>
                <w:sz w:val="14"/>
                <w:szCs w:val="14"/>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Other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89"/>
        </w:trPr>
        <w:tc>
          <w:tcPr>
            <w:tcW w:w="5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Translation</w:t>
            </w: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Benefit Plans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250</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(2,761)</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132</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13</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237</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(2,629)</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Includes the impact of foreign currency transactions designated as net investment hedges. See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p>
      <w:pPr>
        <w:ind w:right="280"/>
        <w:spacing w:after="0" w:line="287" w:lineRule="auto"/>
        <w:rPr>
          <w:sz w:val="20"/>
          <w:szCs w:val="20"/>
          <w:color w:val="auto"/>
        </w:rPr>
      </w:pPr>
      <w:r>
        <w:rPr>
          <w:rFonts w:ascii="Arial" w:cs="Arial" w:eastAsia="Arial" w:hAnsi="Arial"/>
          <w:sz w:val="18"/>
          <w:szCs w:val="18"/>
          <w:color w:val="auto"/>
        </w:rPr>
        <w:t>The following table summarizes the activity related to each component of accumulated other comprehensive income (loss) during the nine months ended September 30, 2026 and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220" w:type="dxa"/>
            <w:vAlign w:val="bottom"/>
          </w:tcPr>
          <w:p>
            <w:pPr>
              <w:jc w:val="right"/>
              <w:ind w:right="255"/>
              <w:spacing w:after="0"/>
              <w:rPr>
                <w:sz w:val="20"/>
                <w:szCs w:val="20"/>
                <w:color w:val="auto"/>
              </w:rPr>
            </w:pPr>
            <w:r>
              <w:rPr>
                <w:rFonts w:ascii="Arial" w:cs="Arial" w:eastAsia="Arial" w:hAnsi="Arial"/>
                <w:sz w:val="14"/>
                <w:szCs w:val="14"/>
                <w:b w:val="1"/>
                <w:bCs w:val="1"/>
                <w:color w:val="auto"/>
              </w:rPr>
              <w:t>Retirement</w:t>
            </w:r>
          </w:p>
        </w:tc>
        <w:tc>
          <w:tcPr>
            <w:tcW w:w="340" w:type="dxa"/>
            <w:vAlign w:val="bottom"/>
          </w:tcPr>
          <w:p>
            <w:pPr>
              <w:spacing w:after="0"/>
              <w:rPr>
                <w:sz w:val="14"/>
                <w:szCs w:val="14"/>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Other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89"/>
        </w:trPr>
        <w:tc>
          <w:tcPr>
            <w:tcW w:w="5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4"/>
                <w:szCs w:val="14"/>
                <w:b w:val="1"/>
                <w:bCs w:val="1"/>
                <w:color w:val="auto"/>
              </w:rPr>
              <w:t>Translation</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Benefit Plans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255</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(2,880)</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226</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43</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237</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(2,629)</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1,098</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impact of foreign currency transactions designated as net investment hedges. See Note 8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operate as a single reportable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Our determination that we operate as a single segment is consistent with the nature of our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is significantly dependent on our ability to research and develop innovative medicines. The CODM uses consolidated net income to assess performance of our company, ensuring that we are investing in future research and development while efficiently delivering products to patients. The CODM allocates research and development resources based upon several factors, including the likelihood of technical success, unmet medical needs, and the viability of commercial success. A significant component of the CODM’s decision-making process is to ensure a balanced investment in our research and development portfolio to drive near-term success and sustain for the long-term.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our single reportable segment, including significant segment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r>
      <w:tr>
        <w:trPr>
          <w:trHeight w:val="23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24,397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17,601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67,170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3,933</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3,008</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10,778</w:t>
            </w: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r>
      <w:tr>
        <w:trPr>
          <w:trHeight w:val="243"/>
        </w:trPr>
        <w:tc>
          <w:tcPr>
            <w:tcW w:w="4840" w:type="dxa"/>
            <w:vAlign w:val="bottom"/>
          </w:tcPr>
          <w:p>
            <w:pPr>
              <w:ind w:left="140"/>
              <w:spacing w:after="0" w:line="243" w:lineRule="exact"/>
              <w:rPr>
                <w:sz w:val="20"/>
                <w:szCs w:val="20"/>
                <w:color w:val="auto"/>
              </w:rPr>
            </w:pPr>
            <w:r>
              <w:rPr>
                <w:rFonts w:ascii="Arial" w:cs="Arial" w:eastAsia="Arial" w:hAnsi="Arial"/>
                <w:sz w:val="18"/>
                <w:szCs w:val="18"/>
                <w:color w:val="auto"/>
              </w:rPr>
              <w:t>Early-stage research and development</w:t>
            </w:r>
            <w:r>
              <w:rPr>
                <w:rFonts w:ascii="Arial" w:cs="Arial" w:eastAsia="Arial" w:hAnsi="Arial"/>
                <w:sz w:val="23"/>
                <w:szCs w:val="23"/>
                <w:color w:val="auto"/>
                <w:vertAlign w:val="superscript"/>
              </w:rPr>
              <w:t>(1)</w:t>
            </w:r>
          </w:p>
        </w:tc>
        <w:tc>
          <w:tcPr>
            <w:tcW w:w="2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1,663</w:t>
            </w:r>
          </w:p>
        </w:tc>
        <w:tc>
          <w:tcPr>
            <w:tcW w:w="4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1,250</w:t>
            </w:r>
          </w:p>
        </w:tc>
        <w:tc>
          <w:tcPr>
            <w:tcW w:w="3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b w:val="1"/>
                <w:bCs w:val="1"/>
                <w:color w:val="auto"/>
              </w:rPr>
              <w:t>4,379</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3,396</w:t>
            </w:r>
          </w:p>
        </w:tc>
      </w:tr>
      <w:tr>
        <w:trPr>
          <w:trHeight w:val="243"/>
        </w:trPr>
        <w:tc>
          <w:tcPr>
            <w:tcW w:w="484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Late-stage research and development</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2,584</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2,216</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7,197</w:t>
            </w: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r>
      <w:tr>
        <w:trPr>
          <w:trHeight w:val="243"/>
        </w:trPr>
        <w:tc>
          <w:tcPr>
            <w:tcW w:w="4840" w:type="dxa"/>
            <w:vAlign w:val="bottom"/>
          </w:tcPr>
          <w:p>
            <w:pPr>
              <w:ind w:left="140"/>
              <w:spacing w:after="0"/>
              <w:rPr>
                <w:sz w:val="20"/>
                <w:szCs w:val="20"/>
                <w:color w:val="auto"/>
              </w:rPr>
            </w:pPr>
            <w:r>
              <w:rPr>
                <w:rFonts w:ascii="Arial" w:cs="Arial" w:eastAsia="Arial" w:hAnsi="Arial"/>
                <w:sz w:val="18"/>
                <w:szCs w:val="18"/>
                <w:color w:val="auto"/>
              </w:rPr>
              <w:t>Marketing, selling, and administrative</w:t>
            </w:r>
          </w:p>
        </w:tc>
        <w:tc>
          <w:tcPr>
            <w:tcW w:w="2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3,125</w:t>
            </w:r>
          </w:p>
        </w:tc>
        <w:tc>
          <w:tcPr>
            <w:tcW w:w="4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2,741</w:t>
            </w:r>
          </w:p>
        </w:tc>
        <w:tc>
          <w:tcPr>
            <w:tcW w:w="3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b w:val="1"/>
                <w:bCs w:val="1"/>
                <w:color w:val="auto"/>
              </w:rPr>
              <w:t>9,489</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7,963</w:t>
            </w:r>
          </w:p>
        </w:tc>
      </w:tr>
      <w:tr>
        <w:trPr>
          <w:trHeight w:val="243"/>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4,181</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7,541</w:t>
            </w: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43"/>
        </w:trPr>
        <w:tc>
          <w:tcPr>
            <w:tcW w:w="484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2,460</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2,148</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6,844</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6,451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5,583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20,942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r>
      <w:tr>
        <w:trPr>
          <w:trHeight w:val="243"/>
        </w:trPr>
        <w:tc>
          <w:tcPr>
            <w:tcW w:w="4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1,055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330"/>
        </w:trPr>
        <w:tc>
          <w:tcPr>
            <w:tcW w:w="4840" w:type="dxa"/>
            <w:vAlign w:val="bottom"/>
          </w:tcPr>
          <w:p>
            <w:pPr>
              <w:ind w:left="20"/>
              <w:spacing w:after="0"/>
              <w:rPr>
                <w:sz w:val="20"/>
                <w:szCs w:val="20"/>
                <w:color w:val="auto"/>
              </w:rPr>
            </w:pPr>
            <w:r>
              <w:rPr>
                <w:rFonts w:ascii="Arial" w:cs="Arial" w:eastAsia="Arial" w:hAnsi="Arial"/>
                <w:sz w:val="18"/>
                <w:szCs w:val="18"/>
                <w:color w:val="auto"/>
              </w:rPr>
              <w:t>Expenditures for long-lived assets</w:t>
            </w:r>
            <w:r>
              <w:rPr>
                <w:rFonts w:ascii="Arial" w:cs="Arial" w:eastAsia="Arial" w:hAnsi="Arial"/>
                <w:sz w:val="23"/>
                <w:szCs w:val="23"/>
                <w:color w:val="auto"/>
                <w:vertAlign w:val="superscript"/>
              </w:rPr>
              <w:t>(3)</w:t>
            </w:r>
          </w:p>
        </w:tc>
        <w:tc>
          <w:tcPr>
            <w:tcW w:w="24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3,639</w:t>
            </w:r>
          </w:p>
        </w:tc>
        <w:tc>
          <w:tcPr>
            <w:tcW w:w="44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2,320</w:t>
            </w:r>
          </w:p>
        </w:tc>
        <w:tc>
          <w:tcPr>
            <w:tcW w:w="32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b w:val="1"/>
                <w:bCs w:val="1"/>
                <w:color w:val="auto"/>
              </w:rPr>
              <w:t>8,983</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5,821</w:t>
            </w:r>
          </w:p>
        </w:tc>
      </w:tr>
    </w:tbl>
    <w:p>
      <w:pPr>
        <w:spacing w:after="0" w:line="12" w:lineRule="exact"/>
        <w:rPr>
          <w:sz w:val="20"/>
          <w:szCs w:val="20"/>
          <w:color w:val="auto"/>
        </w:rPr>
      </w:pPr>
    </w:p>
    <w:p>
      <w:pPr>
        <w:ind w:left="180" w:right="560" w:hanging="172"/>
        <w:spacing w:after="0" w:line="272" w:lineRule="auto"/>
        <w:tabs>
          <w:tab w:leader="none" w:pos="158" w:val="left"/>
        </w:tabs>
        <w:numPr>
          <w:ilvl w:val="0"/>
          <w:numId w:val="12"/>
        </w:numPr>
        <w:rPr>
          <w:rFonts w:ascii="Arial" w:cs="Arial" w:eastAsia="Arial" w:hAnsi="Arial"/>
          <w:sz w:val="9"/>
          <w:szCs w:val="9"/>
          <w:color w:val="auto"/>
        </w:rPr>
      </w:pPr>
      <w:r>
        <w:rPr>
          <w:rFonts w:ascii="Arial" w:cs="Arial" w:eastAsia="Arial" w:hAnsi="Arial"/>
          <w:sz w:val="14"/>
          <w:szCs w:val="14"/>
          <w:color w:val="auto"/>
        </w:rPr>
        <w:t>Early-stage research and development primarily includes costs incurred from discovery through Phase 2 clinical trials. Late-stage research and development primarily includes costs incurred from Phase 3 clinical trials.</w:t>
      </w:r>
    </w:p>
    <w:p>
      <w:pPr>
        <w:ind w:left="140" w:hanging="132"/>
        <w:spacing w:after="0" w:line="228"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Other segment items primarily include income taxes.</w:t>
      </w:r>
    </w:p>
    <w:p>
      <w:pPr>
        <w:ind w:left="160" w:hanging="152"/>
        <w:spacing w:after="0" w:line="204"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expenditures for property and equipment and computer software costs.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(Tables present dollars in millions, except per-share data, and numbers may not add due to rounding)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may cause our actual results, financial position, and cash generated from operations to differ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This section provides an overview of our financial results, updates to our clinical development pipeline,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September 30,</w:t>
            </w:r>
          </w:p>
        </w:tc>
        <w:tc>
          <w:tcPr>
            <w:tcW w:w="1040" w:type="dxa"/>
            <w:vAlign w:val="bottom"/>
            <w:vMerge w:val="restart"/>
          </w:tcPr>
          <w:p>
            <w:pPr>
              <w:jc w:val="center"/>
              <w:ind w:left="57"/>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vMerge w:val="restart"/>
          </w:tcPr>
          <w:p>
            <w:pPr>
              <w:jc w:val="center"/>
              <w:ind w:left="5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3"/>
        </w:trPr>
        <w:tc>
          <w:tcPr>
            <w:tcW w:w="2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vMerge w:val="restart"/>
          </w:tcPr>
          <w:p>
            <w:pPr>
              <w:jc w:val="right"/>
              <w:ind w:right="577"/>
              <w:spacing w:after="0"/>
              <w:rPr>
                <w:sz w:val="20"/>
                <w:szCs w:val="20"/>
                <w:color w:val="auto"/>
              </w:rPr>
            </w:pPr>
            <w:r>
              <w:rPr>
                <w:rFonts w:ascii="Arial" w:cs="Arial" w:eastAsia="Arial" w:hAnsi="Arial"/>
                <w:sz w:val="14"/>
                <w:szCs w:val="14"/>
                <w:b w:val="1"/>
                <w:bCs w:val="1"/>
                <w:color w:val="auto"/>
              </w:rPr>
              <w:t>2026</w:t>
            </w:r>
          </w:p>
        </w:tc>
        <w:tc>
          <w:tcPr>
            <w:tcW w:w="460" w:type="dxa"/>
            <w:vAlign w:val="bottom"/>
          </w:tcPr>
          <w:p>
            <w:pPr>
              <w:spacing w:after="0"/>
              <w:rPr>
                <w:sz w:val="4"/>
                <w:szCs w:val="4"/>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2026</w:t>
            </w:r>
          </w:p>
        </w:tc>
        <w:tc>
          <w:tcPr>
            <w:tcW w:w="460" w:type="dxa"/>
            <w:vAlign w:val="bottom"/>
          </w:tcPr>
          <w:p>
            <w:pPr>
              <w:spacing w:after="0"/>
              <w:rPr>
                <w:sz w:val="4"/>
                <w:szCs w:val="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24,397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17,601</w:t>
            </w:r>
          </w:p>
        </w:tc>
        <w:tc>
          <w:tcPr>
            <w:tcW w:w="104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39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67,170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45,887</w:t>
            </w:r>
          </w:p>
        </w:tc>
        <w:tc>
          <w:tcPr>
            <w:tcW w:w="104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b w:val="1"/>
                <w:bCs w:val="1"/>
                <w:color w:val="auto"/>
              </w:rPr>
              <w:t>6,451</w:t>
            </w: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5,583</w:t>
            </w:r>
          </w:p>
        </w:tc>
        <w:tc>
          <w:tcPr>
            <w:tcW w:w="1040" w:type="dxa"/>
            <w:vAlign w:val="bottom"/>
          </w:tcPr>
          <w:p>
            <w:pPr>
              <w:jc w:val="center"/>
              <w:ind w:left="37"/>
              <w:spacing w:after="0"/>
              <w:rPr>
                <w:sz w:val="20"/>
                <w:szCs w:val="20"/>
                <w:color w:val="auto"/>
              </w:rPr>
            </w:pPr>
            <w:r>
              <w:rPr>
                <w:rFonts w:ascii="Arial" w:cs="Arial" w:eastAsia="Arial" w:hAnsi="Arial"/>
                <w:sz w:val="18"/>
                <w:szCs w:val="18"/>
                <w:color w:val="auto"/>
                <w:w w:val="99"/>
              </w:rPr>
              <w:t>16</w:t>
            </w:r>
          </w:p>
        </w:tc>
        <w:tc>
          <w:tcPr>
            <w:tcW w:w="24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20,942</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14,002</w:t>
            </w:r>
          </w:p>
        </w:tc>
        <w:tc>
          <w:tcPr>
            <w:tcW w:w="1040" w:type="dxa"/>
            <w:vAlign w:val="bottom"/>
          </w:tcPr>
          <w:p>
            <w:pPr>
              <w:jc w:val="center"/>
              <w:ind w:left="77"/>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7.22</w:t>
            </w:r>
          </w:p>
        </w:tc>
        <w:tc>
          <w:tcPr>
            <w:tcW w:w="4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4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16</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23.42</w:t>
            </w: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4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increased for the three and nine months ended September 30, 2026, driven primarily by increased volume, partially offset by lower realized prices. The increased volume and the lower realized prices during the three and nine months ended September 30, 2026 were primarily driven by Mounjaro and Zepbound.</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Net income and earnings per share for the three and nine months ended September 30, 2026 increased primarily due to higher gross margin, partially offset by higher acquired IPR&amp;D charges, research and development expenses, and marketing, selling, and administrative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Clinical Development Pipeline Updates</w:t>
      </w:r>
    </w:p>
    <w:p>
      <w:pPr>
        <w:spacing w:after="0" w:line="117" w:lineRule="exact"/>
        <w:rPr>
          <w:sz w:val="20"/>
          <w:szCs w:val="20"/>
          <w:color w:val="auto"/>
        </w:rPr>
      </w:pPr>
    </w:p>
    <w:p>
      <w:pPr>
        <w:ind w:right="380"/>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Our long-term success depends on our ability to continually discover or acquire, develop, and commercialize innovative medicines. See “Management’s Discussion and Analysis of Results of Operations and Financial Condition—Executive Overview—Clinical Development Pipeline”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2025 for select new molecular entities (NMEs) and new indication line extension (NILEX) products in clinical trials or that were submitted for regulatory review or received regulatory approval in the U.S., European Union (EU), or Japan. The following reflects certain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2025:</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Compound</w:t>
            </w:r>
          </w:p>
        </w:tc>
        <w:tc>
          <w:tcPr>
            <w:tcW w:w="8180" w:type="dxa"/>
            <w:vAlign w:val="bottom"/>
            <w:tcBorders>
              <w:top w:val="single" w:sz="8" w:color="auto"/>
              <w:bottom w:val="single" w:sz="8" w:color="auto"/>
              <w:right w:val="single" w:sz="8" w:color="auto"/>
            </w:tcBorders>
          </w:tcPr>
          <w:p>
            <w:pPr>
              <w:ind w:left="3520"/>
              <w:spacing w:after="0"/>
              <w:rPr>
                <w:sz w:val="20"/>
                <w:szCs w:val="20"/>
                <w:color w:val="auto"/>
              </w:rPr>
            </w:pPr>
            <w:r>
              <w:rPr>
                <w:rFonts w:ascii="Arial" w:cs="Arial" w:eastAsia="Arial" w:hAnsi="Arial"/>
                <w:sz w:val="18"/>
                <w:szCs w:val="18"/>
                <w:b w:val="1"/>
                <w:bCs w:val="1"/>
                <w:color w:val="auto"/>
              </w:rPr>
              <w:t>Development</w:t>
            </w:r>
          </w:p>
        </w:tc>
        <w:tc>
          <w:tcPr>
            <w:tcW w:w="0" w:type="dxa"/>
            <w:vAlign w:val="bottom"/>
          </w:tcPr>
          <w:p>
            <w:pPr>
              <w:spacing w:after="0"/>
              <w:rPr>
                <w:sz w:val="1"/>
                <w:szCs w:val="1"/>
                <w:color w:val="auto"/>
              </w:rPr>
            </w:pPr>
          </w:p>
        </w:tc>
      </w:tr>
      <w:tr>
        <w:trPr>
          <w:trHeight w:val="244"/>
        </w:trPr>
        <w:tc>
          <w:tcPr>
            <w:tcW w:w="2980" w:type="dxa"/>
            <w:vAlign w:val="bottom"/>
            <w:tcBorders>
              <w:left w:val="single" w:sz="8" w:color="auto"/>
              <w:right w:val="single" w:sz="8" w:color="auto"/>
            </w:tcBorders>
          </w:tcPr>
          <w:p>
            <w:pPr>
              <w:spacing w:after="0"/>
              <w:rPr>
                <w:sz w:val="21"/>
                <w:szCs w:val="21"/>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FDA approved insulin efsitora alfa for type 2 diabetes.</w:t>
            </w:r>
          </w:p>
        </w:tc>
        <w:tc>
          <w:tcPr>
            <w:tcW w:w="0" w:type="dxa"/>
            <w:vAlign w:val="bottom"/>
          </w:tcPr>
          <w:p>
            <w:pPr>
              <w:spacing w:after="0"/>
              <w:rPr>
                <w:sz w:val="1"/>
                <w:szCs w:val="1"/>
                <w:color w:val="auto"/>
              </w:rPr>
            </w:pPr>
          </w:p>
        </w:tc>
      </w:tr>
      <w:tr>
        <w:trPr>
          <w:trHeight w:val="28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Insulin efsitora alfa (Onswik)</w:t>
            </w:r>
          </w:p>
        </w:tc>
        <w:tc>
          <w:tcPr>
            <w:tcW w:w="8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Committee for Medicinal Products for Human Use (CHMP) issued a positive opinion</w:t>
            </w:r>
          </w:p>
        </w:tc>
        <w:tc>
          <w:tcPr>
            <w:tcW w:w="0" w:type="dxa"/>
            <w:vAlign w:val="bottom"/>
          </w:tcPr>
          <w:p>
            <w:pPr>
              <w:spacing w:after="0"/>
              <w:rPr>
                <w:sz w:val="1"/>
                <w:szCs w:val="1"/>
                <w:color w:val="auto"/>
              </w:rPr>
            </w:pPr>
          </w:p>
        </w:tc>
      </w:tr>
      <w:tr>
        <w:trPr>
          <w:trHeight w:val="239"/>
        </w:trPr>
        <w:tc>
          <w:tcPr>
            <w:tcW w:w="2980" w:type="dxa"/>
            <w:vAlign w:val="bottom"/>
            <w:tcBorders>
              <w:left w:val="single" w:sz="8" w:color="auto"/>
              <w:right w:val="single" w:sz="8" w:color="auto"/>
            </w:tcBorders>
          </w:tcPr>
          <w:p>
            <w:pPr>
              <w:spacing w:after="0"/>
              <w:rPr>
                <w:sz w:val="20"/>
                <w:szCs w:val="20"/>
                <w:color w:val="auto"/>
              </w:rPr>
            </w:pPr>
          </w:p>
        </w:tc>
        <w:tc>
          <w:tcPr>
            <w:tcW w:w="8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recommending insulin efsitora alfa for the treatment of type 2 diabetes in the EU.</w:t>
            </w:r>
          </w:p>
        </w:tc>
        <w:tc>
          <w:tcPr>
            <w:tcW w:w="0" w:type="dxa"/>
            <w:vAlign w:val="bottom"/>
          </w:tcPr>
          <w:p>
            <w:pPr>
              <w:spacing w:after="0"/>
              <w:rPr>
                <w:sz w:val="1"/>
                <w:szCs w:val="1"/>
                <w:color w:val="auto"/>
              </w:rPr>
            </w:pPr>
          </w:p>
        </w:tc>
      </w:tr>
      <w:tr>
        <w:trPr>
          <w:trHeight w:val="99"/>
        </w:trPr>
        <w:tc>
          <w:tcPr>
            <w:tcW w:w="2980" w:type="dxa"/>
            <w:vAlign w:val="bottom"/>
            <w:tcBorders>
              <w:left w:val="single" w:sz="8" w:color="auto"/>
              <w:bottom w:val="single" w:sz="8" w:color="auto"/>
              <w:right w:val="single" w:sz="8" w:color="auto"/>
            </w:tcBorders>
          </w:tcPr>
          <w:p>
            <w:pPr>
              <w:spacing w:after="0"/>
              <w:rPr>
                <w:sz w:val="8"/>
                <w:szCs w:val="8"/>
                <w:color w:val="auto"/>
              </w:rPr>
            </w:pPr>
          </w:p>
        </w:tc>
        <w:tc>
          <w:tcPr>
            <w:tcW w:w="8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980" w:type="dxa"/>
            <w:vAlign w:val="bottom"/>
            <w:tcBorders>
              <w:left w:val="single" w:sz="8" w:color="auto"/>
              <w:right w:val="single" w:sz="8" w:color="auto"/>
            </w:tcBorders>
          </w:tcPr>
          <w:p>
            <w:pPr>
              <w:spacing w:after="0"/>
              <w:rPr>
                <w:sz w:val="21"/>
                <w:szCs w:val="21"/>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FDA approved orforglipron for obesity.</w:t>
            </w:r>
          </w:p>
        </w:tc>
        <w:tc>
          <w:tcPr>
            <w:tcW w:w="0" w:type="dxa"/>
            <w:vAlign w:val="bottom"/>
          </w:tcPr>
          <w:p>
            <w:pPr>
              <w:spacing w:after="0"/>
              <w:rPr>
                <w:sz w:val="1"/>
                <w:szCs w:val="1"/>
                <w:color w:val="auto"/>
              </w:rPr>
            </w:pPr>
          </w:p>
        </w:tc>
      </w:tr>
      <w:tr>
        <w:trPr>
          <w:trHeight w:val="187"/>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Orforglipron (Foundayo)</w:t>
            </w:r>
          </w:p>
        </w:tc>
        <w:tc>
          <w:tcPr>
            <w:tcW w:w="818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The CHMP issued a positive opinion recommending orforglipron for the treatment of obesity and of</w:t>
            </w:r>
          </w:p>
        </w:tc>
        <w:tc>
          <w:tcPr>
            <w:tcW w:w="0" w:type="dxa"/>
            <w:vAlign w:val="bottom"/>
          </w:tcPr>
          <w:p>
            <w:pPr>
              <w:spacing w:after="0"/>
              <w:rPr>
                <w:sz w:val="1"/>
                <w:szCs w:val="1"/>
                <w:color w:val="auto"/>
              </w:rPr>
            </w:pPr>
          </w:p>
        </w:tc>
      </w:tr>
      <w:tr>
        <w:trPr>
          <w:trHeight w:val="133"/>
        </w:trPr>
        <w:tc>
          <w:tcPr>
            <w:tcW w:w="2980" w:type="dxa"/>
            <w:vAlign w:val="bottom"/>
            <w:tcBorders>
              <w:left w:val="single" w:sz="8" w:color="auto"/>
              <w:right w:val="single" w:sz="8" w:color="auto"/>
            </w:tcBorders>
            <w:vMerge w:val="continue"/>
          </w:tcPr>
          <w:p>
            <w:pPr>
              <w:spacing w:after="0"/>
              <w:rPr>
                <w:sz w:val="11"/>
                <w:szCs w:val="11"/>
                <w:color w:val="auto"/>
              </w:rPr>
            </w:pPr>
          </w:p>
        </w:tc>
        <w:tc>
          <w:tcPr>
            <w:tcW w:w="8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 in the EU.</w:t>
            </w:r>
          </w:p>
        </w:tc>
        <w:tc>
          <w:tcPr>
            <w:tcW w:w="0" w:type="dxa"/>
            <w:vAlign w:val="bottom"/>
          </w:tcPr>
          <w:p>
            <w:pPr>
              <w:spacing w:after="0"/>
              <w:rPr>
                <w:sz w:val="1"/>
                <w:szCs w:val="1"/>
                <w:color w:val="auto"/>
              </w:rPr>
            </w:pPr>
          </w:p>
        </w:tc>
      </w:tr>
      <w:tr>
        <w:trPr>
          <w:trHeight w:val="112"/>
        </w:trPr>
        <w:tc>
          <w:tcPr>
            <w:tcW w:w="2980" w:type="dxa"/>
            <w:vAlign w:val="bottom"/>
            <w:tcBorders>
              <w:left w:val="single" w:sz="8" w:color="auto"/>
              <w:right w:val="single" w:sz="8" w:color="auto"/>
            </w:tcBorders>
          </w:tcPr>
          <w:p>
            <w:pPr>
              <w:spacing w:after="0"/>
              <w:rPr>
                <w:sz w:val="9"/>
                <w:szCs w:val="9"/>
                <w:color w:val="auto"/>
              </w:rPr>
            </w:pPr>
          </w:p>
        </w:tc>
        <w:tc>
          <w:tcPr>
            <w:tcW w:w="81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Submitted orforglipron for type 2 diabetes in the U.S. and Japan.</w:t>
            </w:r>
          </w:p>
        </w:tc>
        <w:tc>
          <w:tcPr>
            <w:tcW w:w="0" w:type="dxa"/>
            <w:vAlign w:val="bottom"/>
          </w:tcPr>
          <w:p>
            <w:pPr>
              <w:spacing w:after="0"/>
              <w:rPr>
                <w:sz w:val="1"/>
                <w:szCs w:val="1"/>
                <w:color w:val="auto"/>
              </w:rPr>
            </w:pPr>
          </w:p>
        </w:tc>
      </w:tr>
      <w:tr>
        <w:trPr>
          <w:trHeight w:val="24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Tirzepatide (Mounjaro)</w:t>
            </w: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FDA approved tirzepatide to reduce cardiovascular risk in type 2 diabetes.</w:t>
            </w:r>
          </w:p>
        </w:tc>
        <w:tc>
          <w:tcPr>
            <w:tcW w:w="0" w:type="dxa"/>
            <w:vAlign w:val="bottom"/>
          </w:tcPr>
          <w:p>
            <w:pPr>
              <w:spacing w:after="0"/>
              <w:rPr>
                <w:sz w:val="1"/>
                <w:szCs w:val="1"/>
                <w:color w:val="auto"/>
              </w:rPr>
            </w:pPr>
          </w:p>
        </w:tc>
      </w:tr>
      <w:tr>
        <w:trPr>
          <w:trHeight w:val="322"/>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Retatrutide</w:t>
            </w:r>
          </w:p>
        </w:tc>
        <w:tc>
          <w:tcPr>
            <w:tcW w:w="8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that Phase 3 trials for retatrutide for obesity met their primary endpoints.</w:t>
            </w:r>
          </w:p>
        </w:tc>
        <w:tc>
          <w:tcPr>
            <w:tcW w:w="0" w:type="dxa"/>
            <w:vAlign w:val="bottom"/>
          </w:tcPr>
          <w:p>
            <w:pPr>
              <w:spacing w:after="0"/>
              <w:rPr>
                <w:sz w:val="1"/>
                <w:szCs w:val="1"/>
                <w:color w:val="auto"/>
              </w:rPr>
            </w:pPr>
          </w:p>
        </w:tc>
      </w:tr>
      <w:tr>
        <w:trPr>
          <w:trHeight w:val="90"/>
        </w:trPr>
        <w:tc>
          <w:tcPr>
            <w:tcW w:w="2980" w:type="dxa"/>
            <w:vAlign w:val="bottom"/>
            <w:tcBorders>
              <w:left w:val="single" w:sz="8" w:color="auto"/>
              <w:right w:val="single" w:sz="8" w:color="auto"/>
            </w:tcBorders>
            <w:vMerge w:val="continue"/>
          </w:tcPr>
          <w:p>
            <w:pPr>
              <w:spacing w:after="0"/>
              <w:rPr>
                <w:sz w:val="7"/>
                <w:szCs w:val="7"/>
                <w:color w:val="auto"/>
              </w:rPr>
            </w:pPr>
          </w:p>
        </w:tc>
        <w:tc>
          <w:tcPr>
            <w:tcW w:w="8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980" w:type="dxa"/>
            <w:vAlign w:val="bottom"/>
            <w:tcBorders>
              <w:left w:val="single" w:sz="8" w:color="auto"/>
              <w:right w:val="single" w:sz="8" w:color="auto"/>
            </w:tcBorders>
            <w:vMerge w:val="continue"/>
          </w:tcPr>
          <w:p>
            <w:pPr>
              <w:spacing w:after="0"/>
              <w:rPr>
                <w:sz w:val="9"/>
                <w:szCs w:val="9"/>
                <w:color w:val="auto"/>
              </w:rPr>
            </w:pPr>
          </w:p>
        </w:tc>
        <w:tc>
          <w:tcPr>
            <w:tcW w:w="8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Announced that Phase 3 trials for retatrutide for type 2 diabetes met their primary endpoints.</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8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Baricitinib</w:t>
            </w: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baricitinib for type 1 diabetes.</w:t>
            </w:r>
          </w:p>
        </w:tc>
        <w:tc>
          <w:tcPr>
            <w:tcW w:w="0" w:type="dxa"/>
            <w:vAlign w:val="bottom"/>
          </w:tcPr>
          <w:p>
            <w:pPr>
              <w:spacing w:after="0"/>
              <w:rPr>
                <w:sz w:val="1"/>
                <w:szCs w:val="1"/>
                <w:color w:val="auto"/>
              </w:rPr>
            </w:pPr>
          </w:p>
        </w:tc>
      </w:tr>
      <w:tr>
        <w:trPr>
          <w:trHeight w:val="244"/>
        </w:trPr>
        <w:tc>
          <w:tcPr>
            <w:tcW w:w="2980" w:type="dxa"/>
            <w:vAlign w:val="bottom"/>
            <w:tcBorders>
              <w:left w:val="single" w:sz="8" w:color="auto"/>
              <w:right w:val="single" w:sz="8" w:color="auto"/>
            </w:tcBorders>
          </w:tcPr>
          <w:p>
            <w:pPr>
              <w:spacing w:after="0"/>
              <w:rPr>
                <w:sz w:val="21"/>
                <w:szCs w:val="21"/>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eloralintide incretin add-on for obesity.</w:t>
            </w:r>
          </w:p>
        </w:tc>
        <w:tc>
          <w:tcPr>
            <w:tcW w:w="0" w:type="dxa"/>
            <w:vAlign w:val="bottom"/>
          </w:tcPr>
          <w:p>
            <w:pPr>
              <w:spacing w:after="0"/>
              <w:rPr>
                <w:sz w:val="1"/>
                <w:szCs w:val="1"/>
                <w:color w:val="auto"/>
              </w:rPr>
            </w:pPr>
          </w:p>
        </w:tc>
      </w:tr>
      <w:tr>
        <w:trPr>
          <w:trHeight w:val="256"/>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Eloralintide</w:t>
            </w: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eloralintide for obstructive sleep apnea (OSA).</w:t>
            </w:r>
          </w:p>
        </w:tc>
        <w:tc>
          <w:tcPr>
            <w:tcW w:w="0" w:type="dxa"/>
            <w:vAlign w:val="bottom"/>
          </w:tcPr>
          <w:p>
            <w:pPr>
              <w:spacing w:after="0"/>
              <w:rPr>
                <w:sz w:val="1"/>
                <w:szCs w:val="1"/>
                <w:color w:val="auto"/>
              </w:rPr>
            </w:pPr>
          </w:p>
        </w:tc>
      </w:tr>
      <w:tr>
        <w:trPr>
          <w:trHeight w:val="246"/>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eloralintide for osteoarthritis (OA) pain.</w:t>
            </w:r>
          </w:p>
        </w:tc>
        <w:tc>
          <w:tcPr>
            <w:tcW w:w="0" w:type="dxa"/>
            <w:vAlign w:val="bottom"/>
          </w:tcPr>
          <w:p>
            <w:pPr>
              <w:spacing w:after="0"/>
              <w:rPr>
                <w:sz w:val="1"/>
                <w:szCs w:val="1"/>
                <w:color w:val="auto"/>
              </w:rPr>
            </w:pPr>
          </w:p>
        </w:tc>
      </w:tr>
      <w:tr>
        <w:trPr>
          <w:trHeight w:val="24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Brenipatide</w:t>
            </w: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brenipatide for major depressive disorder.</w:t>
            </w:r>
          </w:p>
        </w:tc>
        <w:tc>
          <w:tcPr>
            <w:tcW w:w="0" w:type="dxa"/>
            <w:vAlign w:val="bottom"/>
          </w:tcPr>
          <w:p>
            <w:pPr>
              <w:spacing w:after="0"/>
              <w:rPr>
                <w:sz w:val="1"/>
                <w:szCs w:val="1"/>
                <w:color w:val="auto"/>
              </w:rPr>
            </w:pPr>
          </w:p>
        </w:tc>
      </w:tr>
      <w:tr>
        <w:trPr>
          <w:trHeight w:val="237"/>
        </w:trPr>
        <w:tc>
          <w:tcPr>
            <w:tcW w:w="2980" w:type="dxa"/>
            <w:vAlign w:val="bottom"/>
            <w:tcBorders>
              <w:left w:val="single" w:sz="8" w:color="auto"/>
              <w:bottom w:val="single" w:sz="8" w:color="auto"/>
              <w:right w:val="single" w:sz="8" w:color="auto"/>
            </w:tcBorders>
          </w:tcPr>
          <w:p>
            <w:pPr>
              <w:jc w:val="center"/>
              <w:spacing w:after="0" w:line="236" w:lineRule="exact"/>
              <w:rPr>
                <w:sz w:val="20"/>
                <w:szCs w:val="20"/>
                <w:color w:val="auto"/>
              </w:rPr>
            </w:pPr>
            <w:r>
              <w:rPr>
                <w:rFonts w:ascii="Arial" w:cs="Arial" w:eastAsia="Arial" w:hAnsi="Arial"/>
                <w:sz w:val="18"/>
                <w:szCs w:val="18"/>
                <w:b w:val="1"/>
                <w:bCs w:val="1"/>
                <w:color w:val="auto"/>
                <w:w w:val="97"/>
              </w:rPr>
              <w:t>Sofetabart mipitecan</w:t>
            </w:r>
            <w:r>
              <w:rPr>
                <w:rFonts w:ascii="Arial" w:cs="Arial" w:eastAsia="Arial" w:hAnsi="Arial"/>
                <w:sz w:val="23"/>
                <w:szCs w:val="23"/>
                <w:b w:val="1"/>
                <w:bCs w:val="1"/>
                <w:color w:val="auto"/>
                <w:w w:val="97"/>
                <w:vertAlign w:val="superscript"/>
              </w:rPr>
              <w:t>(1)</w:t>
            </w: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sofetabart mipitecan for platinum-sensitive ovarian cancer.</w:t>
            </w:r>
          </w:p>
        </w:tc>
        <w:tc>
          <w:tcPr>
            <w:tcW w:w="0" w:type="dxa"/>
            <w:vAlign w:val="bottom"/>
          </w:tcPr>
          <w:p>
            <w:pPr>
              <w:spacing w:after="0"/>
              <w:rPr>
                <w:sz w:val="1"/>
                <w:szCs w:val="1"/>
                <w:color w:val="auto"/>
              </w:rPr>
            </w:pPr>
          </w:p>
        </w:tc>
      </w:tr>
      <w:tr>
        <w:trPr>
          <w:trHeight w:val="23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Tersolisib</w:t>
            </w: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tersolisib for PIK3CA+ advanced breast cancer.</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180" w:right="520" w:hanging="172"/>
        <w:spacing w:after="0" w:line="248" w:lineRule="auto"/>
        <w:tabs>
          <w:tab w:leader="none" w:pos="15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FDA granted Breakthrough Therapy designation for sofetabart mipitecan for the treatment of certain patients with platinum-resistant ovarian cancer. Breakthrough Therapy designation is designed to expedite the development and review of potential medicines that are intended to treat a serious condition when preliminary clinical evidence indicates that the treatment may demonstrate substantial improvement on a clinically significant endpoint(s) over already available therapies.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Global concern over access to, and affordability of, pharmaceutical products continues to drive debate and action, as well as cost containment efforts by governmental authorities and scrutiny of pricing and access disparities. Cost containment measures include the use of mandated discounts, price reporting requirements, mandated reference prices, restrictive formularies, changes to available intellectual property protections, as well as other efforts.</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Reforms, initiatives, and other actions, including those that may stem from political initiatives, periods of uneven economic growth or downturns, or as a result of inflation or deflation, trade and other global disputes and interruptions including related to tariffs, trade protection measures, and similar restrictions, the emergence or escalation of, and responses to, international tension and conflicts, or government budgeting priorities, are expected to continue to result in added pressure on cost, pricing, reimbursement, and access for our products.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5" w:name="page26"/>
    <w:bookmarkEnd w:id="25"/>
    <w:p>
      <w:pPr>
        <w:ind w:right="120"/>
        <w:spacing w:after="0" w:line="255" w:lineRule="auto"/>
        <w:rPr>
          <w:sz w:val="20"/>
          <w:szCs w:val="20"/>
          <w:color w:val="auto"/>
        </w:rPr>
      </w:pPr>
      <w:r>
        <w:rPr>
          <w:rFonts w:ascii="Arial" w:cs="Arial" w:eastAsia="Arial" w:hAnsi="Arial"/>
          <w:sz w:val="18"/>
          <w:szCs w:val="18"/>
          <w:color w:val="auto"/>
        </w:rPr>
        <w:t>We have entered into voluntary agreements with the U.S. government in which, among other arrangements, we agreed to lower Medicaid and certain other drug prices for U.S. patients and to launch new medicines with a more balanced pricing approach across developed nations. Under the Medicare GLP-1 Bridge program, Medicare beneficiaries obtained access to discounted Lilly obesity medicines effective July 1, 2026 through December 31, 2027, and individual state Medicaid programs separately have the option to expand access to these medicines. We continue to engage with the Centers for Medicare &amp; Medicaid Services on long-term Medicare access to obesity medicines. Continued uptake from this expanded access is unknown. Moreover, the outcome of these arrangements and broader U.S. policy efforts to align domestic pharmaceutical pricing with international benchmarks from countries with competing healthcare cost containment priorities is uncertain and could negatively impact our pricing strategies, product demand or access, or competitive positioning across global markets, and may result in reduced revenue in certain markets.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Inflation Reduction Act of 2022 (IRA) requires the U.S. Department of Health and Human Services (HHS) to effectively set prices for certain single-source drugs and biologics reimbursed under Medicare Part B and Part D. Currently, these government prices generally apply beginning at nine years (for medicines approved under a New Drug Application) or thirteen years (for medicines approved under a Biologics License Application) following FDA approval or licensure for the molecule. HHS selected Jardiance, which is part of our collaboration with Boehringer Ingelheim, in August 2023 (effective 2026), and selected Trulicity and Verzenio in January 2026 (to be effective 2028), as medicines subject to government-set prices. Given our product portfolio, we expect other significant products will be selected in future years. The IRA has, and will continue to, meaningfully influence our business strategies and those of our competitors and could significantly impact our business and consolidated results of operations.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 and other countries have imposed or reached alignment on tariffs. In some cases, imposed tariffs have been paused but may come into effect quickly and unpredictably. While Lilly and pharmaceuticals are exempt from certain of these tariffs, such exemptions may expire, may be terminated or may not apply to any future tariffs. The precise impact of tariffs, trade protection measures, and other restrictions depends on their ultimate scope, timing, and other factors. If enacted, additional restrictions could result in supply disruptions or delays, further increase costs, or otherwise have a negative impact on our business.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Private payers and pharmacy benefit managers in the U.S. continue to significantly impact the market for pharmaceuticals through negotiation of access, manufacturer price or rebate concessions and pharmacy reimbursement rates. Restrictive or unfavorable pricing, coverage, or reimbursement determinations for our medicines or product candidates by governments, regulatory agencies, courts, or private actors have and may continue to adversely impact our business and consolidated results of operations. In addition, we are engaged in litigation, investigations, and discussions with government entities related to government programs (including the 340B program), access to medicine, pricing, product safety, and other matters that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w:t>
      </w:r>
    </w:p>
    <w:p>
      <w:pPr>
        <w:spacing w:after="0" w:line="7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Other policies, regulations, legislation, or enforcement, including those proposed or pursued by lawmakers, regulators, and other authorities in the U.S. and worldwide, have and may continue to adversely impact our business and consolidated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Incretin Medicines</w:t>
      </w:r>
    </w:p>
    <w:p>
      <w:pPr>
        <w:spacing w:after="0" w:line="115"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Mounjaro, Zepbound, and Foundayo accounted for 66 percent of our total revenue for the nine months ended September 30, 2026, and we expect cardiometabolic health products will continue to represent a significant and growing portion of our business, revenue, and prospects.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6" w:name="page27"/>
    <w:bookmarkEnd w:id="26"/>
    <w:p>
      <w:pPr>
        <w:ind w:right="120"/>
        <w:spacing w:after="0" w:line="259" w:lineRule="auto"/>
        <w:rPr>
          <w:sz w:val="20"/>
          <w:szCs w:val="20"/>
          <w:color w:val="auto"/>
        </w:rPr>
      </w:pPr>
      <w:r>
        <w:rPr>
          <w:rFonts w:ascii="Arial" w:cs="Arial" w:eastAsia="Arial" w:hAnsi="Arial"/>
          <w:sz w:val="18"/>
          <w:szCs w:val="18"/>
          <w:color w:val="auto"/>
        </w:rPr>
        <w:t>In the second quarter of 2026, we launched Foundayo (orforglipron) in the U.S. for the treatment of obesity and submitted orforglipron to the FDA for type 2 diabetes. Internationally, we have launched Mounjaro, and we have submitted or launched orforglipron for the treatment of obesity and/or type 2 diabetes in all major markets. To support anticipated demand for our current and prospective products, we have undertaken significant manufacturing expansion initiatives. Additional capacity is expected to become operational over the next several years.</w:t>
      </w:r>
    </w:p>
    <w:p>
      <w:pPr>
        <w:spacing w:after="0" w:line="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expect our near-term financial performance will be impacted by, among other factors, the timing of additional potential regulatory approvals for orforglipron, as well as the demand and pace of uptake in new incretin channels and markets, including in U.S. Medicare for Zepbound and Foundayo. More generally, incretin volume fluctuations due to channel dynamics or demand can have a disproportionate impact on our results of operations in any given period. Longer term, the durability of our cardiometabolic health product offerings and sustainability of our growth and prospects will depend on our ability to maintain or strengthen our competitive position as the therapeutic landscape evolves and to deliver further innovations that provide sufficient value to sustain our growth momentum.</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see the production, marketing, and sale of counterfeit, misbranded, adulterated, and mass-compounded incretins. These practices may impact patient safety and undermine regulatory drug approval processes. Although the FDA has declared that compounding pharmacies are required to cease mass production, we cannot guarantee adequate regulation or compliance. Lilly will continue to consider all options, including filing lawsuits where appropriate, to address unlawful practices and the patient safety risks of unapproved, untested, and manipulated drugs.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and the European Commission could influence tax laws in countries in which we operate. Tax authorities in the U.S. and other jurisdictions in which we do business routinely examine our tax returns and are continuing to increase their scrutiny of cross-border tax issues. Additionally, we are subject to increasing tax disclosure obligations globally that could heighten our audit risk. Changes to existing U.S. and foreign tax laws and increased scrutiny by tax authorities in the U.S. and other jurisdictions could have a material adverse impact on our future consolidated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business development activity as an important component of our research and development strategy.</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Continued regulatory focus on business combinations in our industry, including by the Federal Trade Commission and competition authorities in Europe and other jurisdictions, could continue to delay, jeopardize, or increase the costs of our business development activities and may negatively impact our consolidated financial position or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ind w:right="1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Other factors have had, and may continue to have, an impact on our consolidated results of operations. See "Business" in Part I,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and Notes 4 and 9 to the consolidated condensed financial statements for additional information and risks and uncertainties that could impact our business and operations, including the matters described within this Executive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4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vMerge w:val="restart"/>
          </w:tcPr>
          <w:p>
            <w:pPr>
              <w:jc w:val="center"/>
              <w:ind w:left="57"/>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Nine Months Ended September 30,</w:t>
            </w:r>
          </w:p>
        </w:tc>
        <w:tc>
          <w:tcPr>
            <w:tcW w:w="1120" w:type="dxa"/>
            <w:vAlign w:val="bottom"/>
            <w:vMerge w:val="restart"/>
          </w:tcPr>
          <w:p>
            <w:pPr>
              <w:jc w:val="center"/>
              <w:ind w:left="5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1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restart"/>
          </w:tcPr>
          <w:p>
            <w:pPr>
              <w:jc w:val="right"/>
              <w:ind w:right="577"/>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2"/>
                <w:szCs w:val="2"/>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15,136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34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41,668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30,604</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9,261</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11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47</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25,502</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11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67</w:t>
            </w: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24,397</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17,601</w:t>
            </w:r>
          </w:p>
        </w:tc>
        <w:tc>
          <w:tcPr>
            <w:tcW w:w="11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39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67,170</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45,887</w:t>
            </w:r>
          </w:p>
        </w:tc>
        <w:tc>
          <w:tcPr>
            <w:tcW w:w="11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0" w:type="dxa"/>
            <w:vAlign w:val="bottom"/>
            <w:gridSpan w:val="3"/>
          </w:tcPr>
          <w:p>
            <w:pPr>
              <w:jc w:val="right"/>
              <w:ind w:right="1034"/>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7"/>
                <w:szCs w:val="17"/>
                <w:color w:val="auto"/>
              </w:rPr>
            </w:pPr>
          </w:p>
        </w:tc>
        <w:tc>
          <w:tcPr>
            <w:tcW w:w="3340" w:type="dxa"/>
            <w:vAlign w:val="bottom"/>
            <w:gridSpan w:val="3"/>
          </w:tcPr>
          <w:p>
            <w:pPr>
              <w:jc w:val="right"/>
              <w:ind w:right="834"/>
              <w:spacing w:after="0"/>
              <w:rPr>
                <w:sz w:val="20"/>
                <w:szCs w:val="20"/>
                <w:color w:val="auto"/>
              </w:rPr>
            </w:pPr>
            <w:r>
              <w:rPr>
                <w:rFonts w:ascii="Arial" w:cs="Arial" w:eastAsia="Arial" w:hAnsi="Arial"/>
                <w:sz w:val="14"/>
                <w:szCs w:val="14"/>
                <w:b w:val="1"/>
                <w:bCs w:val="1"/>
                <w:color w:val="auto"/>
              </w:rPr>
              <w:t>Nine Months Ended September 30,</w:t>
            </w:r>
          </w:p>
        </w:tc>
      </w:tr>
      <w:tr>
        <w:trPr>
          <w:trHeight w:val="217"/>
        </w:trPr>
        <w:tc>
          <w:tcPr>
            <w:tcW w:w="28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2026 vs. 2025</w:t>
            </w:r>
          </w:p>
        </w:tc>
        <w:tc>
          <w:tcPr>
            <w:tcW w:w="1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2026 vs. 2025</w:t>
            </w:r>
          </w:p>
        </w:tc>
        <w:tc>
          <w:tcPr>
            <w:tcW w:w="134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Outside U.S.</w:t>
            </w:r>
          </w:p>
        </w:tc>
        <w:tc>
          <w:tcPr>
            <w:tcW w:w="15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Consolidated</w:t>
            </w:r>
          </w:p>
        </w:tc>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U.S.</w:t>
            </w:r>
          </w:p>
        </w:tc>
        <w:tc>
          <w:tcPr>
            <w:tcW w:w="6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Outside U.S.</w:t>
            </w: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38"/>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41 %</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76 %</w:t>
            </w: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53 %</w:t>
            </w: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42 %</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93 %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620" w:type="dxa"/>
            <w:vAlign w:val="bottom"/>
          </w:tcPr>
          <w:p>
            <w:pPr>
              <w:jc w:val="right"/>
              <w:ind w:right="214"/>
              <w:spacing w:after="0"/>
              <w:rPr>
                <w:sz w:val="20"/>
                <w:szCs w:val="20"/>
                <w:color w:val="auto"/>
              </w:rPr>
            </w:pPr>
            <w:r>
              <w:rPr>
                <w:rFonts w:ascii="Arial" w:cs="Arial" w:eastAsia="Arial" w:hAnsi="Arial"/>
                <w:sz w:val="18"/>
                <w:szCs w:val="18"/>
                <w:color w:val="auto"/>
              </w:rPr>
              <w:t>(7)</w:t>
            </w:r>
          </w:p>
        </w:tc>
        <w:tc>
          <w:tcPr>
            <w:tcW w:w="1400" w:type="dxa"/>
            <w:vAlign w:val="bottom"/>
          </w:tcPr>
          <w:p>
            <w:pPr>
              <w:jc w:val="right"/>
              <w:ind w:right="236"/>
              <w:spacing w:after="0"/>
              <w:rPr>
                <w:sz w:val="20"/>
                <w:szCs w:val="20"/>
                <w:color w:val="auto"/>
              </w:rPr>
            </w:pPr>
            <w:r>
              <w:rPr>
                <w:rFonts w:ascii="Arial" w:cs="Arial" w:eastAsia="Arial" w:hAnsi="Arial"/>
                <w:sz w:val="18"/>
                <w:szCs w:val="18"/>
                <w:color w:val="auto"/>
              </w:rPr>
              <w:t>(29)</w:t>
            </w:r>
          </w:p>
        </w:tc>
        <w:tc>
          <w:tcPr>
            <w:tcW w:w="1580" w:type="dxa"/>
            <w:vAlign w:val="bottom"/>
          </w:tcPr>
          <w:p>
            <w:pPr>
              <w:jc w:val="right"/>
              <w:ind w:right="354"/>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1"/>
                <w:szCs w:val="21"/>
                <w:color w:val="auto"/>
              </w:rPr>
            </w:pPr>
          </w:p>
        </w:tc>
        <w:tc>
          <w:tcPr>
            <w:tcW w:w="600" w:type="dxa"/>
            <w:vAlign w:val="bottom"/>
          </w:tcPr>
          <w:p>
            <w:pPr>
              <w:jc w:val="right"/>
              <w:ind w:right="234"/>
              <w:spacing w:after="0"/>
              <w:rPr>
                <w:sz w:val="20"/>
                <w:szCs w:val="20"/>
                <w:color w:val="auto"/>
              </w:rPr>
            </w:pPr>
            <w:r>
              <w:rPr>
                <w:rFonts w:ascii="Arial" w:cs="Arial" w:eastAsia="Arial" w:hAnsi="Arial"/>
                <w:sz w:val="18"/>
                <w:szCs w:val="18"/>
                <w:color w:val="auto"/>
              </w:rPr>
              <w:t>(5)</w:t>
            </w:r>
          </w:p>
        </w:tc>
        <w:tc>
          <w:tcPr>
            <w:tcW w:w="1400" w:type="dxa"/>
            <w:vAlign w:val="bottom"/>
          </w:tcPr>
          <w:p>
            <w:pPr>
              <w:jc w:val="right"/>
              <w:ind w:right="216"/>
              <w:spacing w:after="0"/>
              <w:rPr>
                <w:sz w:val="20"/>
                <w:szCs w:val="20"/>
                <w:color w:val="auto"/>
              </w:rPr>
            </w:pPr>
            <w:r>
              <w:rPr>
                <w:rFonts w:ascii="Arial" w:cs="Arial" w:eastAsia="Arial" w:hAnsi="Arial"/>
                <w:sz w:val="18"/>
                <w:szCs w:val="18"/>
                <w:color w:val="auto"/>
              </w:rPr>
              <w:t>(30)</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(14)</w:t>
            </w:r>
          </w:p>
        </w:tc>
      </w:tr>
      <w:tr>
        <w:trPr>
          <w:trHeight w:val="24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8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4</w:t>
            </w: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8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34 %</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47 %</w:t>
            </w:r>
          </w:p>
        </w:tc>
        <w:tc>
          <w:tcPr>
            <w:tcW w:w="15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39 %</w:t>
            </w:r>
          </w:p>
        </w:tc>
        <w:tc>
          <w:tcPr>
            <w:tcW w:w="6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36 %</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67 %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r>
    </w:tbl>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U.S. for the three and nine months ended September 30, 2026, the volume increase was primarily driven by Zepbound and Mounjaro. In the U.S. for the three months ended September 30, 2026, the lower realized prices were primarily driven by Zepbound, partially offset by adjustments to estimates for rebates and discounts primarily driven by Mounjaro. In the U.S. for the nine months ended September 30, 2026, the lower realized prices were primarily driven by Zepbound and Mounjaro, partially offset by adjustments to estimates for rebates and discounts primarily driven by Mounjaro, Trulicity, and Zepbound.</w:t>
      </w:r>
    </w:p>
    <w:p>
      <w:pPr>
        <w:spacing w:after="0" w:line="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Outside the U.S. for the three and nine months ended September 30, 2026, the volume increase was driven by Mounjaro, and the lower realized prices were primarily driven by the inclusion of Mounjaro on the National Reimbursement Drug List (NRDL)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ind w:right="34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three months ended September 30,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420" w:type="dxa"/>
            <w:vAlign w:val="bottom"/>
          </w:tcPr>
          <w:p>
            <w:pPr>
              <w:spacing w:after="0"/>
              <w:rPr>
                <w:sz w:val="18"/>
                <w:szCs w:val="18"/>
                <w:color w:val="auto"/>
              </w:rPr>
            </w:pPr>
          </w:p>
        </w:tc>
      </w:tr>
      <w:tr>
        <w:trPr>
          <w:trHeight w:val="209"/>
        </w:trPr>
        <w:tc>
          <w:tcPr>
            <w:tcW w:w="4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38"/>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5,725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65</w:t>
            </w:r>
          </w:p>
        </w:tc>
      </w:tr>
      <w:tr>
        <w:trPr>
          <w:trHeight w:val="243"/>
        </w:trPr>
        <w:tc>
          <w:tcPr>
            <w:tcW w:w="4200" w:type="dxa"/>
            <w:vAlign w:val="bottom"/>
          </w:tcPr>
          <w:p>
            <w:pPr>
              <w:ind w:left="20"/>
              <w:spacing w:after="0" w:line="243" w:lineRule="exact"/>
              <w:rPr>
                <w:sz w:val="20"/>
                <w:szCs w:val="20"/>
                <w:color w:val="auto"/>
              </w:rPr>
            </w:pPr>
            <w:r>
              <w:rPr>
                <w:rFonts w:ascii="Arial" w:cs="Arial" w:eastAsia="Arial" w:hAnsi="Arial"/>
                <w:sz w:val="18"/>
                <w:szCs w:val="18"/>
                <w:color w:val="auto"/>
              </w:rPr>
              <w:t>Zepbound</w:t>
            </w:r>
            <w:r>
              <w:rPr>
                <w:rFonts w:ascii="Arial" w:cs="Arial" w:eastAsia="Arial" w:hAnsi="Arial"/>
                <w:sz w:val="23"/>
                <w:szCs w:val="23"/>
                <w:color w:val="auto"/>
                <w:vertAlign w:val="superscript"/>
              </w:rPr>
              <w:t>(1)</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5,267</w:t>
            </w:r>
          </w:p>
        </w:tc>
        <w:tc>
          <w:tcPr>
            <w:tcW w:w="22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86</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3,588</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9"/>
              </w:rPr>
              <w:t>49</w:t>
            </w:r>
          </w:p>
        </w:tc>
      </w:tr>
      <w:tr>
        <w:trPr>
          <w:trHeight w:val="243"/>
        </w:trPr>
        <w:tc>
          <w:tcPr>
            <w:tcW w:w="42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781</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796</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65</w:t>
            </w:r>
          </w:p>
        </w:tc>
      </w:tr>
      <w:tr>
        <w:trPr>
          <w:trHeight w:val="283"/>
        </w:trPr>
        <w:tc>
          <w:tcPr>
            <w:tcW w:w="4200" w:type="dxa"/>
            <w:vAlign w:val="bottom"/>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897</w:t>
            </w:r>
          </w:p>
        </w:tc>
        <w:tc>
          <w:tcPr>
            <w:tcW w:w="22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614</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1,470</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99"/>
              </w:rPr>
              <w:t>3</w:t>
            </w: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601</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302</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(14)</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539</w:t>
            </w:r>
          </w:p>
        </w:tc>
        <w:tc>
          <w:tcPr>
            <w:tcW w:w="22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316</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902</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99"/>
              </w:rPr>
              <w:t>(5)</w:t>
            </w: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2,052</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1,422</w:t>
            </w: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3,474</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12</w:t>
            </w:r>
          </w:p>
        </w:tc>
      </w:tr>
      <w:tr>
        <w:trPr>
          <w:trHeight w:val="244"/>
        </w:trPr>
        <w:tc>
          <w:tcPr>
            <w:tcW w:w="42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15,136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9,261</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24,397</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17,601</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9"/>
              </w:rPr>
              <w:t>39</w:t>
            </w:r>
          </w:p>
        </w:tc>
      </w:tr>
    </w:tbl>
    <w:p>
      <w:pPr>
        <w:spacing w:after="0" w:line="64"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Tirzepatide is marketed for obesity under the brand name Zepbound in Canada, Japan, and the U.S.</w:t>
      </w: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200" w:lineRule="exact"/>
        <w:rPr>
          <w:sz w:val="20"/>
          <w:szCs w:val="20"/>
          <w:color w:val="auto"/>
        </w:rPr>
      </w:pPr>
    </w:p>
    <w:p>
      <w:pPr>
        <w:spacing w:after="0" w:line="25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nine months ended September 30,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420" w:type="dxa"/>
            <w:vAlign w:val="bottom"/>
          </w:tcPr>
          <w:p>
            <w:pPr>
              <w:spacing w:after="0"/>
              <w:rPr>
                <w:sz w:val="18"/>
                <w:szCs w:val="18"/>
                <w:color w:val="auto"/>
              </w:rPr>
            </w:pPr>
          </w:p>
        </w:tc>
      </w:tr>
      <w:tr>
        <w:trPr>
          <w:trHeight w:val="209"/>
        </w:trPr>
        <w:tc>
          <w:tcPr>
            <w:tcW w:w="4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38"/>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15,306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89</w:t>
            </w:r>
          </w:p>
        </w:tc>
      </w:tr>
      <w:tr>
        <w:trPr>
          <w:trHeight w:val="243"/>
        </w:trPr>
        <w:tc>
          <w:tcPr>
            <w:tcW w:w="4200" w:type="dxa"/>
            <w:vAlign w:val="bottom"/>
          </w:tcPr>
          <w:p>
            <w:pPr>
              <w:ind w:left="20"/>
              <w:spacing w:after="0" w:line="243" w:lineRule="exact"/>
              <w:rPr>
                <w:sz w:val="20"/>
                <w:szCs w:val="20"/>
                <w:color w:val="auto"/>
              </w:rPr>
            </w:pPr>
            <w:r>
              <w:rPr>
                <w:rFonts w:ascii="Arial" w:cs="Arial" w:eastAsia="Arial" w:hAnsi="Arial"/>
                <w:sz w:val="18"/>
                <w:szCs w:val="18"/>
                <w:color w:val="auto"/>
              </w:rPr>
              <w:t>Zepbound</w:t>
            </w:r>
            <w:r>
              <w:rPr>
                <w:rFonts w:ascii="Arial" w:cs="Arial" w:eastAsia="Arial" w:hAnsi="Arial"/>
                <w:sz w:val="23"/>
                <w:szCs w:val="23"/>
                <w:color w:val="auto"/>
                <w:vertAlign w:val="superscript"/>
              </w:rPr>
              <w:t>(1)</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14,273</w:t>
            </w:r>
          </w:p>
        </w:tc>
        <w:tc>
          <w:tcPr>
            <w:tcW w:w="2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b w:val="1"/>
                <w:bCs w:val="1"/>
                <w:color w:val="auto"/>
              </w:rPr>
              <w:t>167</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9,281</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9"/>
              </w:rPr>
              <w:t>56</w:t>
            </w:r>
          </w:p>
        </w:tc>
      </w:tr>
      <w:tr>
        <w:trPr>
          <w:trHeight w:val="28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2,448</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1,838</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4</w:t>
            </w:r>
          </w:p>
        </w:tc>
      </w:tr>
      <w:tr>
        <w:trPr>
          <w:trHeight w:val="243"/>
        </w:trPr>
        <w:tc>
          <w:tcPr>
            <w:tcW w:w="4200" w:type="dxa"/>
            <w:vAlign w:val="bottom"/>
          </w:tcPr>
          <w:p>
            <w:pPr>
              <w:ind w:left="20"/>
              <w:spacing w:after="0" w:line="243"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(2)</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1,909</w:t>
            </w:r>
          </w:p>
        </w:tc>
        <w:tc>
          <w:tcPr>
            <w:tcW w:w="2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2,663</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9"/>
              </w:rPr>
              <w:t>47</w:t>
            </w: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2,109</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932</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1,495</w:t>
            </w:r>
          </w:p>
        </w:tc>
        <w:tc>
          <w:tcPr>
            <w:tcW w:w="2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b w:val="1"/>
                <w:bCs w:val="1"/>
                <w:color w:val="auto"/>
              </w:rPr>
              <w:t>949</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2,511</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99"/>
              </w:rPr>
              <w:t>(3)</w:t>
            </w: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5,411</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4,295</w:t>
            </w: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9,706</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14</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41,668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25,502</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67,170</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45,887</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9"/>
              </w:rPr>
              <w:t>46</w:t>
            </w:r>
          </w:p>
        </w:tc>
      </w:tr>
    </w:tbl>
    <w:p>
      <w:pPr>
        <w:spacing w:after="0" w:line="72"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Tirzepatide is marketed for obesity under the brand name Zepbound in Canada, Japan, and the U.S.</w:t>
      </w:r>
    </w:p>
    <w:p>
      <w:pPr>
        <w:spacing w:after="0" w:line="5"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of Mounjaro increased 41 percent and 47 percent in the U.S. during the three and nine months ended September 30, 2026, respectively, reflecting strong demand, partially offset by lower realized prices. Lower realized prices in the U.S. were partially offset by adjustments to estimates for rebates and discounts during the three and nine months ended September 30, 2026. Revenue of Mounjaro increased 93 percent and 153 percent outside the U.S. during the three and nine months ended September 30, 2026, respectively, primarily driven by volume growth, partially offset by lower realized prices driven by the inclusion of Mounjaro on the NRDL in China.</w:t>
      </w:r>
    </w:p>
    <w:p>
      <w:pPr>
        <w:spacing w:after="0" w:line="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Revenue of Zepbound increased 48 percent and 54 percent in the U.S. during the three and nine months ended September 30, 2026, respectively, primarily driven by strong demand, partially offset by lower realized prices. Lower realized prices were partially offset by adjustments to estimates for rebates and discounts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2026</w:t>
            </w:r>
          </w:p>
        </w:tc>
        <w:tc>
          <w:tcPr>
            <w:tcW w:w="440" w:type="dxa"/>
            <w:vAlign w:val="bottom"/>
          </w:tcPr>
          <w:p>
            <w:pPr>
              <w:spacing w:after="0"/>
              <w:rPr>
                <w:sz w:val="2"/>
                <w:szCs w:val="2"/>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9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2026</w:t>
            </w:r>
          </w:p>
        </w:tc>
        <w:tc>
          <w:tcPr>
            <w:tcW w:w="440" w:type="dxa"/>
            <w:vAlign w:val="bottom"/>
          </w:tcPr>
          <w:p>
            <w:pPr>
              <w:spacing w:after="0"/>
              <w:rPr>
                <w:sz w:val="2"/>
                <w:szCs w:val="2"/>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20,464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14,593</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56,392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38,207</w:t>
            </w:r>
          </w:p>
        </w:tc>
        <w:tc>
          <w:tcPr>
            <w:tcW w:w="9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89"/>
        </w:trPr>
        <w:tc>
          <w:tcPr>
            <w:tcW w:w="2900" w:type="dxa"/>
            <w:vAlign w:val="bottom"/>
          </w:tcPr>
          <w:p>
            <w:pPr>
              <w:ind w:left="20"/>
              <w:spacing w:after="0" w:line="189" w:lineRule="exact"/>
              <w:rPr>
                <w:sz w:val="20"/>
                <w:szCs w:val="20"/>
                <w:color w:val="auto"/>
              </w:rPr>
            </w:pPr>
            <w:r>
              <w:rPr>
                <w:rFonts w:ascii="Arial" w:cs="Arial" w:eastAsia="Arial" w:hAnsi="Arial"/>
                <w:sz w:val="18"/>
                <w:szCs w:val="18"/>
                <w:color w:val="auto"/>
              </w:rPr>
              <w:t>Gross margin as a percent of</w:t>
            </w:r>
          </w:p>
        </w:tc>
        <w:tc>
          <w:tcPr>
            <w:tcW w:w="260" w:type="dxa"/>
            <w:vAlign w:val="bottom"/>
          </w:tcPr>
          <w:p>
            <w:pPr>
              <w:spacing w:after="0"/>
              <w:rPr>
                <w:sz w:val="16"/>
                <w:szCs w:val="16"/>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83.9 %</w:t>
            </w:r>
          </w:p>
        </w:tc>
        <w:tc>
          <w:tcPr>
            <w:tcW w:w="4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82.9 %</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84.0 %</w:t>
            </w:r>
          </w:p>
        </w:tc>
        <w:tc>
          <w:tcPr>
            <w:tcW w:w="4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83.3 %</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4,247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3,466</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11,576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9,536</w:t>
            </w:r>
          </w:p>
        </w:tc>
        <w:tc>
          <w:tcPr>
            <w:tcW w:w="9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189"/>
        </w:trPr>
        <w:tc>
          <w:tcPr>
            <w:tcW w:w="2900" w:type="dxa"/>
            <w:vAlign w:val="bottom"/>
          </w:tcPr>
          <w:p>
            <w:pPr>
              <w:ind w:left="20"/>
              <w:spacing w:after="0" w:line="189" w:lineRule="exact"/>
              <w:rPr>
                <w:sz w:val="20"/>
                <w:szCs w:val="20"/>
                <w:color w:val="auto"/>
              </w:rPr>
            </w:pPr>
            <w:r>
              <w:rPr>
                <w:rFonts w:ascii="Arial" w:cs="Arial" w:eastAsia="Arial" w:hAnsi="Arial"/>
                <w:sz w:val="18"/>
                <w:szCs w:val="18"/>
                <w:color w:val="auto"/>
              </w:rPr>
              <w:t>Marketing, selling, and</w:t>
            </w:r>
          </w:p>
        </w:tc>
        <w:tc>
          <w:tcPr>
            <w:tcW w:w="260" w:type="dxa"/>
            <w:vAlign w:val="bottom"/>
          </w:tcPr>
          <w:p>
            <w:pPr>
              <w:spacing w:after="0"/>
              <w:rPr>
                <w:sz w:val="16"/>
                <w:szCs w:val="16"/>
                <w:color w:val="auto"/>
              </w:rPr>
            </w:pPr>
          </w:p>
        </w:tc>
        <w:tc>
          <w:tcPr>
            <w:tcW w:w="1380" w:type="dxa"/>
            <w:vAlign w:val="bottom"/>
            <w:vMerge w:val="restart"/>
          </w:tcPr>
          <w:p>
            <w:pPr>
              <w:jc w:val="right"/>
              <w:ind w:right="234"/>
              <w:spacing w:after="0"/>
              <w:rPr>
                <w:sz w:val="20"/>
                <w:szCs w:val="20"/>
                <w:color w:val="auto"/>
              </w:rPr>
            </w:pPr>
            <w:r>
              <w:rPr>
                <w:rFonts w:ascii="Arial" w:cs="Arial" w:eastAsia="Arial" w:hAnsi="Arial"/>
                <w:sz w:val="18"/>
                <w:szCs w:val="18"/>
                <w:b w:val="1"/>
                <w:bCs w:val="1"/>
                <w:color w:val="auto"/>
              </w:rPr>
              <w:t>3,125</w:t>
            </w:r>
          </w:p>
        </w:tc>
        <w:tc>
          <w:tcPr>
            <w:tcW w:w="440" w:type="dxa"/>
            <w:vAlign w:val="bottom"/>
          </w:tcPr>
          <w:p>
            <w:pPr>
              <w:spacing w:after="0"/>
              <w:rPr>
                <w:sz w:val="16"/>
                <w:szCs w:val="16"/>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2,741</w:t>
            </w:r>
          </w:p>
        </w:tc>
        <w:tc>
          <w:tcPr>
            <w:tcW w:w="900" w:type="dxa"/>
            <w:vAlign w:val="bottom"/>
            <w:vMerge w:val="restart"/>
          </w:tcPr>
          <w:p>
            <w:pPr>
              <w:jc w:val="right"/>
              <w:ind w:right="195"/>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6"/>
                <w:szCs w:val="16"/>
                <w:color w:val="auto"/>
              </w:rPr>
            </w:pPr>
          </w:p>
        </w:tc>
        <w:tc>
          <w:tcPr>
            <w:tcW w:w="134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rPr>
              <w:t>9,489</w:t>
            </w:r>
          </w:p>
        </w:tc>
        <w:tc>
          <w:tcPr>
            <w:tcW w:w="440" w:type="dxa"/>
            <w:vAlign w:val="bottom"/>
          </w:tcPr>
          <w:p>
            <w:pPr>
              <w:spacing w:after="0"/>
              <w:rPr>
                <w:sz w:val="16"/>
                <w:szCs w:val="16"/>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7,963</w:t>
            </w:r>
          </w:p>
        </w:tc>
        <w:tc>
          <w:tcPr>
            <w:tcW w:w="920" w:type="dxa"/>
            <w:vAlign w:val="bottom"/>
            <w:vMerge w:val="restart"/>
          </w:tcPr>
          <w:p>
            <w:pPr>
              <w:jc w:val="center"/>
              <w:ind w:left="35"/>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4,181</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656</w:t>
            </w:r>
          </w:p>
        </w:tc>
        <w:tc>
          <w:tcPr>
            <w:tcW w:w="90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7,541</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2,381</w:t>
            </w:r>
          </w:p>
        </w:tc>
        <w:tc>
          <w:tcPr>
            <w:tcW w:w="9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189"/>
        </w:trPr>
        <w:tc>
          <w:tcPr>
            <w:tcW w:w="2900" w:type="dxa"/>
            <w:vAlign w:val="bottom"/>
          </w:tcPr>
          <w:p>
            <w:pPr>
              <w:ind w:left="20"/>
              <w:spacing w:after="0" w:line="189" w:lineRule="exact"/>
              <w:rPr>
                <w:sz w:val="20"/>
                <w:szCs w:val="20"/>
                <w:color w:val="auto"/>
              </w:rPr>
            </w:pPr>
            <w:r>
              <w:rPr>
                <w:rFonts w:ascii="Arial" w:cs="Arial" w:eastAsia="Arial" w:hAnsi="Arial"/>
                <w:sz w:val="18"/>
                <w:szCs w:val="18"/>
                <w:color w:val="auto"/>
              </w:rPr>
              <w:t>Asset impairment, restructuring,</w:t>
            </w:r>
          </w:p>
        </w:tc>
        <w:tc>
          <w:tcPr>
            <w:tcW w:w="260" w:type="dxa"/>
            <w:vAlign w:val="bottom"/>
          </w:tcPr>
          <w:p>
            <w:pPr>
              <w:spacing w:after="0"/>
              <w:rPr>
                <w:sz w:val="16"/>
                <w:szCs w:val="16"/>
                <w:color w:val="auto"/>
              </w:rPr>
            </w:pPr>
          </w:p>
        </w:tc>
        <w:tc>
          <w:tcPr>
            <w:tcW w:w="1380" w:type="dxa"/>
            <w:vAlign w:val="bottom"/>
            <w:vMerge w:val="restart"/>
          </w:tcPr>
          <w:p>
            <w:pPr>
              <w:jc w:val="right"/>
              <w:ind w:right="234"/>
              <w:spacing w:after="0"/>
              <w:rPr>
                <w:sz w:val="20"/>
                <w:szCs w:val="20"/>
                <w:color w:val="auto"/>
              </w:rPr>
            </w:pPr>
            <w:r>
              <w:rPr>
                <w:rFonts w:ascii="Arial" w:cs="Arial" w:eastAsia="Arial" w:hAnsi="Arial"/>
                <w:sz w:val="18"/>
                <w:szCs w:val="18"/>
                <w:b w:val="1"/>
                <w:bCs w:val="1"/>
                <w:color w:val="auto"/>
              </w:rPr>
              <w:t>303</w:t>
            </w:r>
          </w:p>
        </w:tc>
        <w:tc>
          <w:tcPr>
            <w:tcW w:w="440" w:type="dxa"/>
            <w:vAlign w:val="bottom"/>
          </w:tcPr>
          <w:p>
            <w:pPr>
              <w:spacing w:after="0"/>
              <w:rPr>
                <w:sz w:val="16"/>
                <w:szCs w:val="16"/>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365</w:t>
            </w:r>
          </w:p>
        </w:tc>
        <w:tc>
          <w:tcPr>
            <w:tcW w:w="900" w:type="dxa"/>
            <w:vAlign w:val="bottom"/>
            <w:vMerge w:val="restart"/>
          </w:tcPr>
          <w:p>
            <w:pPr>
              <w:jc w:val="right"/>
              <w:ind w:right="135"/>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6"/>
                <w:szCs w:val="16"/>
                <w:color w:val="auto"/>
              </w:rPr>
            </w:pPr>
          </w:p>
        </w:tc>
        <w:tc>
          <w:tcPr>
            <w:tcW w:w="134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rPr>
              <w:t>1,285</w:t>
            </w:r>
          </w:p>
        </w:tc>
        <w:tc>
          <w:tcPr>
            <w:tcW w:w="440" w:type="dxa"/>
            <w:vAlign w:val="bottom"/>
          </w:tcPr>
          <w:p>
            <w:pPr>
              <w:spacing w:after="0"/>
              <w:rPr>
                <w:sz w:val="16"/>
                <w:szCs w:val="16"/>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400</w:t>
            </w:r>
          </w:p>
        </w:tc>
        <w:tc>
          <w:tcPr>
            <w:tcW w:w="920" w:type="dxa"/>
            <w:vAlign w:val="bottom"/>
            <w:vMerge w:val="restart"/>
          </w:tcPr>
          <w:p>
            <w:pPr>
              <w:jc w:val="center"/>
              <w:ind w:left="35"/>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and other special charges</w:t>
            </w:r>
          </w:p>
        </w:tc>
        <w:tc>
          <w:tcPr>
            <w:tcW w:w="2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1,955</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1,650</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5,561</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3,463</w:t>
            </w:r>
          </w:p>
        </w:tc>
        <w:tc>
          <w:tcPr>
            <w:tcW w:w="9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255"/>
        </w:trPr>
        <w:tc>
          <w:tcPr>
            <w:tcW w:w="29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23.3 %</w:t>
            </w:r>
          </w:p>
        </w:tc>
        <w:tc>
          <w:tcPr>
            <w:tcW w:w="4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22.8 %</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21.0 %</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19.8 %</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Gross margin as a percent of revenue increased 1.0 percentage point and 0.7 percentage points for the three and nine months ended September 30, 2026, respectively, primarily driven by improved cost of production and favorable product mix, partially offset by lower realized prices.</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Research and development expenses increased 23 percent and 21 percent for the three and nine months ended September 30, 2026, respectively, driven by continued investments in our early and late-stage portfolio.</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Marketing, selling, and administrative expenses increased 14 percent and 19 percent for the three and nine months ended September 30, 2026, respectively, primarily driven by promotional efforts supporting ongoing and planned launches.</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Acquired IPR&amp;D charges for the three months ended September 30, 2026 were primarily related to the acquisitions of AtaiBeckley and Curevo. Acquired IPR&amp;D charges for the nine months ended September 30, 2026 were primarily related to the acquisitions of AtaiBeckley, Orna, Curevo, and Ajax. Acquired IPR&amp;D charges for the three months ended September 30, 2025 were primarily related to the acquisition of SiteOne. Acquired IPR&amp;D charges for the nine months ended September 30, 2025 were primarily related to the acquisitions of Scorpion's PI3Kα inhibitor program STX-478 and of SiteOne. See Note 4 to the consolidated condensed financial statements for additional information.</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 impairment, restructuring, and other special charges for the three and nine months ended September 30, 2026 included a partial impairment of an intangible asset associated with a molecule in development. Asset impairment, restructuring, and other special charges for the nine months ended September 30, 2026 and for the three and nine months ended September 30, 2025 included charges related to acquisition and integration costs associated with the closing of our acquisitions and charges related to litigation matters. See Note 4 and Note 9 to the consolidated condensed financial statements for additional information.</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effective tax rates were 23.3 percent and 21.0 percent for the three and nine months ended September 30, 2026, respectively, compared to 22.8 percent and 19.8 percent for the three and nine months ended September 30, 2025, respectively, primarily driven by the unfavorable tax impact of nondeductible acquired IPR&amp;D charges, with a larger impact occurring in 2026. The 2025 effective tax rates were also unfavorably impacted by U.S. tax law changes.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12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2025.</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making investments in global facilities to manufacture existing and future products. These investments, and other capital investments that support our operations, have increased our capital expenditures and will result in higher capital expenditures in the near term.</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and cash equivalents decreased to $ 4.9 billion as of September 30, 2026, compared with $7.3 billion as of December 31, 2025. Refer to the consolidated condensed statements of cash flows for additional information on the significant sources and uses of cash for the nine months ended September 30, 2026 and 2025.</w:t>
      </w:r>
    </w:p>
    <w:p>
      <w:pPr>
        <w:spacing w:after="0" w:line="6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$4.1 billion and $2.9 billion as of September 30, 2026 and December 31, 2025, respectively. As of September 30, 2026, we had approximately $ 862 million of unfunded commitments to invest in venture capital funds, which we anticipate will be paid over a period of up to 10 years. See Note 8 to the consolidated condensed financial statements for additional information.</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May 2026, we issued long-term debt totaling $9.0 billion and used the net cash proceeds from this offering for general corporate purposes, including the repayment of outstanding commercial paper and the funding of a portion of the upfront cash consideration and related fees and expenses payable in connection with our acquisitions of Centessa and Kelonia. See Note 8 to the consolidated condensed financial statements for additional information.</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nine months ended September 30, 2026, we paid $18.2 billion related to business development activity, primarily driven by the acquisitions of Centessa, Kelonia, AtaiBeckley, Orna, Ventyx, Curevo, and Ajax. In October 2026, we acquired Merida for up to $2.9 billion in aggregate, inclusive of an upfront payment and additional potential payments based upon the achievement of certain clinical and regulatory milestones. See Note 4 to the consolidated condensed financial statements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total debt was $49.5 billion, an increase of $7.0 billion compared with $42.5 billion as of December 31, 2025.</w:t>
      </w:r>
    </w:p>
    <w:p>
      <w:pPr>
        <w:spacing w:after="0" w:line="11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As of September 30, 2026, we had a total of $10.1 billion of unused committed bank credit facilities, $10.0 billion of which is available to support our commercial paper program. See Note 8 to the consolidated condensed financial statements for additional information. We believe that amounts accessible through existing commercial paper markets or other sources should be adequate to fund short-term borrowing needs.</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During the nine months ended September 30, 2026, we repurchased $4.3 billion of shares under our $15.0 billion share repurchase program authorized in December 2024. As of September 30, 2026, we had $6.6 billion remaining under this program.</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nine months ended September 30, 2026, we paid dividends of $4.6 billion, or $5.19 per share, to our shareholders. In October 2026, we declared a dividend for the fourth quarter of 2026 of $1.73 per share of outstanding common stock. The dividend of approximately $1.5 billion is payable on December 10, 2026 to shareholders of record at the close of business on November 13, 2026.</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17"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2025.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Quarterly Report on Form 10-Q.</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5" w:lineRule="exact"/>
        <w:rPr>
          <w:sz w:val="20"/>
          <w:szCs w:val="20"/>
          <w:color w:val="auto"/>
        </w:rPr>
      </w:pPr>
    </w:p>
    <w:p>
      <w:pPr>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5" w:lineRule="exact"/>
        <w:rPr>
          <w:sz w:val="20"/>
          <w:szCs w:val="20"/>
          <w:color w:val="auto"/>
        </w:rPr>
      </w:pPr>
    </w:p>
    <w:p>
      <w:pPr>
        <w:ind w:left="660" w:right="20" w:hanging="652"/>
        <w:spacing w:after="0" w:line="259"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1" w:lineRule="exact"/>
        <w:rPr>
          <w:rFonts w:ascii="Arial" w:cs="Arial" w:eastAsia="Arial" w:hAnsi="Arial"/>
          <w:sz w:val="18"/>
          <w:szCs w:val="18"/>
          <w:color w:val="auto"/>
        </w:rPr>
      </w:pPr>
    </w:p>
    <w:p>
      <w:pPr>
        <w:ind w:left="660" w:right="2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Lucas Montarce,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2025) as of September 30, 2026, and concluded that they were effective.</w:t>
      </w:r>
    </w:p>
    <w:p>
      <w:pPr>
        <w:spacing w:after="0" w:line="44" w:lineRule="exact"/>
        <w:rPr>
          <w:rFonts w:ascii="Arial" w:cs="Arial" w:eastAsia="Arial" w:hAnsi="Arial"/>
          <w:sz w:val="17"/>
          <w:szCs w:val="17"/>
          <w:color w:val="auto"/>
        </w:rPr>
      </w:pPr>
    </w:p>
    <w:p>
      <w:pPr>
        <w:ind w:left="660" w:right="120" w:hanging="652"/>
        <w:spacing w:after="0" w:line="287"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During the third quarter of 2026,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32" w:name="page33"/>
    <w:bookmarkEnd w:id="32"/>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99" w:lineRule="exact"/>
        <w:rPr>
          <w:sz w:val="20"/>
          <w:szCs w:val="20"/>
          <w:color w:val="auto"/>
        </w:rPr>
      </w:pPr>
    </w:p>
    <w:p>
      <w:pPr>
        <w:ind w:right="42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1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2025.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September 30, 2026: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4"/>
                <w:szCs w:val="14"/>
                <w:color w:val="auto"/>
              </w:rPr>
            </w:pP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2"/>
                <w:szCs w:val="12"/>
                <w:color w:val="auto"/>
              </w:rPr>
            </w:pPr>
          </w:p>
        </w:tc>
        <w:tc>
          <w:tcPr>
            <w:tcW w:w="2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Average Price Paid</w:t>
            </w:r>
          </w:p>
        </w:tc>
        <w:tc>
          <w:tcPr>
            <w:tcW w:w="2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2"/>
                <w:szCs w:val="12"/>
                <w:color w:val="auto"/>
              </w:rPr>
            </w:pPr>
          </w:p>
        </w:tc>
        <w:tc>
          <w:tcPr>
            <w:tcW w:w="222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2"/>
                <w:szCs w:val="12"/>
                <w:color w:val="auto"/>
              </w:rPr>
            </w:pP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per Share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2026</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1,168.21</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August 2026</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1,188.97</w:t>
            </w:r>
          </w:p>
        </w:tc>
        <w:tc>
          <w:tcPr>
            <w:tcW w:w="22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1,161.39</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21"/>
                <w:szCs w:val="21"/>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44"/>
        </w:trPr>
        <w:tc>
          <w:tcPr>
            <w:tcW w:w="274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21"/>
                <w:szCs w:val="21"/>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1,167.99</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During the three months ended September 30, 2026, we repurchased $374 million of shares under our $15.0 billion share repurchase program that our board authorized in December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September 3, 2026, Ilya Yuffa, executive vice president and president Lilly USA and Global Customer Capabilities, adopted a sales plan (Yuffa Plan). The Yuffa Plan provides for the sale of up to 1,000 shares of company common stock and expires on February 10, 2027, subject to earlier termination in accordance with its terms.</w:t>
      </w:r>
    </w:p>
    <w:p>
      <w:pPr>
        <w:spacing w:after="0" w:line="6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On September 8, 2026, Jacob Van Naarden, executive vice president, president of Lilly Oncology and head of corporate business development, adopted a sales plan (Van Naarden Plan). The Van Naarden Plan provides for the sale of up to 7,064 shares of company common stock and expires on February 10, 2027, subject to earlier termination in accordance with its terms.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On September 8, 2026, Anat Hakim, executive vice president, general counsel and secretary, adopted a sales plan (Hakim Plan). The Hakim Plan provides for the sale of up to 22,591 shares of company common stock and expires on February 10, 2027, subject to earlier termination in accordance with its terms.</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September 14, 2026, Edgardo Hernandez, executive vice president and president, manufacturing operations, adopted a sales plan (Hernandez Plan). The Hernandez Plan provides for the sale of up to 1,350 shares of company common stock and expires on February 9, 2028, subject to earlier termination in accordance with its terms.</w:t>
      </w:r>
    </w:p>
    <w:p>
      <w:pPr>
        <w:spacing w:after="0" w:line="6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Each of the above described plans was entered into during an open trading window and is intended to satisfy the affirmative defense conditions of Rule 10b5-1(c) of the Exchange Act of 1934 and our policies regarding trading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19"/>
                <w:szCs w:val="19"/>
                <w:color w:val="auto"/>
              </w:rPr>
            </w:pPr>
          </w:p>
        </w:tc>
        <w:tc>
          <w:tcPr>
            <w:tcW w:w="9380" w:type="dxa"/>
            <w:vAlign w:val="bottom"/>
            <w:gridSpan w:val="9"/>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Articles of Incorporation,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r:id="rId50">
              <w:r>
                <w:rPr>
                  <w:rFonts w:ascii="Arial" w:cs="Arial" w:eastAsia="Arial" w:hAnsi="Arial"/>
                  <w:sz w:val="18"/>
                  <w:szCs w:val="18"/>
                  <w:color w:val="0000FF"/>
                </w:rPr>
                <w:t>Bylaws, as amended, incorporated by reference to Exhibit 3.2 to the Company's Current Report on Form 8-K filed on</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May 4, 2022</w:t>
              </w:r>
            </w:hyperlink>
          </w:p>
        </w:tc>
        <w:tc>
          <w:tcPr>
            <w:tcW w:w="826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Rule 13a-14(a) Certification of David Ricks, Chair, President, and Chief Executive Officer*</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c>
          <w:tcPr>
            <w:tcW w:w="8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Lucas Montarce, Executive Vice President and Chief Financial Officer*</w:t>
            </w:r>
          </w:p>
        </w:tc>
        <w:tc>
          <w:tcPr>
            <w:tcW w:w="1320" w:type="dxa"/>
            <w:vAlign w:val="bottom"/>
            <w:gridSpan w:val="3"/>
          </w:tcPr>
          <w:p>
            <w:pPr>
              <w:spacing w:after="0"/>
              <w:rPr>
                <w:sz w:val="24"/>
                <w:szCs w:val="24"/>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Section 1350 Certification*</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r>
      <w:tr>
        <w:trPr>
          <w:trHeight w:val="362"/>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338"/>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04"/>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ELI LILLY AND COMPANY</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20"/>
        <w:spacing w:after="0"/>
        <w:tabs>
          <w:tab w:leader="none" w:pos="660" w:val="left"/>
          <w:tab w:leader="none" w:pos="2740" w:val="left"/>
        </w:tabs>
        <w:rPr>
          <w:sz w:val="20"/>
          <w:szCs w:val="20"/>
          <w:color w:val="auto"/>
        </w:rPr>
      </w:pPr>
      <w:r>
        <w:rPr>
          <w:rFonts w:ascii="Arial" w:cs="Arial" w:eastAsia="Arial" w:hAnsi="Arial"/>
          <w:sz w:val="18"/>
          <w:szCs w:val="18"/>
          <w:color w:val="auto"/>
        </w:rPr>
        <w:t>Date:</w:t>
        <w:tab/>
        <w:t>October 29, 2026</w:t>
      </w:r>
      <w:r>
        <w:rPr>
          <w:sz w:val="20"/>
          <w:szCs w:val="20"/>
          <w:color w:val="auto"/>
        </w:rPr>
        <w:tab/>
      </w:r>
      <w:r>
        <w:rPr>
          <w:rFonts w:ascii="Arial" w:cs="Arial" w:eastAsia="Arial" w:hAnsi="Arial"/>
          <w:sz w:val="17"/>
          <w:szCs w:val="17"/>
          <w:color w:val="auto"/>
        </w:rPr>
        <w:t>/s/ Lucas Montarce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17780</wp:posOffset>
            </wp:positionV>
            <wp:extent cx="53917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3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Lucas Montarce</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20"/>
        <w:spacing w:after="0"/>
        <w:tabs>
          <w:tab w:leader="none" w:pos="660" w:val="left"/>
          <w:tab w:leader="none" w:pos="2740" w:val="left"/>
        </w:tabs>
        <w:rPr>
          <w:sz w:val="20"/>
          <w:szCs w:val="20"/>
          <w:color w:val="auto"/>
        </w:rPr>
      </w:pPr>
      <w:r>
        <w:rPr>
          <w:rFonts w:ascii="Arial" w:cs="Arial" w:eastAsia="Arial" w:hAnsi="Arial"/>
          <w:sz w:val="18"/>
          <w:szCs w:val="18"/>
          <w:color w:val="auto"/>
        </w:rPr>
        <w:t>Date:</w:t>
        <w:tab/>
        <w:t>October 29, 2026</w:t>
      </w:r>
      <w:r>
        <w:rPr>
          <w:sz w:val="20"/>
          <w:szCs w:val="20"/>
          <w:color w:val="auto"/>
        </w:rPr>
        <w:tab/>
      </w:r>
      <w:r>
        <w:rPr>
          <w:rFonts w:ascii="Arial" w:cs="Arial" w:eastAsia="Arial" w:hAnsi="Arial"/>
          <w:sz w:val="18"/>
          <w:szCs w:val="18"/>
          <w:color w:val="auto"/>
        </w:rPr>
        <w:t>/s/ Donald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17780</wp:posOffset>
            </wp:positionV>
            <wp:extent cx="53917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3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Donald Zakrowski</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Senior Vice President, Finance,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00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00" w:hanging="332"/>
        <w:spacing w:after="0" w:line="31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October 29, 2026</w:t>
      </w:r>
    </w:p>
    <w:p>
      <w:pPr>
        <w:spacing w:after="0" w:line="30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3686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Ricks</w:t>
      </w:r>
    </w:p>
    <w:p>
      <w:pPr>
        <w:spacing w:after="0" w:line="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 President, and Chief Executive Officer</w:t>
      </w:r>
    </w:p>
    <w:p>
      <w:pPr>
        <w:sectPr>
          <w:pgSz w:w="11900" w:h="16838" w:orient="portrait"/>
          <w:cols w:equalWidth="0" w:num="1">
            <w:col w:w="11220"/>
          </w:cols>
          <w:pgMar w:left="320" w:top="105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31.2 Rule 13a-14(a) Certification of Lucas Montarce,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Lucas Montarce, Executive Vice President and Chief Financial Officer, certify that:</w:t>
      </w:r>
    </w:p>
    <w:p>
      <w:pPr>
        <w:spacing w:after="0" w:line="17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00" w:hanging="332"/>
        <w:spacing w:after="0" w:line="318"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October 29, 2026</w:t>
      </w:r>
    </w:p>
    <w:p>
      <w:pPr>
        <w:spacing w:after="0" w:line="30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Lucas Montarce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3686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Lucas Montarce</w:t>
      </w:r>
    </w:p>
    <w:p>
      <w:pPr>
        <w:spacing w:after="0" w:line="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20"/>
          </w:cols>
          <w:pgMar w:left="320" w:top="114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Quarterly Report on Form 10-Q for the quarter ended September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92" w:lineRule="exact"/>
        <w:rPr>
          <w:sz w:val="20"/>
          <w:szCs w:val="20"/>
          <w:color w:val="auto"/>
        </w:rPr>
      </w:pPr>
    </w:p>
    <w:p>
      <w:pPr>
        <w:ind w:left="20"/>
        <w:spacing w:after="0"/>
        <w:tabs>
          <w:tab w:leader="none" w:pos="660" w:val="left"/>
          <w:tab w:leader="none" w:pos="5820" w:val="left"/>
        </w:tabs>
        <w:rPr>
          <w:sz w:val="20"/>
          <w:szCs w:val="20"/>
          <w:color w:val="auto"/>
        </w:rPr>
      </w:pPr>
      <w:r>
        <w:rPr>
          <w:rFonts w:ascii="Arial" w:cs="Arial" w:eastAsia="Arial" w:hAnsi="Arial"/>
          <w:sz w:val="18"/>
          <w:szCs w:val="18"/>
          <w:color w:val="auto"/>
        </w:rPr>
        <w:t>Date:</w:t>
        <w:tab/>
        <w:t>October 29, 2026</w:t>
      </w:r>
      <w:r>
        <w:rPr>
          <w:sz w:val="20"/>
          <w:szCs w:val="20"/>
          <w:color w:val="auto"/>
        </w:rPr>
        <w:tab/>
      </w:r>
      <w:r>
        <w:rPr>
          <w:rFonts w:ascii="Arial" w:cs="Arial" w:eastAsia="Arial" w:hAnsi="Arial"/>
          <w:sz w:val="18"/>
          <w:szCs w:val="18"/>
          <w:color w:val="auto"/>
        </w:rPr>
        <w:t>/s/ 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David Ricks</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660" w:val="left"/>
          <w:tab w:leader="none" w:pos="5820" w:val="left"/>
        </w:tabs>
        <w:rPr>
          <w:sz w:val="20"/>
          <w:szCs w:val="20"/>
          <w:color w:val="auto"/>
        </w:rPr>
      </w:pPr>
      <w:r>
        <w:rPr>
          <w:rFonts w:ascii="Arial" w:cs="Arial" w:eastAsia="Arial" w:hAnsi="Arial"/>
          <w:sz w:val="18"/>
          <w:szCs w:val="18"/>
          <w:color w:val="auto"/>
        </w:rPr>
        <w:t>Date:</w:t>
        <w:tab/>
        <w:t>October 29, 2026</w:t>
      </w:r>
      <w:r>
        <w:rPr>
          <w:sz w:val="20"/>
          <w:szCs w:val="20"/>
          <w:color w:val="auto"/>
        </w:rPr>
        <w:tab/>
      </w:r>
      <w:r>
        <w:rPr>
          <w:rFonts w:ascii="Arial" w:cs="Arial" w:eastAsia="Arial" w:hAnsi="Arial"/>
          <w:sz w:val="17"/>
          <w:szCs w:val="17"/>
          <w:color w:val="auto"/>
        </w:rPr>
        <w:t>/s/ Lucas Montarce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Lucas Montarce</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160"/>
      </w:cols>
      <w:pgMar w:left="320" w:top="105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15" Type="http://schemas.openxmlformats.org/officeDocument/2006/relationships/hyperlink" Target="https://www.sec.gov/Archives/edgar/data/59478/000005947826000013/lly-20251231.htm" TargetMode="External"/><Relationship Id="rId49" Type="http://schemas.openxmlformats.org/officeDocument/2006/relationships/hyperlink" Target="https://www.sec.gov/Archives/edgar/data/59478/000005947822000138/articlesofincorporationlly.htm" TargetMode="External"/><Relationship Id="rId50"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2026-10-29T10:40:25Z</dcterms:created>
  <dcterms:modified xsi:type="dcterms:W3CDTF">2026-10-29T10:40:25Z</dcterms:modified>
</cp:coreProperties>
</file>