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8"/>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Lilly Corporate Center, Indianapolis, Indiana 46285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(317) 276-2000</w:t>
      </w:r>
    </w:p>
    <w:p>
      <w:pPr>
        <w:spacing w:after="0" w:line="302" w:lineRule="exact"/>
        <w:rPr>
          <w:sz w:val="24"/>
          <w:szCs w:val="24"/>
          <w:color w:val="auto"/>
        </w:rPr>
      </w:pPr>
    </w:p>
    <w:p>
      <w:pPr>
        <w:ind w:right="80"/>
        <w:spacing w:after="0" w:line="242"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180"/>
        <w:spacing w:after="0" w:line="24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 “large accelerated filer,” “accelerated filer,” “smaller reporting company,” and "emerging growth company" in Rule 12b-2 of the Exchange Act.</w:t>
      </w:r>
    </w:p>
    <w:p>
      <w:pPr>
        <w:sectPr>
          <w:pgSz w:w="11900" w:h="16838" w:orient="portrait"/>
          <w:cols w:equalWidth="0" w:num="1">
            <w:col w:w="11420"/>
          </w:cols>
          <w:pgMar w:left="240" w:top="1135" w:right="239" w:bottom="1440" w:gutter="0" w:footer="0" w:header="0"/>
        </w:sectPr>
      </w:pPr>
    </w:p>
    <w:p>
      <w:pPr>
        <w:spacing w:after="0" w:line="228" w:lineRule="exact"/>
        <w:rPr>
          <w:sz w:val="24"/>
          <w:szCs w:val="24"/>
          <w:color w:val="auto"/>
        </w:rPr>
      </w:pPr>
    </w:p>
    <w:p>
      <w:pPr>
        <w:ind w:left="7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2380" w:space="60"/>
            <w:col w:w="6860" w:space="720"/>
            <w:col w:w="1160" w:space="60"/>
            <w:col w:w="180"/>
          </w:cols>
          <w:pgMar w:left="240" w:top="1135" w:right="239" w:bottom="1440" w:gutter="0" w:footer="0" w:header="0"/>
          <w:type w:val="continuous"/>
        </w:sectPr>
      </w:pPr>
    </w:p>
    <w:p>
      <w:pPr>
        <w:spacing w:after="0" w:line="55" w:lineRule="exact"/>
        <w:rPr>
          <w:sz w:val="24"/>
          <w:szCs w:val="24"/>
          <w:color w:val="auto"/>
        </w:rPr>
      </w:pPr>
    </w:p>
    <w:p>
      <w:pPr>
        <w:ind w:left="8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2380" w:space="60"/>
            <w:col w:w="6080" w:space="720"/>
            <w:col w:w="1940" w:space="60"/>
            <w:col w:w="180"/>
          </w:cols>
          <w:pgMar w:left="240" w:top="1135" w:right="239" w:bottom="1440" w:gutter="0" w:footer="0" w:header="0"/>
          <w:type w:val="continuous"/>
        </w:sectPr>
      </w:pPr>
    </w:p>
    <w:p>
      <w:pPr>
        <w:spacing w:after="0" w:line="55" w:lineRule="exact"/>
        <w:rPr>
          <w:sz w:val="24"/>
          <w:szCs w:val="24"/>
          <w:color w:val="auto"/>
        </w:rPr>
      </w:pPr>
    </w:p>
    <w:p>
      <w:pPr>
        <w:ind w:left="924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2" w:lineRule="exact"/>
        <w:rPr>
          <w:sz w:val="24"/>
          <w:szCs w:val="24"/>
          <w:color w:val="auto"/>
        </w:rPr>
      </w:pPr>
    </w:p>
    <w:p>
      <w:pPr>
        <w:sectPr>
          <w:pgSz w:w="11900" w:h="16838" w:orient="portrait"/>
          <w:cols w:equalWidth="0" w:num="2">
            <w:col w:w="11180" w:space="60"/>
            <w:col w:w="180"/>
          </w:cols>
          <w:pgMar w:left="240" w:top="1135" w:right="239" w:bottom="1440" w:gutter="0" w:footer="0" w:header="0"/>
          <w:type w:val="continuous"/>
        </w:sect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7"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outstanding as of October 21, 2019:</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jc w:val="center"/>
              <w:ind w:right="2320"/>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740" w:type="dxa"/>
            <w:vAlign w:val="bottom"/>
            <w:gridSpan w:val="4"/>
          </w:tcPr>
          <w:p>
            <w:pPr>
              <w:jc w:val="center"/>
              <w:ind w:right="2800"/>
              <w:spacing w:after="0"/>
              <w:rPr>
                <w:sz w:val="20"/>
                <w:szCs w:val="20"/>
                <w:color w:val="auto"/>
              </w:rPr>
            </w:pPr>
            <w:r>
              <w:rPr>
                <w:rFonts w:ascii="Arial" w:cs="Arial" w:eastAsia="Arial" w:hAnsi="Arial"/>
                <w:sz w:val="18"/>
                <w:szCs w:val="18"/>
                <w:color w:val="auto"/>
              </w:rPr>
              <w:t>Common</w:t>
            </w:r>
          </w:p>
        </w:tc>
        <w:tc>
          <w:tcPr>
            <w:tcW w:w="5340" w:type="dxa"/>
            <w:vAlign w:val="bottom"/>
            <w:gridSpan w:val="3"/>
          </w:tcPr>
          <w:p>
            <w:pPr>
              <w:jc w:val="right"/>
              <w:ind w:right="100"/>
              <w:spacing w:after="0"/>
              <w:rPr>
                <w:sz w:val="20"/>
                <w:szCs w:val="20"/>
                <w:color w:val="auto"/>
              </w:rPr>
            </w:pPr>
            <w:r>
              <w:rPr>
                <w:rFonts w:ascii="Arial" w:cs="Arial" w:eastAsia="Arial" w:hAnsi="Arial"/>
                <w:sz w:val="18"/>
                <w:szCs w:val="18"/>
                <w:color w:val="auto"/>
              </w:rPr>
              <w:t>960,130,771</w:t>
            </w:r>
          </w:p>
        </w:tc>
      </w:tr>
      <w:tr>
        <w:trPr>
          <w:trHeight w:val="318"/>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80" w:type="dxa"/>
            <w:vAlign w:val="bottom"/>
            <w:gridSpan w:val="7"/>
          </w:tcPr>
          <w:p>
            <w:pPr>
              <w:jc w:val="right"/>
              <w:ind w:right="3080"/>
              <w:spacing w:after="0"/>
              <w:rPr>
                <w:sz w:val="20"/>
                <w:szCs w:val="20"/>
                <w:color w:val="auto"/>
              </w:rPr>
            </w:pPr>
            <w:r>
              <w:rPr>
                <w:rFonts w:ascii="Arial" w:cs="Arial" w:eastAsia="Arial" w:hAnsi="Arial"/>
                <w:sz w:val="16"/>
                <w:szCs w:val="16"/>
                <w:b w:val="1"/>
                <w:bCs w:val="1"/>
                <w:color w:val="auto"/>
              </w:rPr>
              <w:t>Securities registered pursuant to Section 12(b) of the Exchange Act:</w:t>
            </w:r>
          </w:p>
        </w:tc>
      </w:tr>
      <w:tr>
        <w:trPr>
          <w:trHeight w:val="303"/>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Trading Symbol</w:t>
            </w:r>
          </w:p>
        </w:tc>
        <w:tc>
          <w:tcPr>
            <w:tcW w:w="9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Common Stock (no par value)</w:t>
            </w:r>
          </w:p>
        </w:tc>
        <w:tc>
          <w:tcPr>
            <w:tcW w:w="1580" w:type="dxa"/>
            <w:vAlign w:val="bottom"/>
          </w:tcPr>
          <w:p>
            <w:pPr>
              <w:spacing w:after="0"/>
              <w:rPr>
                <w:sz w:val="19"/>
                <w:szCs w:val="19"/>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w:t>
            </w:r>
          </w:p>
        </w:tc>
        <w:tc>
          <w:tcPr>
            <w:tcW w:w="9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1.000% Notes Due June 2, 2022</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LLY22</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7 1/8% Notes Due June 1, 2025</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LLY25</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1.625% Notes Due June 2, 2026</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LLY26</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2.125% Notes Due June 3, 2030</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LLY30</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216"/>
        </w:trPr>
        <w:tc>
          <w:tcPr>
            <w:tcW w:w="4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6.77% Notes Due January 1, 2036</w:t>
            </w:r>
          </w:p>
        </w:tc>
        <w:tc>
          <w:tcPr>
            <w:tcW w:w="158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Arial" w:cs="Arial" w:eastAsia="Arial" w:hAnsi="Arial"/>
                <w:sz w:val="14"/>
                <w:szCs w:val="14"/>
                <w:color w:val="auto"/>
              </w:rPr>
              <w:t>LLY36</w:t>
            </w:r>
          </w:p>
        </w:tc>
        <w:tc>
          <w:tcPr>
            <w:tcW w:w="9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New York Stock Exchange</w:t>
            </w:r>
          </w:p>
        </w:tc>
      </w:tr>
      <w:tr>
        <w:trPr>
          <w:trHeight w:val="363"/>
        </w:trPr>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22"/>
        </w:trPr>
        <w:tc>
          <w:tcPr>
            <w:tcW w:w="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September 30, 2019</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20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5"/>
          </w:tcPr>
          <w:p>
            <w:pPr>
              <w:jc w:val="center"/>
              <w:ind w:left="3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80" w:type="dxa"/>
            <w:vAlign w:val="bottom"/>
          </w:tcPr>
          <w:p>
            <w:pPr>
              <w:spacing w:after="0"/>
              <w:rPr>
                <w:sz w:val="24"/>
                <w:szCs w:val="24"/>
                <w:color w:val="auto"/>
              </w:rPr>
            </w:pPr>
          </w:p>
        </w:tc>
        <w:tc>
          <w:tcPr>
            <w:tcW w:w="73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80" w:type="dxa"/>
            <w:vAlign w:val="bottom"/>
            <w:gridSpan w:val="5"/>
          </w:tcPr>
          <w:p>
            <w:pPr>
              <w:jc w:val="center"/>
              <w:ind w:left="3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Operations</w:t>
              </w:r>
            </w:hyperlink>
          </w:p>
        </w:tc>
        <w:tc>
          <w:tcPr>
            <w:tcW w:w="580" w:type="dxa"/>
            <w:vAlign w:val="bottom"/>
            <w:gridSpan w:val="5"/>
          </w:tcPr>
          <w:p>
            <w:pPr>
              <w:jc w:val="center"/>
              <w:ind w:left="3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80" w:type="dxa"/>
            <w:vAlign w:val="bottom"/>
            <w:gridSpan w:val="1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(Loss)</w:t>
              </w:r>
            </w:hyperlink>
          </w:p>
        </w:tc>
        <w:tc>
          <w:tcPr>
            <w:tcW w:w="1420" w:type="dxa"/>
            <w:vAlign w:val="bottom"/>
            <w:gridSpan w:val="2"/>
          </w:tcPr>
          <w:p>
            <w:pPr>
              <w:spacing w:after="0"/>
              <w:rPr>
                <w:sz w:val="20"/>
                <w:szCs w:val="20"/>
                <w:color w:val="auto"/>
              </w:rPr>
            </w:pPr>
          </w:p>
        </w:tc>
        <w:tc>
          <w:tcPr>
            <w:tcW w:w="580" w:type="dxa"/>
            <w:vAlign w:val="bottom"/>
            <w:gridSpan w:val="5"/>
          </w:tcPr>
          <w:p>
            <w:pPr>
              <w:jc w:val="center"/>
              <w:ind w:left="31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w:t>
              </w:r>
            </w:hyperlink>
          </w:p>
        </w:tc>
        <w:tc>
          <w:tcPr>
            <w:tcW w:w="1420" w:type="dxa"/>
            <w:vAlign w:val="bottom"/>
            <w:gridSpan w:val="2"/>
          </w:tcPr>
          <w:p>
            <w:pPr>
              <w:spacing w:after="0"/>
              <w:rPr>
                <w:sz w:val="22"/>
                <w:szCs w:val="22"/>
                <w:color w:val="auto"/>
              </w:rPr>
            </w:pPr>
          </w:p>
        </w:tc>
        <w:tc>
          <w:tcPr>
            <w:tcW w:w="580" w:type="dxa"/>
            <w:vAlign w:val="bottom"/>
            <w:gridSpan w:val="5"/>
          </w:tcPr>
          <w:p>
            <w:pPr>
              <w:jc w:val="center"/>
              <w:ind w:left="31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0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Equity</w:t>
              </w:r>
            </w:hyperlink>
          </w:p>
        </w:tc>
        <w:tc>
          <w:tcPr>
            <w:tcW w:w="580" w:type="dxa"/>
            <w:vAlign w:val="bottom"/>
            <w:gridSpan w:val="5"/>
          </w:tcPr>
          <w:p>
            <w:pPr>
              <w:jc w:val="center"/>
              <w:ind w:left="31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0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Consolidated Condensed Statements of Cash Flows</w:t>
              </w:r>
            </w:hyperlink>
          </w:p>
        </w:tc>
        <w:tc>
          <w:tcPr>
            <w:tcW w:w="580" w:type="dxa"/>
            <w:vAlign w:val="bottom"/>
            <w:gridSpan w:val="5"/>
          </w:tcPr>
          <w:p>
            <w:pPr>
              <w:jc w:val="center"/>
              <w:ind w:left="31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36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Condensed Financial Statements</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10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320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2.</w:t>
              </w:r>
            </w:hyperlink>
          </w:p>
        </w:tc>
        <w:tc>
          <w:tcPr>
            <w:tcW w:w="736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Results of Operations and Financial Condition</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37</w:t>
              </w:r>
            </w:hyperlink>
          </w:p>
        </w:tc>
      </w:tr>
      <w:tr>
        <w:trPr>
          <w:trHeight w:val="257"/>
        </w:trPr>
        <w:tc>
          <w:tcPr>
            <w:tcW w:w="54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1560" w:type="dxa"/>
            <w:vAlign w:val="bottom"/>
            <w:tcBorders>
              <w:top w:val="single" w:sz="8" w:color="0000EE"/>
            </w:tcBorders>
            <w:gridSpan w:val="7"/>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Executive Overview</w:t>
              </w:r>
            </w:hyperlink>
          </w:p>
        </w:tc>
        <w:tc>
          <w:tcPr>
            <w:tcW w:w="5260" w:type="dxa"/>
            <w:vAlign w:val="bottom"/>
            <w:tcBorders>
              <w:top w:val="single" w:sz="8" w:color="0000EE"/>
            </w:tcBorders>
            <w:gridSpan w:val="11"/>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37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Revenue</w:t>
              </w:r>
            </w:hyperlink>
          </w:p>
        </w:tc>
        <w:tc>
          <w:tcPr>
            <w:tcW w:w="840" w:type="dxa"/>
            <w:vAlign w:val="bottom"/>
            <w:gridSpan w:val="5"/>
          </w:tcPr>
          <w:p>
            <w:pPr>
              <w:spacing w:after="0"/>
              <w:rPr>
                <w:sz w:val="21"/>
                <w:szCs w:val="21"/>
                <w:color w:val="auto"/>
              </w:rPr>
            </w:pPr>
          </w:p>
        </w:tc>
        <w:tc>
          <w:tcPr>
            <w:tcW w:w="5540" w:type="dxa"/>
            <w:vAlign w:val="bottom"/>
            <w:gridSpan w:val="12"/>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44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80" w:type="dxa"/>
            <w:vAlign w:val="bottom"/>
            <w:gridSpan w:val="10"/>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Gross Margin, Costs, and Expenses</w:t>
              </w:r>
            </w:hyperlink>
          </w:p>
        </w:tc>
        <w:tc>
          <w:tcPr>
            <w:tcW w:w="4220" w:type="dxa"/>
            <w:vAlign w:val="bottom"/>
            <w:gridSpan w:val="9"/>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80" w:type="dxa"/>
            <w:vAlign w:val="bottom"/>
            <w:gridSpan w:val="1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Financial Condition</w:t>
              </w:r>
            </w:hyperlink>
          </w:p>
        </w:tc>
        <w:tc>
          <w:tcPr>
            <w:tcW w:w="4220" w:type="dxa"/>
            <w:vAlign w:val="bottom"/>
            <w:gridSpan w:val="9"/>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49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gridSpan w:val="8"/>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Financial Expectations</w:t>
              </w:r>
            </w:hyperlink>
          </w:p>
        </w:tc>
        <w:tc>
          <w:tcPr>
            <w:tcW w:w="5540" w:type="dxa"/>
            <w:vAlign w:val="bottom"/>
            <w:gridSpan w:val="12"/>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360" w:type="dxa"/>
            <w:vAlign w:val="bottom"/>
            <w:gridSpan w:val="2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Available Information on our Website</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20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4420" w:type="dxa"/>
            <w:vAlign w:val="bottom"/>
            <w:gridSpan w:val="10"/>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50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20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PART II. Other Information</w:t>
              </w:r>
            </w:hyperlink>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6"/>
          </w:tcPr>
          <w:p>
            <w:pPr>
              <w:jc w:val="center"/>
              <w:ind w:left="170"/>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51</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w:t>
              </w:r>
            </w:hyperlink>
          </w:p>
        </w:tc>
        <w:tc>
          <w:tcPr>
            <w:tcW w:w="1100" w:type="dxa"/>
            <w:vAlign w:val="bottom"/>
            <w:gridSpan w:val="2"/>
          </w:tcPr>
          <w:p>
            <w:pPr>
              <w:spacing w:after="0"/>
              <w:rPr>
                <w:sz w:val="24"/>
                <w:szCs w:val="24"/>
                <w:color w:val="auto"/>
              </w:rPr>
            </w:pPr>
          </w:p>
        </w:tc>
        <w:tc>
          <w:tcPr>
            <w:tcW w:w="7360" w:type="dxa"/>
            <w:vAlign w:val="bottom"/>
            <w:gridSpan w:val="2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38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51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200" w:type="dxa"/>
            <w:vAlign w:val="bottom"/>
            <w:gridSpan w:val="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1A.</w:t>
              </w:r>
            </w:hyperlink>
          </w:p>
        </w:tc>
        <w:tc>
          <w:tcPr>
            <w:tcW w:w="736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52</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60" w:type="dxa"/>
            <w:vAlign w:val="bottom"/>
            <w:gridSpan w:val="13"/>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2540" w:type="dxa"/>
            <w:vAlign w:val="bottom"/>
            <w:gridSpan w:val="5"/>
          </w:tcPr>
          <w:p>
            <w:pPr>
              <w:spacing w:after="0"/>
              <w:rPr>
                <w:sz w:val="21"/>
                <w:szCs w:val="21"/>
                <w:color w:val="auto"/>
              </w:rPr>
            </w:pPr>
          </w:p>
        </w:tc>
        <w:tc>
          <w:tcPr>
            <w:tcW w:w="736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53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220" w:type="dxa"/>
            <w:vAlign w:val="bottom"/>
            <w:gridSpan w:val="15"/>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20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736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700" w:type="dxa"/>
            <w:vAlign w:val="bottom"/>
            <w:gridSpan w:val="6"/>
          </w:tcPr>
          <w:p>
            <w:pPr>
              <w:jc w:val="center"/>
              <w:ind w:left="170"/>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53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1320" w:type="dxa"/>
            <w:vAlign w:val="bottom"/>
            <w:gridSpan w:val="4"/>
          </w:tcPr>
          <w:p>
            <w:pPr>
              <w:spacing w:after="0"/>
              <w:rPr>
                <w:rFonts w:ascii="Arial" w:cs="Arial" w:eastAsia="Arial" w:hAnsi="Arial"/>
                <w:sz w:val="18"/>
                <w:szCs w:val="18"/>
                <w:color w:val="0000EE"/>
                <w:w w:val="98"/>
              </w:rPr>
            </w:pPr>
            <w:hyperlink w:anchor="page54">
              <w:r>
                <w:rPr>
                  <w:rFonts w:ascii="Arial" w:cs="Arial" w:eastAsia="Arial" w:hAnsi="Arial"/>
                  <w:sz w:val="18"/>
                  <w:szCs w:val="18"/>
                  <w:color w:val="0000EE"/>
                  <w:w w:val="98"/>
                </w:rPr>
                <w:t>Index to Exhibits</w:t>
              </w:r>
            </w:hyperlink>
          </w:p>
        </w:tc>
        <w:tc>
          <w:tcPr>
            <w:tcW w:w="188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54</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2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Signatures</w:t>
              </w:r>
            </w:hyperlink>
          </w:p>
        </w:tc>
        <w:tc>
          <w:tcPr>
            <w:tcW w:w="188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54</w:t>
              </w:r>
            </w:hyperlink>
          </w:p>
        </w:tc>
      </w:tr>
      <w:tr>
        <w:trPr>
          <w:trHeight w:val="493"/>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40" w:type="dxa"/>
            <w:vAlign w:val="bottom"/>
            <w:gridSpan w:val="10"/>
          </w:tcPr>
          <w:p>
            <w:pPr>
              <w:ind w:left="24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6"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and the Private Securities Litigation Reform Act of 1995.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Results of Operations and Financial Condition”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5" w:lineRule="exact"/>
        <w:rPr>
          <w:sz w:val="20"/>
          <w:szCs w:val="20"/>
          <w:color w:val="auto"/>
        </w:rPr>
      </w:pPr>
    </w:p>
    <w:p>
      <w:pPr>
        <w:ind w:left="1300" w:right="26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in the pharmaceutical research and development process, including with respect to the timing of anticipated regulatory approvals and launches of new products;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involving past, current, or future products as we are largely self-insured;</w:t>
      </w:r>
    </w:p>
    <w:p>
      <w:pPr>
        <w:spacing w:after="0" w:line="63" w:lineRule="exact"/>
        <w:rPr>
          <w:rFonts w:ascii="Arial" w:cs="Arial" w:eastAsia="Arial" w:hAnsi="Arial"/>
          <w:sz w:val="18"/>
          <w:szCs w:val="18"/>
          <w:color w:val="auto"/>
        </w:rPr>
      </w:pPr>
    </w:p>
    <w:p>
      <w:pPr>
        <w:ind w:left="1300" w:right="2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misappropriation, or compromise of trade secrets or other confidential data stored in our information systems, networks, and facilities, or those of third parties with whom we share our data;</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including the impact of U.S. tax reform legislation enacted in December 2017 and related guidance;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0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 (SEC);</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117" w:lineRule="exact"/>
        <w:rPr>
          <w:sz w:val="20"/>
          <w:szCs w:val="20"/>
          <w:color w:val="auto"/>
        </w:rPr>
      </w:pPr>
    </w:p>
    <w:p>
      <w:pPr>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More information on factors that could cause actual results or events to differ materially from those anticipated is included from time to time in our reports filed with the SEC, including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2018, particularly under the caption “Risk Factors”, our </w:t>
      </w:r>
      <w:hyperlink r:id="rId11">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October 24, 2019, which recasts the financial information in our Annual Report on Form 10-K for the year ended December 31, 2018, and our Quarterly Reports on Form 10-Q for the quarters ended </w:t>
      </w:r>
      <w:hyperlink r:id="rId12">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3">
        <w:r>
          <w:rPr>
            <w:rFonts w:ascii="Arial" w:cs="Arial" w:eastAsia="Arial" w:hAnsi="Arial"/>
            <w:sz w:val="18"/>
            <w:szCs w:val="18"/>
            <w:u w:val="single" w:color="auto"/>
            <w:color w:val="0000EE"/>
          </w:rPr>
          <w:t>June 30, 2019</w:t>
        </w:r>
      </w:hyperlink>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jc w:val="both"/>
        <w:ind w:right="460"/>
        <w:spacing w:after="0" w:line="256"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occurring after the date of this report.</w:t>
      </w:r>
    </w:p>
    <w:p>
      <w:pPr>
        <w:spacing w:after="0" w:line="229"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74" w:right="27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tbl>
      <w:tblPr>
        <w:tblLayout w:type="fixed"/>
        <w:tblInd w:w="6020" w:type="dxa"/>
        <w:tblCellMar>
          <w:top w:w="0" w:type="dxa"/>
          <w:left w:w="0" w:type="dxa"/>
          <w:bottom w:w="0" w:type="dxa"/>
          <w:right w:w="0" w:type="dxa"/>
        </w:tblCellMar>
      </w:tblPr>
      <w:tr>
        <w:trPr>
          <w:trHeight w:val="162"/>
        </w:trPr>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728"/>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8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 (Note 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Asset impairment, restructuring, and other special charges (Note 6)</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9)</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from discontinued operations (Note 5)</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right="1700"/>
        <w:spacing w:after="0" w:line="348" w:lineRule="auto"/>
        <w:rPr>
          <w:sz w:val="20"/>
          <w:szCs w:val="20"/>
          <w:color w:val="auto"/>
        </w:rPr>
      </w:pPr>
      <w:r>
        <w:rPr>
          <w:rFonts w:ascii="Arial" w:cs="Arial" w:eastAsia="Arial" w:hAnsi="Arial"/>
          <w:sz w:val="17"/>
          <w:szCs w:val="17"/>
          <w:color w:val="auto"/>
        </w:rPr>
        <w:t>Earnings from continuing operations - basic Earnings from discontinued operations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Earnings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560" w:hanging="535"/>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5,476.6  </w:t>
      </w:r>
      <w:r>
        <w:rPr>
          <w:rFonts w:ascii="Arial" w:cs="Arial" w:eastAsia="Arial" w:hAnsi="Arial"/>
          <w:sz w:val="18"/>
          <w:szCs w:val="18"/>
          <w:color w:val="auto"/>
        </w:rPr>
        <w:t>$     5,306.9</w:t>
      </w:r>
      <w:r>
        <w:rPr>
          <w:rFonts w:ascii="Arial" w:cs="Arial" w:eastAsia="Arial" w:hAnsi="Arial"/>
          <w:sz w:val="18"/>
          <w:szCs w:val="18"/>
          <w:b w:val="1"/>
          <w:bCs w:val="1"/>
          <w:color w:val="auto"/>
        </w:rPr>
        <w:t xml:space="preserve">   $   16,205.5  </w:t>
      </w:r>
      <w:r>
        <w:rPr>
          <w:rFonts w:ascii="Arial" w:cs="Arial" w:eastAsia="Arial" w:hAnsi="Arial"/>
          <w:sz w:val="18"/>
          <w:szCs w:val="18"/>
          <w:color w:val="auto"/>
        </w:rPr>
        <w:t>$    15,855.7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1,175.0</w:t>
            </w:r>
          </w:p>
        </w:tc>
        <w:tc>
          <w:tcPr>
            <w:tcW w:w="4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1,152.9</w:t>
            </w:r>
          </w:p>
        </w:tc>
        <w:tc>
          <w:tcPr>
            <w:tcW w:w="3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3,438.6</w:t>
            </w:r>
          </w:p>
        </w:tc>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3,551.8</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1,380.9</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1,280.9</w:t>
            </w:r>
          </w:p>
        </w:tc>
        <w:tc>
          <w:tcPr>
            <w:tcW w:w="3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4,013.6</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3,659.4</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1,412.3</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1,457.2</w:t>
            </w:r>
          </w:p>
        </w:tc>
        <w:tc>
          <w:tcPr>
            <w:tcW w:w="3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4,515.7</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4,281.5</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77.7</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3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239.6</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1,654.5</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42.9</w:t>
            </w:r>
          </w:p>
        </w:tc>
        <w:tc>
          <w:tcPr>
            <w:tcW w:w="38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423.9</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74.2</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24.9</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r>
      <w:tr>
        <w:trPr>
          <w:trHeight w:val="250"/>
        </w:trPr>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4,070.8</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3,965.8</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12,602.7</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13,107.2</w:t>
            </w:r>
          </w:p>
        </w:tc>
      </w:tr>
      <w:tr>
        <w:trPr>
          <w:trHeight w:val="243"/>
        </w:trPr>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1,405.8</w:t>
            </w: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1,341.1</w:t>
            </w:r>
          </w:p>
        </w:tc>
        <w:tc>
          <w:tcPr>
            <w:tcW w:w="3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3,602.8</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2,748.5</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151.9</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247.5</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460.6</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719.3</w:t>
            </w:r>
          </w:p>
        </w:tc>
      </w:tr>
      <w:tr>
        <w:trPr>
          <w:trHeight w:val="257"/>
        </w:trPr>
        <w:tc>
          <w:tcPr>
            <w:tcW w:w="3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1,253.9</w:t>
            </w:r>
          </w:p>
        </w:tc>
        <w:tc>
          <w:tcPr>
            <w:tcW w:w="4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1,093.6</w:t>
            </w:r>
          </w:p>
        </w:tc>
        <w:tc>
          <w:tcPr>
            <w:tcW w:w="38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3,142.2</w:t>
            </w:r>
          </w:p>
        </w:tc>
        <w:tc>
          <w:tcPr>
            <w:tcW w:w="36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2,029.2</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55.9</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3,680.5</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77.8</w:t>
            </w:r>
          </w:p>
        </w:tc>
      </w:tr>
      <w:tr>
        <w:trPr>
          <w:trHeight w:val="264"/>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1,253.9</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1,149.5</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6,822.7</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2,107.0</w:t>
            </w:r>
          </w:p>
        </w:tc>
      </w:tr>
      <w:tr>
        <w:trPr>
          <w:trHeight w:val="851"/>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3.35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0.06</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3.92</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1.37</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7.27</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r>
    </w:tbl>
    <w:p>
      <w:pPr>
        <w:spacing w:after="0" w:line="200" w:lineRule="exact"/>
        <w:rPr>
          <w:sz w:val="20"/>
          <w:szCs w:val="20"/>
          <w:color w:val="auto"/>
        </w:rPr>
      </w:pPr>
    </w:p>
    <w:p>
      <w:pPr>
        <w:sectPr>
          <w:pgSz w:w="11900" w:h="16838" w:orient="portrait"/>
          <w:cols w:equalWidth="0" w:num="2">
            <w:col w:w="5520" w:space="500"/>
            <w:col w:w="5400"/>
          </w:cols>
          <w:pgMar w:left="240" w:top="595" w:right="239" w:bottom="1440" w:gutter="0" w:footer="0" w:header="0"/>
          <w:type w:val="continuous"/>
        </w:sectPr>
      </w:pP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from continuing operations - diluted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Earnings from discontinued operations - diluted</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Earnings per share - diluted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1.37</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5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3.33</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7"/>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3.91</w:t>
            </w: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r>
      <w:tr>
        <w:trPr>
          <w:trHeight w:val="277"/>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1.37</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7.24</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-196850</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-3816985</wp:posOffset>
            </wp:positionH>
            <wp:positionV relativeFrom="paragraph">
              <wp:posOffset>205740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720"/>
            <w:col w:w="5400"/>
          </w:cols>
          <w:pgMar w:left="240" w:top="595" w:right="239" w:bottom="1440" w:gutter="0" w:footer="0" w:header="0"/>
          <w:type w:val="continuous"/>
        </w:sectPr>
      </w:pP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used in calculation of earnings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720" w:type="dxa"/>
            <w:vAlign w:val="bottom"/>
          </w:tcPr>
          <w:p>
            <w:pPr>
              <w:ind w:left="180"/>
              <w:spacing w:after="0"/>
              <w:rPr>
                <w:sz w:val="20"/>
                <w:szCs w:val="20"/>
                <w:color w:val="auto"/>
              </w:rPr>
            </w:pPr>
            <w:r>
              <w:rPr>
                <w:rFonts w:ascii="Arial" w:cs="Arial" w:eastAsia="Arial" w:hAnsi="Arial"/>
                <w:sz w:val="18"/>
                <w:szCs w:val="18"/>
                <w:color w:val="auto"/>
              </w:rPr>
              <w:t>Basic</w:t>
            </w:r>
          </w:p>
        </w:tc>
        <w:tc>
          <w:tcPr>
            <w:tcW w:w="3840" w:type="dxa"/>
            <w:vAlign w:val="bottom"/>
          </w:tcPr>
          <w:p>
            <w:pPr>
              <w:jc w:val="right"/>
              <w:ind w:right="290"/>
              <w:spacing w:after="0"/>
              <w:rPr>
                <w:sz w:val="20"/>
                <w:szCs w:val="20"/>
                <w:color w:val="auto"/>
              </w:rPr>
            </w:pPr>
            <w:r>
              <w:rPr>
                <w:rFonts w:ascii="Arial" w:cs="Arial" w:eastAsia="Arial" w:hAnsi="Arial"/>
                <w:sz w:val="18"/>
                <w:szCs w:val="18"/>
                <w:b w:val="1"/>
                <w:bCs w:val="1"/>
                <w:color w:val="auto"/>
              </w:rPr>
              <w:t>913.9</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1,020.4</w:t>
            </w: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938.2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1,033.2</w:t>
            </w:r>
          </w:p>
        </w:tc>
      </w:tr>
      <w:tr>
        <w:trPr>
          <w:trHeight w:val="277"/>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84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918.5</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1,026.3</w:t>
            </w: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942.4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1,037.8</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1,253.9</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1,149.5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6,822.7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2,107.0</w:t>
            </w:r>
          </w:p>
        </w:tc>
        <w:tc>
          <w:tcPr>
            <w:tcW w:w="0" w:type="dxa"/>
            <w:vAlign w:val="bottom"/>
          </w:tcPr>
          <w:p>
            <w:pPr>
              <w:spacing w:after="0"/>
              <w:rPr>
                <w:sz w:val="1"/>
                <w:szCs w:val="1"/>
                <w:color w:val="auto"/>
              </w:rPr>
            </w:pP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Other comprehensive income (loss) from continuing operations, net of tax</w:t>
            </w:r>
          </w:p>
        </w:tc>
        <w:tc>
          <w:tcPr>
            <w:tcW w:w="300" w:type="dxa"/>
            <w:vAlign w:val="bottom"/>
          </w:tcPr>
          <w:p>
            <w:pPr>
              <w:spacing w:after="0"/>
              <w:rPr>
                <w:sz w:val="19"/>
                <w:szCs w:val="19"/>
                <w:color w:val="auto"/>
              </w:rPr>
            </w:pPr>
          </w:p>
        </w:tc>
        <w:tc>
          <w:tcPr>
            <w:tcW w:w="102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(134.0)</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(51.1)</w:t>
            </w: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20" w:type="dxa"/>
            <w:vAlign w:val="bottom"/>
          </w:tcPr>
          <w:p>
            <w:pPr>
              <w:ind w:left="40"/>
              <w:spacing w:after="0"/>
              <w:rPr>
                <w:sz w:val="20"/>
                <w:szCs w:val="20"/>
                <w:color w:val="auto"/>
              </w:rPr>
            </w:pPr>
            <w:r>
              <w:rPr>
                <w:rFonts w:ascii="Arial" w:cs="Arial" w:eastAsia="Arial" w:hAnsi="Arial"/>
                <w:sz w:val="18"/>
                <w:szCs w:val="18"/>
                <w:color w:val="auto"/>
              </w:rPr>
              <w:t>(Note 12)</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561.7</w:t>
            </w:r>
          </w:p>
        </w:tc>
        <w:tc>
          <w:tcPr>
            <w:tcW w:w="4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3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from discontinued operations, net of tax</w:t>
            </w:r>
          </w:p>
        </w:tc>
        <w:tc>
          <w:tcPr>
            <w:tcW w:w="3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56.8</w:t>
            </w:r>
          </w:p>
        </w:tc>
        <w:tc>
          <w:tcPr>
            <w:tcW w:w="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20" w:type="dxa"/>
            <w:vAlign w:val="bottom"/>
            <w:shd w:val="clear" w:color="auto" w:fill="CCEEFF"/>
          </w:tcPr>
          <w:p>
            <w:pPr>
              <w:ind w:left="40"/>
              <w:spacing w:after="0" w:line="233" w:lineRule="exact"/>
              <w:rPr>
                <w:sz w:val="20"/>
                <w:szCs w:val="20"/>
                <w:color w:val="auto"/>
              </w:rPr>
            </w:pPr>
            <w:r>
              <w:rPr>
                <w:rFonts w:ascii="Arial" w:cs="Arial" w:eastAsia="Arial" w:hAnsi="Arial"/>
                <w:sz w:val="18"/>
                <w:szCs w:val="18"/>
                <w:color w:val="auto"/>
              </w:rPr>
              <w:t xml:space="preserve">(Note 12)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98.5</w:t>
            </w: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 (Note 12)</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(134.0)</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660.2</w:t>
            </w: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5.7</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1,119.9</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1,809.7</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6,828.4</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2,482.3</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80" w:hanging="172"/>
        <w:spacing w:after="0" w:line="242" w:lineRule="auto"/>
        <w:tabs>
          <w:tab w:leader="none" w:pos="153" w:val="left"/>
        </w:tabs>
        <w:numPr>
          <w:ilvl w:val="0"/>
          <w:numId w:val="3"/>
        </w:numPr>
        <w:rPr>
          <w:rFonts w:ascii="Arial" w:cs="Arial" w:eastAsia="Arial" w:hAnsi="Arial"/>
          <w:sz w:val="9"/>
          <w:szCs w:val="9"/>
          <w:color w:val="auto"/>
        </w:rPr>
      </w:pPr>
      <w:r>
        <w:rPr>
          <w:rFonts w:ascii="Arial" w:cs="Arial" w:eastAsia="Arial" w:hAnsi="Arial"/>
          <w:sz w:val="13"/>
          <w:szCs w:val="13"/>
          <w:color w:val="auto"/>
        </w:rPr>
        <w:t>For the nine months ended September 30, 2019, other comprehensive income related to discontinued operations consisted of $45.8 million of accumulated other comprehensive income attributable to controlling interest and $11.0 million of accumulated other comprehensive income attributable to noncontrolling interest.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September 30, 2019</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1,563.8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7,320.7</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7)</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89.2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$22.6 (2019)</w:t>
            </w:r>
            <w:r>
              <w:rPr>
                <w:rFonts w:ascii="Arial" w:cs="Arial" w:eastAsia="Arial" w:hAnsi="Arial"/>
                <w:sz w:val="18"/>
                <w:szCs w:val="18"/>
                <w:color w:val="auto"/>
              </w:rPr>
              <w:t xml:space="preserve"> and $24.1 (2018)</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4,441.7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4,593.9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1,096.2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3,101.3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3,098.1</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2,369.6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assets of discontinued operations (Note 5)</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2,229.1</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12,661.8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20,549.6</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(Note 7)</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1,825.3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2,005.4</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3,772.5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6,689.3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2,412.8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2,613.7</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Sundry</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2,194.2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1,824.9</w:t>
            </w:r>
          </w:p>
        </w:tc>
        <w:tc>
          <w:tcPr>
            <w:tcW w:w="0" w:type="dxa"/>
            <w:vAlign w:val="bottom"/>
          </w:tcPr>
          <w:p>
            <w:pPr>
              <w:spacing w:after="0"/>
              <w:rPr>
                <w:sz w:val="1"/>
                <w:szCs w:val="1"/>
                <w:color w:val="auto"/>
              </w:rPr>
            </w:pPr>
          </w:p>
        </w:tc>
      </w:tr>
      <w:tr>
        <w:trPr>
          <w:trHeight w:val="229"/>
        </w:trPr>
        <w:tc>
          <w:tcPr>
            <w:tcW w:w="7640" w:type="dxa"/>
            <w:vAlign w:val="bottom"/>
          </w:tcPr>
          <w:p>
            <w:pPr>
              <w:ind w:left="40"/>
              <w:spacing w:after="0"/>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$9,055.3 (2019)</w:t>
            </w:r>
            <w:r>
              <w:rPr>
                <w:rFonts w:ascii="Arial" w:cs="Arial" w:eastAsia="Arial" w:hAnsi="Arial"/>
                <w:sz w:val="18"/>
                <w:szCs w:val="18"/>
                <w:color w:val="auto"/>
              </w:rPr>
              <w:t xml:space="preserve"> and $8,666.9</w:t>
            </w:r>
          </w:p>
        </w:tc>
        <w:tc>
          <w:tcPr>
            <w:tcW w:w="180" w:type="dxa"/>
            <w:vAlign w:val="bottom"/>
          </w:tcPr>
          <w:p>
            <w:pPr>
              <w:spacing w:after="0"/>
              <w:rPr>
                <w:sz w:val="19"/>
                <w:szCs w:val="19"/>
                <w:color w:val="auto"/>
              </w:rPr>
            </w:pPr>
          </w:p>
        </w:tc>
        <w:tc>
          <w:tcPr>
            <w:tcW w:w="1700" w:type="dxa"/>
            <w:vAlign w:val="bottom"/>
            <w:vMerge w:val="restart"/>
          </w:tcPr>
          <w:p>
            <w:pPr>
              <w:jc w:val="right"/>
              <w:ind w:right="71"/>
              <w:spacing w:after="0"/>
              <w:rPr>
                <w:sz w:val="20"/>
                <w:szCs w:val="20"/>
                <w:color w:val="auto"/>
              </w:rPr>
            </w:pPr>
            <w:r>
              <w:rPr>
                <w:rFonts w:ascii="Arial" w:cs="Arial" w:eastAsia="Arial" w:hAnsi="Arial"/>
                <w:sz w:val="18"/>
                <w:szCs w:val="18"/>
                <w:b w:val="1"/>
                <w:bCs w:val="1"/>
                <w:color w:val="auto"/>
              </w:rPr>
              <w:t>7,801.5</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7,996.1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assets (Note 8)</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535.7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assets of discontinued operations (Note 5)</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6,484.1</w:t>
            </w:r>
          </w:p>
        </w:tc>
        <w:tc>
          <w:tcPr>
            <w:tcW w:w="0" w:type="dxa"/>
            <w:vAlign w:val="bottom"/>
          </w:tcPr>
          <w:p>
            <w:pPr>
              <w:spacing w:after="0"/>
              <w:rPr>
                <w:sz w:val="1"/>
                <w:szCs w:val="1"/>
                <w:color w:val="auto"/>
              </w:rPr>
            </w:pPr>
          </w:p>
        </w:tc>
      </w:tr>
      <w:tr>
        <w:trPr>
          <w:trHeight w:val="27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37,893.1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43,908.4</w:t>
            </w:r>
          </w:p>
        </w:tc>
        <w:tc>
          <w:tcPr>
            <w:tcW w:w="0" w:type="dxa"/>
            <w:vAlign w:val="bottom"/>
          </w:tcPr>
          <w:p>
            <w:pPr>
              <w:spacing w:after="0"/>
              <w:rPr>
                <w:sz w:val="1"/>
                <w:szCs w:val="1"/>
                <w:color w:val="auto"/>
              </w:rPr>
            </w:pP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1,563.1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1,114.9</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1,207.1</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compensation</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704.5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rebates and discounts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5,277.0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4,849.5</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180.7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1,988.4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 (Note 5)</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10,828.6</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11,888.1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13,662.2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9,196.4</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operating lease liabilities (Note 8)</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485.2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Accrued retirement benefits (Note 10)</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2,414.2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2,802.2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income taxes payable</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3,526.5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2,413.7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1,100.4</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1,357.6</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 liabilities of discontinued operations (Note 5)</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2,742.3</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liabilities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23,602.2</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21,111.2</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Commitments and Contingencies (Note 11)</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Eli Lilly and Company Shareholders’ Equity</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600.4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6,608.7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6,583.6</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4,981.9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11,395.9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 trust</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Accumulated other comprehensive loss (Note 12)</w:t>
            </w:r>
          </w:p>
        </w:tc>
        <w:tc>
          <w:tcPr>
            <w:tcW w:w="18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b w:val="1"/>
                <w:bCs w:val="1"/>
                <w:color w:val="auto"/>
              </w:rPr>
              <w:t>(5,734.5)</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(5,729.2)</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common stock in treasury</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(60.8)</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3,382.5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9,828.7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79.8</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3,462.3</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10,909.1</w:t>
            </w:r>
          </w:p>
        </w:tc>
        <w:tc>
          <w:tcPr>
            <w:tcW w:w="0" w:type="dxa"/>
            <w:vAlign w:val="bottom"/>
          </w:tcPr>
          <w:p>
            <w:pPr>
              <w:spacing w:after="0"/>
              <w:rPr>
                <w:sz w:val="1"/>
                <w:szCs w:val="1"/>
                <w:color w:val="auto"/>
              </w:rPr>
            </w:pPr>
          </w:p>
        </w:tc>
      </w:tr>
      <w:tr>
        <w:trPr>
          <w:trHeight w:val="27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37,893.1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43,908.4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89" w:orient="portrait"/>
          <w:cols w:equalWidth="0" w:num="1">
            <w:col w:w="11420"/>
          </w:cols>
          <w:pgMar w:left="240" w:top="576"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89" w:orient="portrait"/>
          <w:cols w:equalWidth="0" w:num="1">
            <w:col w:w="11420"/>
          </w:cols>
          <w:pgMar w:left="240" w:top="576"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60" w:type="dxa"/>
            <w:vAlign w:val="bottom"/>
            <w:gridSpan w:val="6"/>
          </w:tcPr>
          <w:p>
            <w:pPr>
              <w:jc w:val="right"/>
              <w:ind w:right="960"/>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
        </w:trPr>
        <w:tc>
          <w:tcPr>
            <w:tcW w:w="2640" w:type="dxa"/>
            <w:vAlign w:val="bottom"/>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9"/>
        </w:trPr>
        <w:tc>
          <w:tcPr>
            <w:tcW w:w="2640" w:type="dxa"/>
            <w:vAlign w:val="bottom"/>
          </w:tcPr>
          <w:p>
            <w:pPr>
              <w:ind w:left="40"/>
              <w:spacing w:after="0"/>
              <w:rPr>
                <w:sz w:val="20"/>
                <w:szCs w:val="20"/>
                <w:color w:val="auto"/>
              </w:rPr>
            </w:pPr>
            <w:r>
              <w:rPr>
                <w:rFonts w:ascii="Arial" w:cs="Arial" w:eastAsia="Arial" w:hAnsi="Arial"/>
                <w:sz w:val="11"/>
                <w:szCs w:val="11"/>
                <w:b w:val="1"/>
                <w:bCs w:val="1"/>
                <w:color w:val="auto"/>
              </w:rPr>
              <w:t>ELI LILLY AND COMPANY AND SUBSIDIARIES</w:t>
            </w:r>
          </w:p>
        </w:tc>
        <w:tc>
          <w:tcPr>
            <w:tcW w:w="17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Additional</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5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00"/>
        </w:trPr>
        <w:tc>
          <w:tcPr>
            <w:tcW w:w="264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(Dollars in millions, except per-share data, and</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right"/>
              <w:ind w:right="80"/>
              <w:spacing w:after="0" w:line="100" w:lineRule="exact"/>
              <w:rPr>
                <w:sz w:val="20"/>
                <w:szCs w:val="20"/>
                <w:color w:val="auto"/>
              </w:rPr>
            </w:pPr>
            <w:r>
              <w:rPr>
                <w:rFonts w:ascii="Arial" w:cs="Arial" w:eastAsia="Arial" w:hAnsi="Arial"/>
                <w:sz w:val="11"/>
                <w:szCs w:val="11"/>
                <w:b w:val="1"/>
                <w:bCs w:val="1"/>
                <w:color w:val="auto"/>
              </w:rPr>
              <w:t>Paid-in</w:t>
            </w:r>
          </w:p>
        </w:tc>
        <w:tc>
          <w:tcPr>
            <w:tcW w:w="340" w:type="dxa"/>
            <w:vAlign w:val="bottom"/>
          </w:tcPr>
          <w:p>
            <w:pPr>
              <w:spacing w:after="0"/>
              <w:rPr>
                <w:sz w:val="8"/>
                <w:szCs w:val="8"/>
                <w:color w:val="auto"/>
              </w:rPr>
            </w:pPr>
          </w:p>
        </w:tc>
        <w:tc>
          <w:tcPr>
            <w:tcW w:w="720" w:type="dxa"/>
            <w:vAlign w:val="bottom"/>
          </w:tcPr>
          <w:p>
            <w:pPr>
              <w:jc w:val="right"/>
              <w:ind w:right="160"/>
              <w:spacing w:after="0" w:line="100"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8"/>
                <w:szCs w:val="8"/>
                <w:color w:val="auto"/>
              </w:rPr>
            </w:pPr>
          </w:p>
        </w:tc>
        <w:tc>
          <w:tcPr>
            <w:tcW w:w="820" w:type="dxa"/>
            <w:vAlign w:val="bottom"/>
          </w:tcPr>
          <w:p>
            <w:pPr>
              <w:jc w:val="right"/>
              <w:ind w:right="161"/>
              <w:spacing w:after="0" w:line="100" w:lineRule="exact"/>
              <w:rPr>
                <w:sz w:val="20"/>
                <w:szCs w:val="20"/>
                <w:color w:val="auto"/>
              </w:rPr>
            </w:pPr>
            <w:r>
              <w:rPr>
                <w:rFonts w:ascii="Arial" w:cs="Arial" w:eastAsia="Arial" w:hAnsi="Arial"/>
                <w:sz w:val="11"/>
                <w:szCs w:val="11"/>
                <w:b w:val="1"/>
                <w:bCs w:val="1"/>
                <w:color w:val="auto"/>
              </w:rPr>
              <w:t>Employee</w:t>
            </w:r>
          </w:p>
        </w:tc>
        <w:tc>
          <w:tcPr>
            <w:tcW w:w="200" w:type="dxa"/>
            <w:vAlign w:val="bottom"/>
          </w:tcPr>
          <w:p>
            <w:pPr>
              <w:spacing w:after="0"/>
              <w:rPr>
                <w:sz w:val="8"/>
                <w:szCs w:val="8"/>
                <w:color w:val="auto"/>
              </w:rPr>
            </w:pPr>
          </w:p>
        </w:tc>
        <w:tc>
          <w:tcPr>
            <w:tcW w:w="1100" w:type="dxa"/>
            <w:vAlign w:val="bottom"/>
          </w:tcPr>
          <w:p>
            <w:pPr>
              <w:jc w:val="center"/>
              <w:ind w:right="160"/>
              <w:spacing w:after="0" w:line="100" w:lineRule="exact"/>
              <w:rPr>
                <w:sz w:val="20"/>
                <w:szCs w:val="20"/>
                <w:color w:val="auto"/>
              </w:rPr>
            </w:pPr>
            <w:r>
              <w:rPr>
                <w:rFonts w:ascii="Arial" w:cs="Arial" w:eastAsia="Arial" w:hAnsi="Arial"/>
                <w:sz w:val="11"/>
                <w:szCs w:val="11"/>
                <w:b w:val="1"/>
                <w:bCs w:val="1"/>
                <w:color w:val="auto"/>
                <w:w w:val="96"/>
              </w:rPr>
              <w:t>Comprehensive</w:t>
            </w: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right"/>
              <w:ind w:right="120"/>
              <w:spacing w:after="0" w:line="100"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2640" w:type="dxa"/>
            <w:vAlign w:val="bottom"/>
          </w:tcPr>
          <w:p>
            <w:pPr>
              <w:ind w:left="40"/>
              <w:spacing w:after="0"/>
              <w:rPr>
                <w:sz w:val="20"/>
                <w:szCs w:val="20"/>
                <w:color w:val="auto"/>
              </w:rPr>
            </w:pPr>
            <w:r>
              <w:rPr>
                <w:rFonts w:ascii="Arial" w:cs="Arial" w:eastAsia="Arial" w:hAnsi="Arial"/>
                <w:sz w:val="11"/>
                <w:szCs w:val="11"/>
                <w:b w:val="1"/>
                <w:bCs w:val="1"/>
                <w:color w:val="auto"/>
              </w:rPr>
              <w:t>shares in thousands)</w:t>
            </w:r>
          </w:p>
        </w:tc>
        <w:tc>
          <w:tcPr>
            <w:tcW w:w="960" w:type="dxa"/>
            <w:vAlign w:val="bottom"/>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580" w:type="dxa"/>
            <w:vAlign w:val="bottom"/>
          </w:tcPr>
          <w:p>
            <w:pPr>
              <w:jc w:val="right"/>
              <w:ind w:right="79"/>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620" w:type="dxa"/>
            <w:vAlign w:val="bottom"/>
          </w:tcPr>
          <w:p>
            <w:pPr>
              <w:jc w:val="right"/>
              <w:ind w:right="80"/>
              <w:spacing w:after="0"/>
              <w:rPr>
                <w:sz w:val="20"/>
                <w:szCs w:val="20"/>
                <w:color w:val="auto"/>
              </w:rPr>
            </w:pPr>
            <w:r>
              <w:rPr>
                <w:rFonts w:ascii="Arial" w:cs="Arial" w:eastAsia="Arial" w:hAnsi="Arial"/>
                <w:sz w:val="11"/>
                <w:szCs w:val="11"/>
                <w:b w:val="1"/>
                <w:bCs w:val="1"/>
                <w:color w:val="auto"/>
              </w:rPr>
              <w:t>Capital</w:t>
            </w:r>
          </w:p>
        </w:tc>
        <w:tc>
          <w:tcPr>
            <w:tcW w:w="34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1"/>
                <w:szCs w:val="11"/>
                <w:b w:val="1"/>
                <w:bCs w:val="1"/>
                <w:color w:val="auto"/>
              </w:rPr>
              <w:t>Earnings</w:t>
            </w:r>
          </w:p>
        </w:tc>
        <w:tc>
          <w:tcPr>
            <w:tcW w:w="180" w:type="dxa"/>
            <w:vAlign w:val="bottom"/>
          </w:tcPr>
          <w:p>
            <w:pPr>
              <w:spacing w:after="0"/>
              <w:rPr>
                <w:sz w:val="12"/>
                <w:szCs w:val="12"/>
                <w:color w:val="auto"/>
              </w:rPr>
            </w:pPr>
          </w:p>
        </w:tc>
        <w:tc>
          <w:tcPr>
            <w:tcW w:w="820" w:type="dxa"/>
            <w:vAlign w:val="bottom"/>
          </w:tcPr>
          <w:p>
            <w:pPr>
              <w:jc w:val="right"/>
              <w:ind w:right="81"/>
              <w:spacing w:after="0"/>
              <w:rPr>
                <w:sz w:val="20"/>
                <w:szCs w:val="20"/>
                <w:color w:val="auto"/>
              </w:rPr>
            </w:pPr>
            <w:r>
              <w:rPr>
                <w:rFonts w:ascii="Arial" w:cs="Arial" w:eastAsia="Arial" w:hAnsi="Arial"/>
                <w:sz w:val="11"/>
                <w:szCs w:val="11"/>
                <w:b w:val="1"/>
                <w:bCs w:val="1"/>
                <w:color w:val="auto"/>
                <w:w w:val="97"/>
              </w:rPr>
              <w:t>Benefit Trust</w:t>
            </w:r>
          </w:p>
        </w:tc>
        <w:tc>
          <w:tcPr>
            <w:tcW w:w="200" w:type="dxa"/>
            <w:vAlign w:val="bottom"/>
          </w:tcPr>
          <w:p>
            <w:pPr>
              <w:spacing w:after="0"/>
              <w:rPr>
                <w:sz w:val="12"/>
                <w:szCs w:val="12"/>
                <w:color w:val="auto"/>
              </w:rPr>
            </w:pPr>
          </w:p>
        </w:tc>
        <w:tc>
          <w:tcPr>
            <w:tcW w:w="1100" w:type="dxa"/>
            <w:vAlign w:val="bottom"/>
          </w:tcPr>
          <w:p>
            <w:pPr>
              <w:jc w:val="center"/>
              <w:ind w:right="180"/>
              <w:spacing w:after="0"/>
              <w:rPr>
                <w:sz w:val="20"/>
                <w:szCs w:val="20"/>
                <w:color w:val="auto"/>
              </w:rPr>
            </w:pPr>
            <w:r>
              <w:rPr>
                <w:rFonts w:ascii="Arial" w:cs="Arial" w:eastAsia="Arial" w:hAnsi="Arial"/>
                <w:sz w:val="11"/>
                <w:szCs w:val="11"/>
                <w:b w:val="1"/>
                <w:bCs w:val="1"/>
                <w:color w:val="auto"/>
              </w:rPr>
              <w:t>Loss</w:t>
            </w:r>
          </w:p>
        </w:tc>
        <w:tc>
          <w:tcPr>
            <w:tcW w:w="720" w:type="dxa"/>
            <w:vAlign w:val="bottom"/>
          </w:tcPr>
          <w:p>
            <w:pPr>
              <w:jc w:val="right"/>
              <w:ind w:right="14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640" w:type="dxa"/>
            <w:vAlign w:val="bottom"/>
          </w:tcPr>
          <w:p>
            <w:pPr>
              <w:jc w:val="right"/>
              <w:ind w:right="139"/>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980" w:type="dxa"/>
            <w:vAlign w:val="bottom"/>
          </w:tcPr>
          <w:p>
            <w:pPr>
              <w:jc w:val="right"/>
              <w:ind w:right="300"/>
              <w:spacing w:after="0"/>
              <w:rPr>
                <w:sz w:val="20"/>
                <w:szCs w:val="20"/>
                <w:color w:val="auto"/>
              </w:rPr>
            </w:pPr>
            <w:r>
              <w:rPr>
                <w:rFonts w:ascii="Arial" w:cs="Arial" w:eastAsia="Arial" w:hAnsi="Arial"/>
                <w:sz w:val="11"/>
                <w:szCs w:val="11"/>
                <w:b w:val="1"/>
                <w:bCs w:val="1"/>
                <w:color w:val="auto"/>
              </w:rPr>
              <w:t>Interest</w:t>
            </w: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July 1, 2018</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1,077,548</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673.5</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5,825.7</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14,247.3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(3,013.2)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(6,108.7)</w:t>
            </w: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604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(69.4)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65.6</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100"/>
              <w:spacing w:after="0"/>
              <w:rPr>
                <w:sz w:val="20"/>
                <w:szCs w:val="20"/>
                <w:color w:val="auto"/>
              </w:rPr>
            </w:pPr>
            <w:r>
              <w:rPr>
                <w:rFonts w:ascii="Arial" w:cs="Arial" w:eastAsia="Arial" w:hAnsi="Arial"/>
                <w:sz w:val="13"/>
                <w:szCs w:val="13"/>
                <w:color w:val="auto"/>
              </w:rPr>
              <w:t>1,149.5</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0"/>
              <w:spacing w:after="0"/>
              <w:rPr>
                <w:sz w:val="20"/>
                <w:szCs w:val="20"/>
                <w:color w:val="auto"/>
              </w:rPr>
            </w:pPr>
            <w:r>
              <w:rPr>
                <w:rFonts w:ascii="Arial" w:cs="Arial" w:eastAsia="Arial" w:hAnsi="Arial"/>
                <w:sz w:val="13"/>
                <w:szCs w:val="13"/>
                <w:color w:val="auto"/>
              </w:rPr>
              <w:t>660.2</w:t>
            </w: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tcPr>
          <w:p>
            <w:pPr>
              <w:jc w:val="right"/>
              <w:ind w:right="40"/>
              <w:spacing w:after="0"/>
              <w:rPr>
                <w:sz w:val="20"/>
                <w:szCs w:val="20"/>
                <w:color w:val="auto"/>
              </w:rPr>
            </w:pPr>
            <w:r>
              <w:rPr>
                <w:rFonts w:ascii="Arial" w:cs="Arial" w:eastAsia="Arial" w:hAnsi="Arial"/>
                <w:sz w:val="13"/>
                <w:szCs w:val="13"/>
                <w:color w:val="auto"/>
              </w:rPr>
              <w:t>(10,191)</w:t>
            </w:r>
          </w:p>
        </w:tc>
        <w:tc>
          <w:tcPr>
            <w:tcW w:w="22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3"/>
                <w:szCs w:val="13"/>
                <w:color w:val="auto"/>
              </w:rPr>
              <w:t>(6.4)</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60"/>
              <w:spacing w:after="0"/>
              <w:rPr>
                <w:sz w:val="20"/>
                <w:szCs w:val="20"/>
                <w:color w:val="auto"/>
              </w:rPr>
            </w:pPr>
            <w:r>
              <w:rPr>
                <w:rFonts w:ascii="Arial" w:cs="Arial" w:eastAsia="Arial" w:hAnsi="Arial"/>
                <w:sz w:val="13"/>
                <w:szCs w:val="13"/>
                <w:color w:val="auto"/>
              </w:rPr>
              <w:t>(993.7)</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(10,191)</w:t>
            </w:r>
          </w:p>
        </w:tc>
        <w:tc>
          <w:tcPr>
            <w:tcW w:w="220" w:type="dxa"/>
            <w:vAlign w:val="bottom"/>
          </w:tcPr>
          <w:p>
            <w:pPr>
              <w:spacing w:after="0"/>
              <w:rPr>
                <w:sz w:val="22"/>
                <w:szCs w:val="22"/>
                <w:color w:val="auto"/>
              </w:rPr>
            </w:pPr>
          </w:p>
        </w:tc>
        <w:tc>
          <w:tcPr>
            <w:tcW w:w="640" w:type="dxa"/>
            <w:vAlign w:val="bottom"/>
          </w:tcPr>
          <w:p>
            <w:pPr>
              <w:jc w:val="right"/>
              <w:ind w:right="59"/>
              <w:spacing w:after="0"/>
              <w:rPr>
                <w:sz w:val="20"/>
                <w:szCs w:val="20"/>
                <w:color w:val="auto"/>
              </w:rPr>
            </w:pPr>
            <w:r>
              <w:rPr>
                <w:rFonts w:ascii="Arial" w:cs="Arial" w:eastAsia="Arial" w:hAnsi="Arial"/>
                <w:sz w:val="13"/>
                <w:szCs w:val="13"/>
                <w:color w:val="auto"/>
              </w:rPr>
              <w:t>1,000.0</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Purchase of treasury shares</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10,191</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(1,000.0)</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56"/>
        </w:trPr>
        <w:tc>
          <w:tcPr>
            <w:tcW w:w="2640" w:type="dxa"/>
            <w:vAlign w:val="bottom"/>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40" w:type="dxa"/>
            <w:vAlign w:val="bottom"/>
          </w:tcPr>
          <w:p>
            <w:pPr>
              <w:ind w:left="40"/>
              <w:spacing w:after="0"/>
              <w:rPr>
                <w:sz w:val="20"/>
                <w:szCs w:val="20"/>
                <w:color w:val="auto"/>
              </w:rPr>
            </w:pPr>
            <w:r>
              <w:rPr>
                <w:rFonts w:ascii="Arial" w:cs="Arial" w:eastAsia="Arial" w:hAnsi="Arial"/>
                <w:sz w:val="13"/>
                <w:szCs w:val="13"/>
                <w:color w:val="auto"/>
              </w:rPr>
              <w:t>plans, net</w:t>
            </w:r>
          </w:p>
        </w:tc>
        <w:tc>
          <w:tcPr>
            <w:tcW w:w="960" w:type="dxa"/>
            <w:vAlign w:val="bottom"/>
          </w:tcPr>
          <w:p>
            <w:pPr>
              <w:jc w:val="right"/>
              <w:ind w:right="80"/>
              <w:spacing w:after="0"/>
              <w:rPr>
                <w:sz w:val="20"/>
                <w:szCs w:val="20"/>
                <w:color w:val="auto"/>
              </w:rPr>
            </w:pPr>
            <w:r>
              <w:rPr>
                <w:rFonts w:ascii="Arial" w:cs="Arial" w:eastAsia="Arial" w:hAnsi="Arial"/>
                <w:sz w:val="13"/>
                <w:szCs w:val="13"/>
                <w:color w:val="auto"/>
              </w:rPr>
              <w:t>17</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(0.5)</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Sale of Elanco stock</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629.2</w:t>
            </w: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60"/>
              <w:spacing w:after="0"/>
              <w:rPr>
                <w:sz w:val="20"/>
                <w:szCs w:val="20"/>
                <w:color w:val="auto"/>
              </w:rPr>
            </w:pPr>
            <w:r>
              <w:rPr>
                <w:rFonts w:ascii="Arial" w:cs="Arial" w:eastAsia="Arial" w:hAnsi="Arial"/>
                <w:sz w:val="13"/>
                <w:szCs w:val="13"/>
                <w:color w:val="auto"/>
              </w:rPr>
              <w:t>9.0</w:t>
            </w: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3"/>
                <w:szCs w:val="13"/>
                <w:color w:val="auto"/>
              </w:rPr>
              <w:t>1,017.2</w:t>
            </w:r>
          </w:p>
        </w:tc>
      </w:tr>
      <w:tr>
        <w:trPr>
          <w:trHeight w:val="27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3"/>
                <w:szCs w:val="13"/>
                <w:color w:val="auto"/>
              </w:rPr>
              <w:t>5.6</w:t>
            </w: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27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 at September 30, 2018</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1,067,374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667.1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6,522.9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color w:val="auto"/>
              </w:rPr>
              <w:t>14,408.7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rPr>
              <w:t>(3,013.2)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color w:val="auto"/>
              </w:rPr>
              <w:t>(5,439.5)</w:t>
            </w: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604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(69.4)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1,074.3</w:t>
            </w:r>
          </w:p>
        </w:tc>
      </w:tr>
      <w:tr>
        <w:trPr>
          <w:trHeight w:val="324"/>
        </w:trPr>
        <w:tc>
          <w:tcPr>
            <w:tcW w:w="2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86"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July 1, 2019</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Other comprehensive income, net of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Purchase of treasury shares </w:t>
      </w:r>
      <w:r>
        <w:rPr>
          <w:rFonts w:ascii="Arial" w:cs="Arial" w:eastAsia="Arial" w:hAnsi="Arial"/>
          <w:sz w:val="8"/>
          <w:szCs w:val="8"/>
          <w:color w:val="auto"/>
        </w:rPr>
        <w:t>(1)</w:t>
      </w:r>
    </w:p>
    <w:p>
      <w:pPr>
        <w:spacing w:after="0" w:line="40" w:lineRule="exact"/>
        <w:rPr>
          <w:sz w:val="20"/>
          <w:szCs w:val="20"/>
          <w:color w:val="auto"/>
        </w:rPr>
      </w:pPr>
    </w:p>
    <w:p>
      <w:pPr>
        <w:ind w:left="4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right="720"/>
        <w:spacing w:after="0" w:line="437" w:lineRule="auto"/>
        <w:rPr>
          <w:sz w:val="20"/>
          <w:szCs w:val="20"/>
          <w:color w:val="auto"/>
        </w:rPr>
      </w:pPr>
      <w:r>
        <w:rPr>
          <w:rFonts w:ascii="Arial" w:cs="Arial" w:eastAsia="Arial" w:hAnsi="Arial"/>
          <w:sz w:val="13"/>
          <w:szCs w:val="13"/>
          <w:color w:val="auto"/>
        </w:rPr>
        <w:t>Stock-based compensation Other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September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auto"/>
              </w:rPr>
              <w:t>965,957</w:t>
            </w:r>
          </w:p>
        </w:tc>
        <w:tc>
          <w:tcPr>
            <w:tcW w:w="2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603.7</w:t>
            </w:r>
          </w:p>
        </w:tc>
        <w:tc>
          <w:tcPr>
            <w:tcW w:w="26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6,534.5</w:t>
            </w:r>
          </w:p>
        </w:tc>
        <w:tc>
          <w:tcPr>
            <w:tcW w:w="2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4,318.1</w:t>
            </w:r>
          </w:p>
        </w:tc>
        <w:tc>
          <w:tcPr>
            <w:tcW w:w="28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0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17"/>
              <w:spacing w:after="0"/>
              <w:rPr>
                <w:sz w:val="20"/>
                <w:szCs w:val="20"/>
                <w:color w:val="auto"/>
              </w:rPr>
            </w:pPr>
            <w:r>
              <w:rPr>
                <w:rFonts w:ascii="Arial" w:cs="Arial" w:eastAsia="Arial" w:hAnsi="Arial"/>
                <w:sz w:val="13"/>
                <w:szCs w:val="13"/>
                <w:b w:val="1"/>
                <w:bCs w:val="1"/>
                <w:color w:val="auto"/>
              </w:rPr>
              <w:t>(5,600.5)</w:t>
            </w:r>
          </w:p>
        </w:tc>
        <w:tc>
          <w:tcPr>
            <w:tcW w:w="700" w:type="dxa"/>
            <w:vAlign w:val="bottom"/>
          </w:tcPr>
          <w:p>
            <w:pPr>
              <w:jc w:val="right"/>
              <w:ind w:right="77"/>
              <w:spacing w:after="0"/>
              <w:rPr>
                <w:sz w:val="20"/>
                <w:szCs w:val="20"/>
                <w:color w:val="auto"/>
              </w:rPr>
            </w:pPr>
            <w:r>
              <w:rPr>
                <w:rFonts w:ascii="Arial" w:cs="Arial" w:eastAsia="Arial" w:hAnsi="Arial"/>
                <w:sz w:val="13"/>
                <w:szCs w:val="13"/>
                <w:b w:val="1"/>
                <w:bCs w:val="1"/>
                <w:color w:val="auto"/>
              </w:rPr>
              <w:t>541</w:t>
            </w:r>
          </w:p>
        </w:tc>
        <w:tc>
          <w:tcPr>
            <w:tcW w:w="28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b w:val="1"/>
                <w:bCs w:val="1"/>
                <w:color w:val="auto"/>
              </w:rPr>
              <w:t>(62.1)</w:t>
            </w:r>
          </w:p>
        </w:tc>
        <w:tc>
          <w:tcPr>
            <w:tcW w:w="52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76.8</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rPr>
              <w:t>1,253.9</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4.6</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117"/>
              <w:spacing w:after="0"/>
              <w:rPr>
                <w:sz w:val="20"/>
                <w:szCs w:val="20"/>
                <w:color w:val="auto"/>
              </w:rPr>
            </w:pPr>
            <w:r>
              <w:rPr>
                <w:rFonts w:ascii="Arial" w:cs="Arial" w:eastAsia="Arial" w:hAnsi="Arial"/>
                <w:sz w:val="13"/>
                <w:szCs w:val="13"/>
                <w:b w:val="1"/>
                <w:bCs w:val="1"/>
                <w:color w:val="auto"/>
              </w:rPr>
              <w:t>(134.0)</w:t>
            </w: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(5,391)</w:t>
            </w:r>
          </w:p>
        </w:tc>
        <w:tc>
          <w:tcPr>
            <w:tcW w:w="28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(3.3)</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(596.6)</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(5,391)</w:t>
            </w:r>
          </w:p>
        </w:tc>
        <w:tc>
          <w:tcPr>
            <w:tcW w:w="280" w:type="dxa"/>
            <w:vAlign w:val="bottom"/>
          </w:tcPr>
          <w:p>
            <w:pPr>
              <w:spacing w:after="0"/>
              <w:rPr>
                <w:sz w:val="23"/>
                <w:szCs w:val="23"/>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600.0</w:t>
            </w: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b w:val="1"/>
                <w:bCs w:val="1"/>
                <w:color w:val="auto"/>
              </w:rPr>
              <w:t>5,391</w:t>
            </w:r>
          </w:p>
        </w:tc>
        <w:tc>
          <w:tcPr>
            <w:tcW w:w="2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b w:val="1"/>
                <w:bCs w:val="1"/>
                <w:color w:val="auto"/>
              </w:rPr>
              <w:t>(600.0)</w:t>
            </w: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24"/>
        </w:trPr>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auto"/>
              </w:rPr>
              <w:t>10</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(1.3)</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(11)</w:t>
            </w:r>
          </w:p>
        </w:tc>
        <w:tc>
          <w:tcPr>
            <w:tcW w:w="280" w:type="dxa"/>
            <w:vAlign w:val="bottom"/>
          </w:tcPr>
          <w:p>
            <w:pPr>
              <w:spacing w:after="0"/>
              <w:rPr>
                <w:sz w:val="24"/>
                <w:szCs w:val="2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1.3</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75.5</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80"/>
        </w:trPr>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6.5</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w:t>
            </w:r>
          </w:p>
        </w:tc>
      </w:tr>
      <w:tr>
        <w:trPr>
          <w:trHeight w:val="277"/>
        </w:trPr>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960,576</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600.4</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6,608.7</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4,981.9</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(5,734.5)</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530</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(60.8)</w:t>
            </w:r>
          </w:p>
        </w:tc>
        <w:tc>
          <w:tcPr>
            <w:tcW w:w="5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-1431290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-1088390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-745490</wp:posOffset>
            </wp:positionV>
            <wp:extent cx="72466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-368300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280" w:space="360"/>
            <w:col w:w="8780"/>
          </w:cols>
          <w:pgMar w:left="240" w:top="576" w:right="239" w:bottom="1440" w:gutter="0" w:footer="0" w:header="0"/>
          <w:type w:val="continuous"/>
        </w:sectPr>
      </w:pPr>
    </w:p>
    <w:p>
      <w:pPr>
        <w:ind w:left="160" w:hanging="152"/>
        <w:spacing w:after="0"/>
        <w:tabs>
          <w:tab w:leader="none" w:pos="160" w:val="left"/>
        </w:tabs>
        <w:numPr>
          <w:ilvl w:val="0"/>
          <w:numId w:val="4"/>
        </w:numPr>
        <w:rPr>
          <w:rFonts w:ascii="Arial" w:cs="Arial" w:eastAsia="Arial" w:hAnsi="Arial"/>
          <w:sz w:val="9"/>
          <w:szCs w:val="9"/>
          <w:color w:val="auto"/>
        </w:rPr>
      </w:pPr>
      <w:r>
        <w:rPr>
          <w:rFonts w:ascii="Arial" w:cs="Arial" w:eastAsia="Arial" w:hAnsi="Arial"/>
          <w:sz w:val="13"/>
          <w:szCs w:val="13"/>
          <w:color w:val="auto"/>
        </w:rPr>
        <w:t>As of September 30, 2019, there was $1.80 billion remaining under our $8.00 billion share repurchase program authorized in June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76"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42"/>
        </w:trPr>
        <w:tc>
          <w:tcPr>
            <w:tcW w:w="2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40" w:type="dxa"/>
            <w:vAlign w:val="bottom"/>
            <w:gridSpan w:val="6"/>
          </w:tcPr>
          <w:p>
            <w:pPr>
              <w:jc w:val="right"/>
              <w:ind w:right="920"/>
              <w:spacing w:after="0"/>
              <w:rPr>
                <w:sz w:val="20"/>
                <w:szCs w:val="20"/>
                <w:color w:val="auto"/>
              </w:rPr>
            </w:pPr>
            <w:r>
              <w:rPr>
                <w:rFonts w:ascii="Arial" w:cs="Arial" w:eastAsia="Arial" w:hAnsi="Arial"/>
                <w:sz w:val="11"/>
                <w:szCs w:val="11"/>
                <w:b w:val="1"/>
                <w:bCs w:val="1"/>
                <w:color w:val="auto"/>
                <w:w w:val="98"/>
              </w:rPr>
              <w:t>Equity of Eli Lilly and Company Shareholders</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
        </w:trPr>
        <w:tc>
          <w:tcPr>
            <w:tcW w:w="2520" w:type="dxa"/>
            <w:vAlign w:val="bottom"/>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9"/>
        </w:trPr>
        <w:tc>
          <w:tcPr>
            <w:tcW w:w="252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660" w:type="dxa"/>
            <w:vAlign w:val="bottom"/>
          </w:tcPr>
          <w:p>
            <w:pPr>
              <w:jc w:val="right"/>
              <w:ind w:right="40"/>
              <w:spacing w:after="0"/>
              <w:rPr>
                <w:sz w:val="20"/>
                <w:szCs w:val="20"/>
                <w:color w:val="auto"/>
              </w:rPr>
            </w:pPr>
            <w:r>
              <w:rPr>
                <w:rFonts w:ascii="Arial" w:cs="Arial" w:eastAsia="Arial" w:hAnsi="Arial"/>
                <w:sz w:val="11"/>
                <w:szCs w:val="11"/>
                <w:b w:val="1"/>
                <w:bCs w:val="1"/>
                <w:color w:val="auto"/>
              </w:rPr>
              <w:t>Additional</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8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00"/>
        </w:trPr>
        <w:tc>
          <w:tcPr>
            <w:tcW w:w="252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(Dollars in millions, except per-share data, and</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jc w:val="right"/>
              <w:ind w:right="140"/>
              <w:spacing w:after="0" w:line="100" w:lineRule="exact"/>
              <w:rPr>
                <w:sz w:val="20"/>
                <w:szCs w:val="20"/>
                <w:color w:val="auto"/>
              </w:rPr>
            </w:pPr>
            <w:r>
              <w:rPr>
                <w:rFonts w:ascii="Arial" w:cs="Arial" w:eastAsia="Arial" w:hAnsi="Arial"/>
                <w:sz w:val="11"/>
                <w:szCs w:val="11"/>
                <w:b w:val="1"/>
                <w:bCs w:val="1"/>
                <w:color w:val="auto"/>
              </w:rPr>
              <w:t>Paid-in</w:t>
            </w:r>
          </w:p>
        </w:tc>
        <w:tc>
          <w:tcPr>
            <w:tcW w:w="300" w:type="dxa"/>
            <w:vAlign w:val="bottom"/>
          </w:tcPr>
          <w:p>
            <w:pPr>
              <w:spacing w:after="0"/>
              <w:rPr>
                <w:sz w:val="8"/>
                <w:szCs w:val="8"/>
                <w:color w:val="auto"/>
              </w:rPr>
            </w:pPr>
          </w:p>
        </w:tc>
        <w:tc>
          <w:tcPr>
            <w:tcW w:w="720" w:type="dxa"/>
            <w:vAlign w:val="bottom"/>
          </w:tcPr>
          <w:p>
            <w:pPr>
              <w:jc w:val="right"/>
              <w:ind w:right="159"/>
              <w:spacing w:after="0" w:line="100" w:lineRule="exact"/>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8"/>
                <w:szCs w:val="8"/>
                <w:color w:val="auto"/>
              </w:rPr>
            </w:pPr>
          </w:p>
        </w:tc>
        <w:tc>
          <w:tcPr>
            <w:tcW w:w="820" w:type="dxa"/>
            <w:vAlign w:val="bottom"/>
          </w:tcPr>
          <w:p>
            <w:pPr>
              <w:jc w:val="right"/>
              <w:ind w:right="181"/>
              <w:spacing w:after="0" w:line="100" w:lineRule="exact"/>
              <w:rPr>
                <w:sz w:val="20"/>
                <w:szCs w:val="20"/>
                <w:color w:val="auto"/>
              </w:rPr>
            </w:pPr>
            <w:r>
              <w:rPr>
                <w:rFonts w:ascii="Arial" w:cs="Arial" w:eastAsia="Arial" w:hAnsi="Arial"/>
                <w:sz w:val="11"/>
                <w:szCs w:val="11"/>
                <w:b w:val="1"/>
                <w:bCs w:val="1"/>
                <w:color w:val="auto"/>
              </w:rPr>
              <w:t>Employee</w:t>
            </w:r>
          </w:p>
        </w:tc>
        <w:tc>
          <w:tcPr>
            <w:tcW w:w="200" w:type="dxa"/>
            <w:vAlign w:val="bottom"/>
          </w:tcPr>
          <w:p>
            <w:pPr>
              <w:spacing w:after="0"/>
              <w:rPr>
                <w:sz w:val="8"/>
                <w:szCs w:val="8"/>
                <w:color w:val="auto"/>
              </w:rPr>
            </w:pPr>
          </w:p>
        </w:tc>
        <w:tc>
          <w:tcPr>
            <w:tcW w:w="1100" w:type="dxa"/>
            <w:vAlign w:val="bottom"/>
          </w:tcPr>
          <w:p>
            <w:pPr>
              <w:jc w:val="center"/>
              <w:ind w:right="180"/>
              <w:spacing w:after="0" w:line="100" w:lineRule="exact"/>
              <w:rPr>
                <w:sz w:val="20"/>
                <w:szCs w:val="20"/>
                <w:color w:val="auto"/>
              </w:rPr>
            </w:pPr>
            <w:r>
              <w:rPr>
                <w:rFonts w:ascii="Arial" w:cs="Arial" w:eastAsia="Arial" w:hAnsi="Arial"/>
                <w:sz w:val="11"/>
                <w:szCs w:val="11"/>
                <w:b w:val="1"/>
                <w:bCs w:val="1"/>
                <w:color w:val="auto"/>
                <w:w w:val="99"/>
              </w:rPr>
              <w:t>Comprehensive</w:t>
            </w: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right"/>
              <w:ind w:right="120"/>
              <w:spacing w:after="0" w:line="100"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2520" w:type="dxa"/>
            <w:vAlign w:val="bottom"/>
          </w:tcPr>
          <w:p>
            <w:pPr>
              <w:ind w:left="40"/>
              <w:spacing w:after="0"/>
              <w:rPr>
                <w:sz w:val="20"/>
                <w:szCs w:val="20"/>
                <w:color w:val="auto"/>
              </w:rPr>
            </w:pPr>
            <w:r>
              <w:rPr>
                <w:rFonts w:ascii="Arial" w:cs="Arial" w:eastAsia="Arial" w:hAnsi="Arial"/>
                <w:sz w:val="11"/>
                <w:szCs w:val="11"/>
                <w:b w:val="1"/>
                <w:bCs w:val="1"/>
                <w:color w:val="auto"/>
              </w:rPr>
              <w:t>shares in thousands)</w:t>
            </w:r>
          </w:p>
        </w:tc>
        <w:tc>
          <w:tcPr>
            <w:tcW w:w="960" w:type="dxa"/>
            <w:vAlign w:val="bottom"/>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580" w:type="dxa"/>
            <w:vAlign w:val="bottom"/>
          </w:tcPr>
          <w:p>
            <w:pPr>
              <w:jc w:val="right"/>
              <w:ind w:right="99"/>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660" w:type="dxa"/>
            <w:vAlign w:val="bottom"/>
          </w:tcPr>
          <w:p>
            <w:pPr>
              <w:jc w:val="right"/>
              <w:ind w:right="140"/>
              <w:spacing w:after="0"/>
              <w:rPr>
                <w:sz w:val="20"/>
                <w:szCs w:val="20"/>
                <w:color w:val="auto"/>
              </w:rPr>
            </w:pPr>
            <w:r>
              <w:rPr>
                <w:rFonts w:ascii="Arial" w:cs="Arial" w:eastAsia="Arial" w:hAnsi="Arial"/>
                <w:sz w:val="11"/>
                <w:szCs w:val="11"/>
                <w:b w:val="1"/>
                <w:bCs w:val="1"/>
                <w:color w:val="auto"/>
              </w:rPr>
              <w:t>Capital</w:t>
            </w:r>
          </w:p>
        </w:tc>
        <w:tc>
          <w:tcPr>
            <w:tcW w:w="300" w:type="dxa"/>
            <w:vAlign w:val="bottom"/>
          </w:tcPr>
          <w:p>
            <w:pPr>
              <w:spacing w:after="0"/>
              <w:rPr>
                <w:sz w:val="12"/>
                <w:szCs w:val="12"/>
                <w:color w:val="auto"/>
              </w:rPr>
            </w:pPr>
          </w:p>
        </w:tc>
        <w:tc>
          <w:tcPr>
            <w:tcW w:w="720" w:type="dxa"/>
            <w:vAlign w:val="bottom"/>
          </w:tcPr>
          <w:p>
            <w:pPr>
              <w:jc w:val="right"/>
              <w:ind w:right="159"/>
              <w:spacing w:after="0"/>
              <w:rPr>
                <w:sz w:val="20"/>
                <w:szCs w:val="20"/>
                <w:color w:val="auto"/>
              </w:rPr>
            </w:pPr>
            <w:r>
              <w:rPr>
                <w:rFonts w:ascii="Arial" w:cs="Arial" w:eastAsia="Arial" w:hAnsi="Arial"/>
                <w:sz w:val="11"/>
                <w:szCs w:val="11"/>
                <w:b w:val="1"/>
                <w:bCs w:val="1"/>
                <w:color w:val="auto"/>
              </w:rPr>
              <w:t>Earnings</w:t>
            </w:r>
          </w:p>
        </w:tc>
        <w:tc>
          <w:tcPr>
            <w:tcW w:w="200" w:type="dxa"/>
            <w:vAlign w:val="bottom"/>
          </w:tcPr>
          <w:p>
            <w:pPr>
              <w:spacing w:after="0"/>
              <w:rPr>
                <w:sz w:val="12"/>
                <w:szCs w:val="12"/>
                <w:color w:val="auto"/>
              </w:rPr>
            </w:pPr>
          </w:p>
        </w:tc>
        <w:tc>
          <w:tcPr>
            <w:tcW w:w="820" w:type="dxa"/>
            <w:vAlign w:val="bottom"/>
          </w:tcPr>
          <w:p>
            <w:pPr>
              <w:jc w:val="right"/>
              <w:ind w:right="101"/>
              <w:spacing w:after="0"/>
              <w:rPr>
                <w:sz w:val="20"/>
                <w:szCs w:val="20"/>
                <w:color w:val="auto"/>
              </w:rPr>
            </w:pPr>
            <w:r>
              <w:rPr>
                <w:rFonts w:ascii="Arial" w:cs="Arial" w:eastAsia="Arial" w:hAnsi="Arial"/>
                <w:sz w:val="11"/>
                <w:szCs w:val="11"/>
                <w:b w:val="1"/>
                <w:bCs w:val="1"/>
                <w:color w:val="auto"/>
                <w:w w:val="94"/>
              </w:rPr>
              <w:t>Benefit Trust</w:t>
            </w:r>
          </w:p>
        </w:tc>
        <w:tc>
          <w:tcPr>
            <w:tcW w:w="200" w:type="dxa"/>
            <w:vAlign w:val="bottom"/>
          </w:tcPr>
          <w:p>
            <w:pPr>
              <w:spacing w:after="0"/>
              <w:rPr>
                <w:sz w:val="12"/>
                <w:szCs w:val="12"/>
                <w:color w:val="auto"/>
              </w:rPr>
            </w:pPr>
          </w:p>
        </w:tc>
        <w:tc>
          <w:tcPr>
            <w:tcW w:w="1100" w:type="dxa"/>
            <w:vAlign w:val="bottom"/>
          </w:tcPr>
          <w:p>
            <w:pPr>
              <w:jc w:val="center"/>
              <w:ind w:right="180"/>
              <w:spacing w:after="0"/>
              <w:rPr>
                <w:sz w:val="20"/>
                <w:szCs w:val="20"/>
                <w:color w:val="auto"/>
              </w:rPr>
            </w:pPr>
            <w:r>
              <w:rPr>
                <w:rFonts w:ascii="Arial" w:cs="Arial" w:eastAsia="Arial" w:hAnsi="Arial"/>
                <w:sz w:val="11"/>
                <w:szCs w:val="11"/>
                <w:b w:val="1"/>
                <w:bCs w:val="1"/>
                <w:color w:val="auto"/>
              </w:rPr>
              <w:t>Loss</w:t>
            </w:r>
          </w:p>
        </w:tc>
        <w:tc>
          <w:tcPr>
            <w:tcW w:w="820" w:type="dxa"/>
            <w:vAlign w:val="bottom"/>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640" w:type="dxa"/>
            <w:vAlign w:val="bottom"/>
          </w:tcPr>
          <w:p>
            <w:pPr>
              <w:jc w:val="right"/>
              <w:ind w:right="13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980" w:type="dxa"/>
            <w:vAlign w:val="bottom"/>
          </w:tcPr>
          <w:p>
            <w:pPr>
              <w:jc w:val="right"/>
              <w:ind w:right="280"/>
              <w:spacing w:after="0"/>
              <w:rPr>
                <w:sz w:val="20"/>
                <w:szCs w:val="20"/>
                <w:color w:val="auto"/>
              </w:rPr>
            </w:pPr>
            <w:r>
              <w:rPr>
                <w:rFonts w:ascii="Arial" w:cs="Arial" w:eastAsia="Arial" w:hAnsi="Arial"/>
                <w:sz w:val="11"/>
                <w:szCs w:val="11"/>
                <w:b w:val="1"/>
                <w:bCs w:val="1"/>
                <w:color w:val="auto"/>
              </w:rPr>
              <w:t>Interests</w:t>
            </w:r>
          </w:p>
        </w:tc>
      </w:tr>
      <w:tr>
        <w:trPr>
          <w:trHeight w:val="22"/>
        </w:trPr>
        <w:tc>
          <w:tcPr>
            <w:tcW w:w="2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4"/>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January 1, 2018</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1,100,672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687.9</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5,817.8</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13,894.1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(3,013.2)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(5,718.6)</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664</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(75.8)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75.7</w:t>
            </w: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3"/>
                <w:szCs w:val="13"/>
                <w:color w:val="auto"/>
              </w:rPr>
              <w:t>2,107.0</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278"/>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loss, net of tax</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0"/>
              <w:spacing w:after="0"/>
              <w:rPr>
                <w:sz w:val="20"/>
                <w:szCs w:val="20"/>
                <w:color w:val="auto"/>
              </w:rPr>
            </w:pPr>
            <w:r>
              <w:rPr>
                <w:rFonts w:ascii="Arial" w:cs="Arial" w:eastAsia="Arial" w:hAnsi="Arial"/>
                <w:sz w:val="13"/>
                <w:szCs w:val="13"/>
                <w:color w:val="auto"/>
              </w:rPr>
              <w:t>375.3</w:t>
            </w: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Cash dividends declared per share: $1.13</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right"/>
              <w:ind w:right="59"/>
              <w:spacing w:after="0"/>
              <w:rPr>
                <w:sz w:val="20"/>
                <w:szCs w:val="20"/>
                <w:color w:val="auto"/>
              </w:rPr>
            </w:pPr>
            <w:r>
              <w:rPr>
                <w:rFonts w:ascii="Arial" w:cs="Arial" w:eastAsia="Arial" w:hAnsi="Arial"/>
                <w:sz w:val="13"/>
                <w:szCs w:val="13"/>
                <w:color w:val="auto"/>
              </w:rPr>
              <w:t>(1,148.6)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(36,014)</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(22.5)</w:t>
            </w: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(3,028.2)</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(36,014)</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3,050.7</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Purchase of treasury shares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jc w:val="right"/>
              <w:ind w:right="80"/>
              <w:spacing w:after="0"/>
              <w:rPr>
                <w:sz w:val="20"/>
                <w:szCs w:val="20"/>
                <w:color w:val="auto"/>
              </w:rPr>
            </w:pPr>
            <w:r>
              <w:rPr>
                <w:rFonts w:ascii="Arial" w:cs="Arial" w:eastAsia="Arial" w:hAnsi="Arial"/>
                <w:sz w:val="13"/>
                <w:szCs w:val="13"/>
                <w:color w:val="auto"/>
              </w:rPr>
              <w:t>36,014</w:t>
            </w:r>
          </w:p>
        </w:tc>
        <w:tc>
          <w:tcPr>
            <w:tcW w:w="220" w:type="dxa"/>
            <w:vAlign w:val="bottom"/>
          </w:tcPr>
          <w:p>
            <w:pPr>
              <w:spacing w:after="0"/>
              <w:rPr>
                <w:sz w:val="22"/>
                <w:szCs w:val="22"/>
                <w:color w:val="auto"/>
              </w:rPr>
            </w:pPr>
          </w:p>
        </w:tc>
        <w:tc>
          <w:tcPr>
            <w:tcW w:w="640" w:type="dxa"/>
            <w:vAlign w:val="bottom"/>
          </w:tcPr>
          <w:p>
            <w:pPr>
              <w:jc w:val="right"/>
              <w:ind w:right="18"/>
              <w:spacing w:after="0"/>
              <w:rPr>
                <w:sz w:val="20"/>
                <w:szCs w:val="20"/>
                <w:color w:val="auto"/>
              </w:rPr>
            </w:pPr>
            <w:r>
              <w:rPr>
                <w:rFonts w:ascii="Arial" w:cs="Arial" w:eastAsia="Arial" w:hAnsi="Arial"/>
                <w:sz w:val="13"/>
                <w:szCs w:val="13"/>
                <w:color w:val="auto"/>
              </w:rPr>
              <w:t>(3,050.7)</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64"/>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plans, net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2,716</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1.7</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w:t>
            </w: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(60)</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6.4</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3"/>
                <w:szCs w:val="13"/>
                <w:color w:val="auto"/>
              </w:rPr>
              <w:t>206.7</w:t>
            </w: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Adoption of new accounting standards</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2,584.4</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rPr>
              <w:t>(105.2)</w:t>
            </w: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2520" w:type="dxa"/>
            <w:vAlign w:val="bottom"/>
          </w:tcPr>
          <w:p>
            <w:pPr>
              <w:ind w:left="40"/>
              <w:spacing w:after="0"/>
              <w:rPr>
                <w:sz w:val="20"/>
                <w:szCs w:val="20"/>
                <w:color w:val="auto"/>
              </w:rPr>
            </w:pPr>
            <w:r>
              <w:rPr>
                <w:rFonts w:ascii="Arial" w:cs="Arial" w:eastAsia="Arial" w:hAnsi="Arial"/>
                <w:sz w:val="13"/>
                <w:szCs w:val="13"/>
                <w:color w:val="auto"/>
              </w:rPr>
              <w:t>Sale of Elanco stock</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20"/>
              <w:spacing w:after="0"/>
              <w:rPr>
                <w:sz w:val="20"/>
                <w:szCs w:val="20"/>
                <w:color w:val="auto"/>
              </w:rPr>
            </w:pPr>
            <w:r>
              <w:rPr>
                <w:rFonts w:ascii="Arial" w:cs="Arial" w:eastAsia="Arial" w:hAnsi="Arial"/>
                <w:sz w:val="13"/>
                <w:szCs w:val="13"/>
                <w:color w:val="auto"/>
              </w:rPr>
              <w:t>629.2</w:t>
            </w: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60"/>
              <w:spacing w:after="0"/>
              <w:rPr>
                <w:sz w:val="20"/>
                <w:szCs w:val="20"/>
                <w:color w:val="auto"/>
              </w:rPr>
            </w:pPr>
            <w:r>
              <w:rPr>
                <w:rFonts w:ascii="Arial" w:cs="Arial" w:eastAsia="Arial" w:hAnsi="Arial"/>
                <w:sz w:val="13"/>
                <w:szCs w:val="13"/>
                <w:color w:val="auto"/>
              </w:rPr>
              <w:t>9.0</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3"/>
                <w:szCs w:val="13"/>
                <w:color w:val="auto"/>
              </w:rPr>
              <w:t>1,017.2</w:t>
            </w:r>
          </w:p>
        </w:tc>
      </w:tr>
      <w:tr>
        <w:trPr>
          <w:trHeight w:val="272"/>
        </w:trPr>
        <w:tc>
          <w:tcPr>
            <w:tcW w:w="252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277"/>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 at September 30, 2018</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1,067,374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667.1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6,522.9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14,408.7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rPr>
              <w:t>(3,013.2)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color w:val="auto"/>
              </w:rPr>
              <w:t>(5,439.5)</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604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(69.4)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1,074.3</w:t>
            </w:r>
          </w:p>
        </w:tc>
      </w:tr>
      <w:tr>
        <w:trPr>
          <w:trHeight w:val="324"/>
        </w:trPr>
        <w:tc>
          <w:tcPr>
            <w:tcW w:w="2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86" w:lineRule="exact"/>
        <w:rPr>
          <w:sz w:val="20"/>
          <w:szCs w:val="20"/>
          <w:color w:val="auto"/>
        </w:rPr>
      </w:pPr>
    </w:p>
    <w:p>
      <w:pPr>
        <w:sectPr>
          <w:pgSz w:w="11900" w:h="16838" w:orient="portrait"/>
          <w:cols w:equalWidth="0" w:num="1">
            <w:col w:w="11420"/>
          </w:cols>
          <w:pgMar w:left="240" w:top="840" w:right="239" w:bottom="1440" w:gutter="0" w:footer="0" w:header="0"/>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January 1, 2019</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$1.29</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Purchase of treasury shares </w:t>
      </w:r>
      <w:r>
        <w:rPr>
          <w:rFonts w:ascii="Arial" w:cs="Arial" w:eastAsia="Arial" w:hAnsi="Arial"/>
          <w:sz w:val="8"/>
          <w:szCs w:val="8"/>
          <w:color w:val="auto"/>
        </w:rPr>
        <w:t>(1)</w:t>
      </w:r>
    </w:p>
    <w:p>
      <w:pPr>
        <w:spacing w:after="0" w:line="40" w:lineRule="exact"/>
        <w:rPr>
          <w:sz w:val="20"/>
          <w:szCs w:val="20"/>
          <w:color w:val="auto"/>
        </w:rPr>
      </w:pPr>
    </w:p>
    <w:p>
      <w:pPr>
        <w:ind w:left="40" w:right="8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40" w:lineRule="exact"/>
        <w:rPr>
          <w:sz w:val="20"/>
          <w:szCs w:val="20"/>
          <w:color w:val="auto"/>
        </w:rPr>
      </w:pPr>
    </w:p>
    <w:p>
      <w:pPr>
        <w:ind w:left="40" w:right="20"/>
        <w:spacing w:after="0" w:line="230" w:lineRule="auto"/>
        <w:rPr>
          <w:sz w:val="20"/>
          <w:szCs w:val="20"/>
          <w:color w:val="auto"/>
        </w:rPr>
      </w:pPr>
      <w:r>
        <w:rPr>
          <w:rFonts w:ascii="Arial" w:cs="Arial" w:eastAsia="Arial" w:hAnsi="Arial"/>
          <w:sz w:val="13"/>
          <w:szCs w:val="13"/>
          <w:color w:val="auto"/>
        </w:rPr>
        <w:t>Acquisition of common stock in exchange offer</w:t>
      </w:r>
    </w:p>
    <w:p>
      <w:pPr>
        <w:spacing w:after="0" w:line="119" w:lineRule="exact"/>
        <w:rPr>
          <w:sz w:val="20"/>
          <w:szCs w:val="20"/>
          <w:color w:val="auto"/>
        </w:rPr>
      </w:pPr>
    </w:p>
    <w:p>
      <w:pPr>
        <w:ind w:left="40" w:right="860"/>
        <w:spacing w:after="0" w:line="437" w:lineRule="auto"/>
        <w:rPr>
          <w:sz w:val="20"/>
          <w:szCs w:val="20"/>
          <w:color w:val="auto"/>
        </w:rPr>
      </w:pPr>
      <w:r>
        <w:rPr>
          <w:rFonts w:ascii="Arial" w:cs="Arial" w:eastAsia="Arial" w:hAnsi="Arial"/>
          <w:sz w:val="13"/>
          <w:szCs w:val="13"/>
          <w:color w:val="auto"/>
        </w:rPr>
        <w:t>Deconsolidation of Elanco Other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September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auto"/>
              </w:rPr>
              <w:t>1,057,639</w:t>
            </w:r>
          </w:p>
        </w:tc>
        <w:tc>
          <w:tcPr>
            <w:tcW w:w="28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661.0</w:t>
            </w:r>
          </w:p>
        </w:tc>
        <w:tc>
          <w:tcPr>
            <w:tcW w:w="26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6,583.6</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97"/>
              <w:spacing w:after="0"/>
              <w:rPr>
                <w:sz w:val="20"/>
                <w:szCs w:val="20"/>
                <w:color w:val="auto"/>
              </w:rPr>
            </w:pPr>
            <w:r>
              <w:rPr>
                <w:rFonts w:ascii="Arial" w:cs="Arial" w:eastAsia="Arial" w:hAnsi="Arial"/>
                <w:sz w:val="13"/>
                <w:szCs w:val="13"/>
                <w:b w:val="1"/>
                <w:bCs w:val="1"/>
                <w:color w:val="auto"/>
              </w:rPr>
              <w:t>11,395.9</w:t>
            </w:r>
          </w:p>
        </w:tc>
        <w:tc>
          <w:tcPr>
            <w:tcW w:w="30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0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b w:val="1"/>
                <w:bCs w:val="1"/>
                <w:color w:val="auto"/>
              </w:rPr>
              <w:t>(5,729.2)</w:t>
            </w: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rPr>
              <w:t>604</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(69.4)</w:t>
            </w:r>
          </w:p>
        </w:tc>
        <w:tc>
          <w:tcPr>
            <w:tcW w:w="40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b w:val="1"/>
                <w:bCs w:val="1"/>
                <w:color w:val="auto"/>
              </w:rPr>
              <w:t>1,080.4</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b w:val="1"/>
                <w:bCs w:val="1"/>
                <w:color w:val="auto"/>
              </w:rPr>
              <w:t>6,822.7</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b w:val="1"/>
                <w:bCs w:val="1"/>
                <w:color w:val="auto"/>
              </w:rPr>
              <w:t>25.7</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b w:val="1"/>
                <w:bCs w:val="1"/>
                <w:color w:val="auto"/>
              </w:rPr>
              <w:t>(5.3)</w:t>
            </w: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b w:val="1"/>
                <w:bCs w:val="1"/>
                <w:color w:val="auto"/>
              </w:rPr>
              <w:t>11.0</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(1,171.6)</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(100,018)</w:t>
            </w:r>
          </w:p>
        </w:tc>
        <w:tc>
          <w:tcPr>
            <w:tcW w:w="28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(62.4)</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w w:val="97"/>
              </w:rPr>
              <w:t>(12,065.1)</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(100,018)</w:t>
            </w:r>
          </w:p>
        </w:tc>
        <w:tc>
          <w:tcPr>
            <w:tcW w:w="200" w:type="dxa"/>
            <w:vAlign w:val="bottom"/>
          </w:tcPr>
          <w:p>
            <w:pPr>
              <w:spacing w:after="0"/>
              <w:rPr>
                <w:sz w:val="23"/>
                <w:szCs w:val="23"/>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auto"/>
              </w:rPr>
              <w:t>12,127.5</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rPr>
              <w:t>35,017</w:t>
            </w:r>
          </w:p>
        </w:tc>
        <w:tc>
          <w:tcPr>
            <w:tcW w:w="2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(4,100.0)</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4"/>
        </w:trPr>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auto"/>
              </w:rPr>
              <w:t>2,955</w:t>
            </w:r>
          </w:p>
        </w:tc>
        <w:tc>
          <w:tcPr>
            <w:tcW w:w="28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1.8</w:t>
            </w:r>
          </w:p>
        </w:tc>
        <w:tc>
          <w:tcPr>
            <w:tcW w:w="26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(205.7)</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(74)</w:t>
            </w:r>
          </w:p>
        </w:tc>
        <w:tc>
          <w:tcPr>
            <w:tcW w:w="200" w:type="dxa"/>
            <w:vAlign w:val="bottom"/>
          </w:tcPr>
          <w:p>
            <w:pPr>
              <w:spacing w:after="0"/>
              <w:rPr>
                <w:sz w:val="24"/>
                <w:szCs w:val="2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b w:val="1"/>
                <w:bCs w:val="1"/>
                <w:color w:val="auto"/>
              </w:rPr>
              <w:t>8.6</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230.8</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2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rPr>
              <w:t>65,001</w:t>
            </w:r>
          </w:p>
        </w:tc>
        <w:tc>
          <w:tcPr>
            <w:tcW w:w="2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(8,027.5)</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(1,028.9)</w:t>
            </w:r>
          </w:p>
        </w:tc>
      </w:tr>
      <w:tr>
        <w:trPr>
          <w:trHeight w:val="280"/>
        </w:trPr>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w:t>
            </w:r>
          </w:p>
        </w:tc>
      </w:tr>
      <w:tr>
        <w:trPr>
          <w:trHeight w:val="277"/>
        </w:trPr>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960,576</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600.4</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6,608.7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4,981.9</w:t>
            </w: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(5,734.5)</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(60.8)</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-1980565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-1637030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-1294130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-916940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-539750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-196850</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360" w:space="160"/>
            <w:col w:w="8900"/>
          </w:cols>
          <w:pgMar w:left="240" w:top="840" w:right="239" w:bottom="1440" w:gutter="0" w:footer="0" w:header="0"/>
          <w:type w:val="continuous"/>
        </w:sectPr>
      </w:pPr>
    </w:p>
    <w:p>
      <w:pPr>
        <w:ind w:left="160" w:hanging="152"/>
        <w:spacing w:after="0"/>
        <w:tabs>
          <w:tab w:leader="none" w:pos="160" w:val="left"/>
        </w:tabs>
        <w:numPr>
          <w:ilvl w:val="0"/>
          <w:numId w:val="5"/>
        </w:numPr>
        <w:rPr>
          <w:rFonts w:ascii="Arial" w:cs="Arial" w:eastAsia="Arial" w:hAnsi="Arial"/>
          <w:sz w:val="9"/>
          <w:szCs w:val="9"/>
          <w:color w:val="auto"/>
        </w:rPr>
      </w:pPr>
      <w:r>
        <w:rPr>
          <w:rFonts w:ascii="Arial" w:cs="Arial" w:eastAsia="Arial" w:hAnsi="Arial"/>
          <w:sz w:val="13"/>
          <w:szCs w:val="13"/>
          <w:color w:val="auto"/>
        </w:rPr>
        <w:t>As of September 30, 2019, there was $1.80 billion remaining under our $8.00 billion share repurchase program authorized in June 2018.</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40" w:right="2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14605</wp:posOffset>
            </wp:positionV>
            <wp:extent cx="2400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p>
      <w:pPr>
        <w:ind w:left="8360"/>
        <w:spacing w:after="0"/>
        <w:tabs>
          <w:tab w:leader="none" w:pos="10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26035</wp:posOffset>
            </wp:positionV>
            <wp:extent cx="24009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620" w:val="left"/>
          <w:tab w:leader="none" w:pos="8720" w:val="left"/>
          <w:tab w:leader="none" w:pos="9560" w:val="left"/>
          <w:tab w:leader="none" w:pos="1066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6,822.7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2,107.0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related to disposition of Elanco (Note 5)</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77" w:lineRule="exact"/>
        <w:rPr>
          <w:sz w:val="20"/>
          <w:szCs w:val="20"/>
          <w:color w:val="auto"/>
        </w:rPr>
      </w:pPr>
    </w:p>
    <w:p>
      <w:pPr>
        <w:ind w:left="180" w:right="60"/>
        <w:spacing w:after="0" w:line="308" w:lineRule="auto"/>
        <w:rPr>
          <w:sz w:val="20"/>
          <w:szCs w:val="20"/>
          <w:color w:val="auto"/>
        </w:rPr>
      </w:pPr>
      <w:r>
        <w:rPr>
          <w:rFonts w:ascii="Arial" w:cs="Arial" w:eastAsia="Arial" w:hAnsi="Arial"/>
          <w:sz w:val="18"/>
          <w:szCs w:val="18"/>
          <w:color w:val="auto"/>
        </w:rPr>
        <w:t>Other changes in operating assets and liabilities, net of acquisitions and divestitures 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noncurrent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acquisitions, net of cash acquired (Note 3)</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short-term borrowings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proceeds from Elanco initial public offering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Financing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(3,680.5)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891.9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1,263.5</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(23.4)</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161.6</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230.8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206.7</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239.6</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1,654.5</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(1,763.7)</w:t>
            </w:r>
          </w:p>
        </w:tc>
        <w:tc>
          <w:tcPr>
            <w:tcW w:w="1380" w:type="dxa"/>
            <w:vAlign w:val="bottom"/>
          </w:tcPr>
          <w:p>
            <w:pPr>
              <w:jc w:val="right"/>
              <w:spacing w:after="0"/>
              <w:rPr>
                <w:sz w:val="20"/>
                <w:szCs w:val="20"/>
                <w:color w:val="auto"/>
              </w:rPr>
            </w:pPr>
            <w:r>
              <w:rPr>
                <w:rFonts w:ascii="Arial" w:cs="Arial" w:eastAsia="Arial" w:hAnsi="Arial"/>
                <w:sz w:val="18"/>
                <w:szCs w:val="18"/>
                <w:color w:val="auto"/>
              </w:rPr>
              <w:t>(1,638.2)</w:t>
            </w:r>
          </w:p>
        </w:tc>
      </w:tr>
      <w:tr>
        <w:trPr>
          <w:trHeight w:val="277"/>
        </w:trPr>
        <w:tc>
          <w:tcPr>
            <w:tcW w:w="2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155.5</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320.7</w:t>
            </w:r>
          </w:p>
        </w:tc>
      </w:tr>
      <w:tr>
        <w:trPr>
          <w:trHeight w:val="243"/>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2,872.9</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4,075.8</w:t>
            </w:r>
          </w:p>
        </w:tc>
      </w:tr>
      <w:tr>
        <w:trPr>
          <w:trHeight w:val="554"/>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(707.4)</w:t>
            </w:r>
          </w:p>
        </w:tc>
        <w:tc>
          <w:tcPr>
            <w:tcW w:w="1380" w:type="dxa"/>
            <w:vAlign w:val="bottom"/>
          </w:tcPr>
          <w:p>
            <w:pPr>
              <w:jc w:val="right"/>
              <w:spacing w:after="0"/>
              <w:rPr>
                <w:sz w:val="20"/>
                <w:szCs w:val="20"/>
                <w:color w:val="auto"/>
              </w:rPr>
            </w:pPr>
            <w:r>
              <w:rPr>
                <w:rFonts w:ascii="Arial" w:cs="Arial" w:eastAsia="Arial" w:hAnsi="Arial"/>
                <w:sz w:val="18"/>
                <w:szCs w:val="18"/>
                <w:color w:val="auto"/>
              </w:rPr>
              <w:t>(816.3)</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116.3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2,535.5</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(34.1)</w:t>
            </w:r>
          </w:p>
        </w:tc>
        <w:tc>
          <w:tcPr>
            <w:tcW w:w="138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498.4</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3,444.7</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(196.7)</w:t>
            </w:r>
          </w:p>
        </w:tc>
        <w:tc>
          <w:tcPr>
            <w:tcW w:w="1380" w:type="dxa"/>
            <w:vAlign w:val="bottom"/>
          </w:tcPr>
          <w:p>
            <w:pPr>
              <w:jc w:val="right"/>
              <w:spacing w:after="0"/>
              <w:rPr>
                <w:sz w:val="20"/>
                <w:szCs w:val="20"/>
                <w:color w:val="auto"/>
              </w:rPr>
            </w:pPr>
            <w:r>
              <w:rPr>
                <w:rFonts w:ascii="Arial" w:cs="Arial" w:eastAsia="Arial" w:hAnsi="Arial"/>
                <w:sz w:val="18"/>
                <w:szCs w:val="18"/>
                <w:color w:val="auto"/>
              </w:rPr>
              <w:t>(719.7)</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(6,917.7)</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(319.6)</w:t>
            </w:r>
          </w:p>
        </w:tc>
        <w:tc>
          <w:tcPr>
            <w:tcW w:w="1380" w:type="dxa"/>
            <w:vAlign w:val="bottom"/>
          </w:tcPr>
          <w:p>
            <w:pPr>
              <w:jc w:val="right"/>
              <w:spacing w:after="0"/>
              <w:rPr>
                <w:sz w:val="20"/>
                <w:szCs w:val="20"/>
                <w:color w:val="auto"/>
              </w:rPr>
            </w:pPr>
            <w:r>
              <w:rPr>
                <w:rFonts w:ascii="Arial" w:cs="Arial" w:eastAsia="Arial" w:hAnsi="Arial"/>
                <w:sz w:val="18"/>
                <w:szCs w:val="18"/>
                <w:color w:val="auto"/>
              </w:rPr>
              <w:t>(1,578.2)</w:t>
            </w:r>
          </w:p>
        </w:tc>
      </w:tr>
      <w:tr>
        <w:trPr>
          <w:trHeight w:val="257"/>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(480.7)</w:t>
            </w:r>
          </w:p>
        </w:tc>
        <w:tc>
          <w:tcPr>
            <w:tcW w:w="1380" w:type="dxa"/>
            <w:vAlign w:val="bottom"/>
          </w:tcPr>
          <w:p>
            <w:pPr>
              <w:jc w:val="right"/>
              <w:spacing w:after="0"/>
              <w:rPr>
                <w:sz w:val="20"/>
                <w:szCs w:val="20"/>
                <w:color w:val="auto"/>
              </w:rPr>
            </w:pPr>
            <w:r>
              <w:rPr>
                <w:rFonts w:ascii="Arial" w:cs="Arial" w:eastAsia="Arial" w:hAnsi="Arial"/>
                <w:sz w:val="18"/>
                <w:szCs w:val="18"/>
                <w:color w:val="auto"/>
              </w:rPr>
              <w:t>(188.8)</w:t>
            </w:r>
          </w:p>
        </w:tc>
      </w:tr>
      <w:tr>
        <w:trPr>
          <w:trHeight w:val="27"/>
        </w:trPr>
        <w:tc>
          <w:tcPr>
            <w:tcW w:w="2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(8,041.5)</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2,565.0</w:t>
            </w:r>
          </w:p>
        </w:tc>
      </w:tr>
      <w:tr>
        <w:trPr>
          <w:trHeight w:val="554"/>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(1,822.6)</w:t>
            </w:r>
          </w:p>
        </w:tc>
        <w:tc>
          <w:tcPr>
            <w:tcW w:w="1380" w:type="dxa"/>
            <w:vAlign w:val="bottom"/>
          </w:tcPr>
          <w:p>
            <w:pPr>
              <w:jc w:val="right"/>
              <w:spacing w:after="0"/>
              <w:rPr>
                <w:sz w:val="20"/>
                <w:szCs w:val="20"/>
                <w:color w:val="auto"/>
              </w:rPr>
            </w:pPr>
            <w:r>
              <w:rPr>
                <w:rFonts w:ascii="Arial" w:cs="Arial" w:eastAsia="Arial" w:hAnsi="Arial"/>
                <w:sz w:val="18"/>
                <w:szCs w:val="18"/>
                <w:color w:val="auto"/>
              </w:rPr>
              <w:t>(1,739.2)</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1,058.9</w:t>
            </w:r>
          </w:p>
        </w:tc>
        <w:tc>
          <w:tcPr>
            <w:tcW w:w="1380" w:type="dxa"/>
            <w:vAlign w:val="bottom"/>
          </w:tcPr>
          <w:p>
            <w:pPr>
              <w:jc w:val="right"/>
              <w:spacing w:after="0"/>
              <w:rPr>
                <w:sz w:val="20"/>
                <w:szCs w:val="20"/>
                <w:color w:val="auto"/>
              </w:rPr>
            </w:pPr>
            <w:r>
              <w:rPr>
                <w:rFonts w:ascii="Arial" w:cs="Arial" w:eastAsia="Arial" w:hAnsi="Arial"/>
                <w:sz w:val="18"/>
                <w:szCs w:val="18"/>
                <w:color w:val="auto"/>
              </w:rPr>
              <w:t>(2,297.1)</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4,448.3</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2,477.7</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(600.3)</w:t>
            </w:r>
          </w:p>
        </w:tc>
        <w:tc>
          <w:tcPr>
            <w:tcW w:w="1380" w:type="dxa"/>
            <w:vAlign w:val="bottom"/>
          </w:tcPr>
          <w:p>
            <w:pPr>
              <w:jc w:val="right"/>
              <w:spacing w:after="0"/>
              <w:rPr>
                <w:sz w:val="20"/>
                <w:szCs w:val="20"/>
                <w:color w:val="auto"/>
              </w:rPr>
            </w:pPr>
            <w:r>
              <w:rPr>
                <w:rFonts w:ascii="Arial" w:cs="Arial" w:eastAsia="Arial" w:hAnsi="Arial"/>
                <w:sz w:val="18"/>
                <w:szCs w:val="18"/>
                <w:color w:val="auto"/>
              </w:rPr>
              <w:t>(1,001.5)</w:t>
            </w:r>
          </w:p>
        </w:tc>
      </w:tr>
      <w:tr>
        <w:trPr>
          <w:trHeight w:val="270"/>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(4,100.0)</w:t>
            </w:r>
          </w:p>
        </w:tc>
        <w:tc>
          <w:tcPr>
            <w:tcW w:w="1380" w:type="dxa"/>
            <w:vAlign w:val="bottom"/>
          </w:tcPr>
          <w:p>
            <w:pPr>
              <w:jc w:val="right"/>
              <w:spacing w:after="0"/>
              <w:rPr>
                <w:sz w:val="20"/>
                <w:szCs w:val="20"/>
                <w:color w:val="auto"/>
              </w:rPr>
            </w:pPr>
            <w:r>
              <w:rPr>
                <w:rFonts w:ascii="Arial" w:cs="Arial" w:eastAsia="Arial" w:hAnsi="Arial"/>
                <w:sz w:val="18"/>
                <w:szCs w:val="18"/>
                <w:color w:val="auto"/>
              </w:rPr>
              <w:t>(3,050.7)</w:t>
            </w:r>
          </w:p>
        </w:tc>
      </w:tr>
      <w:tr>
        <w:trPr>
          <w:trHeight w:val="270"/>
        </w:trPr>
        <w:tc>
          <w:tcPr>
            <w:tcW w:w="240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1,659.7</w:t>
            </w:r>
          </w:p>
        </w:tc>
      </w:tr>
      <w:tr>
        <w:trPr>
          <w:trHeight w:val="277"/>
        </w:trPr>
        <w:tc>
          <w:tcPr>
            <w:tcW w:w="2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(195.2)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r>
      <w:tr>
        <w:trPr>
          <w:trHeight w:val="243"/>
        </w:trPr>
        <w:tc>
          <w:tcPr>
            <w:tcW w:w="2400" w:type="dxa"/>
            <w:vAlign w:val="bottom"/>
          </w:tcPr>
          <w:p>
            <w:pPr>
              <w:jc w:val="right"/>
              <w:ind w:right="530"/>
              <w:spacing w:after="0"/>
              <w:rPr>
                <w:sz w:val="20"/>
                <w:szCs w:val="20"/>
                <w:color w:val="auto"/>
              </w:rPr>
            </w:pPr>
            <w:r>
              <w:rPr>
                <w:rFonts w:ascii="Arial" w:cs="Arial" w:eastAsia="Arial" w:hAnsi="Arial"/>
                <w:sz w:val="18"/>
                <w:szCs w:val="18"/>
                <w:b w:val="1"/>
                <w:bCs w:val="1"/>
                <w:color w:val="auto"/>
              </w:rPr>
              <w:t>(1,210.9)</w:t>
            </w:r>
          </w:p>
        </w:tc>
        <w:tc>
          <w:tcPr>
            <w:tcW w:w="1380" w:type="dxa"/>
            <w:vAlign w:val="bottom"/>
          </w:tcPr>
          <w:p>
            <w:pPr>
              <w:jc w:val="right"/>
              <w:spacing w:after="0"/>
              <w:rPr>
                <w:sz w:val="20"/>
                <w:szCs w:val="20"/>
                <w:color w:val="auto"/>
              </w:rPr>
            </w:pPr>
            <w:r>
              <w:rPr>
                <w:rFonts w:ascii="Arial" w:cs="Arial" w:eastAsia="Arial" w:hAnsi="Arial"/>
                <w:sz w:val="18"/>
                <w:szCs w:val="18"/>
                <w:color w:val="auto"/>
              </w:rPr>
              <w:t>(4,265.2)</w:t>
            </w:r>
          </w:p>
        </w:tc>
      </w:tr>
      <w:tr>
        <w:trPr>
          <w:trHeight w:val="291"/>
        </w:trPr>
        <w:tc>
          <w:tcPr>
            <w:tcW w:w="2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(54.9)</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48.2</w:t>
            </w:r>
          </w:p>
        </w:tc>
      </w:tr>
    </w:tbl>
    <w:p>
      <w:pPr>
        <w:spacing w:after="0" w:line="200" w:lineRule="exact"/>
        <w:rPr>
          <w:sz w:val="20"/>
          <w:szCs w:val="20"/>
          <w:color w:val="auto"/>
        </w:rPr>
      </w:pPr>
    </w:p>
    <w:p>
      <w:pPr>
        <w:sectPr>
          <w:pgSz w:w="11900" w:h="16838" w:orient="portrait"/>
          <w:cols w:equalWidth="0" w:num="2">
            <w:col w:w="6900" w:space="720"/>
            <w:col w:w="3780"/>
          </w:cols>
          <w:pgMar w:left="240" w:top="576" w:right="259" w:bottom="144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62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5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(6,434.4)</w:t>
            </w:r>
          </w:p>
        </w:tc>
        <w:tc>
          <w:tcPr>
            <w:tcW w:w="68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2,423.8</w:t>
            </w:r>
          </w:p>
        </w:tc>
        <w:tc>
          <w:tcPr>
            <w:tcW w:w="0" w:type="dxa"/>
            <w:vAlign w:val="bottom"/>
          </w:tcPr>
          <w:p>
            <w:pPr>
              <w:spacing w:after="0"/>
              <w:rPr>
                <w:sz w:val="1"/>
                <w:szCs w:val="1"/>
                <w:color w:val="auto"/>
              </w:rPr>
            </w:pPr>
          </w:p>
        </w:tc>
      </w:tr>
      <w:tr>
        <w:trPr>
          <w:trHeight w:val="235"/>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January 1 (includes $677.5 (2019) and $324.4 (2018) of</w:t>
            </w:r>
          </w:p>
        </w:tc>
        <w:tc>
          <w:tcPr>
            <w:tcW w:w="580" w:type="dxa"/>
            <w:vAlign w:val="bottom"/>
            <w:shd w:val="clear" w:color="auto" w:fill="CCEEFF"/>
          </w:tcPr>
          <w:p>
            <w:pPr>
              <w:spacing w:after="0"/>
              <w:rPr>
                <w:sz w:val="20"/>
                <w:szCs w:val="20"/>
                <w:color w:val="auto"/>
              </w:rPr>
            </w:pPr>
          </w:p>
        </w:tc>
        <w:tc>
          <w:tcPr>
            <w:tcW w:w="1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7,998.2</w:t>
            </w:r>
          </w:p>
        </w:tc>
        <w:tc>
          <w:tcPr>
            <w:tcW w:w="68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6,536.2</w:t>
            </w:r>
          </w:p>
        </w:tc>
        <w:tc>
          <w:tcPr>
            <w:tcW w:w="0" w:type="dxa"/>
            <w:vAlign w:val="bottom"/>
          </w:tcPr>
          <w:p>
            <w:pPr>
              <w:spacing w:after="0"/>
              <w:rPr>
                <w:sz w:val="1"/>
                <w:szCs w:val="1"/>
                <w:color w:val="auto"/>
              </w:rPr>
            </w:pPr>
          </w:p>
        </w:tc>
      </w:tr>
      <w:tr>
        <w:trPr>
          <w:trHeight w:val="109"/>
        </w:trPr>
        <w:tc>
          <w:tcPr>
            <w:tcW w:w="76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58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620" w:type="dxa"/>
            <w:vAlign w:val="bottom"/>
            <w:vMerge w:val="continue"/>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7620" w:type="dxa"/>
            <w:vAlign w:val="bottom"/>
          </w:tcPr>
          <w:p>
            <w:pPr>
              <w:ind w:left="40"/>
              <w:spacing w:after="0" w:line="187" w:lineRule="exact"/>
              <w:rPr>
                <w:sz w:val="20"/>
                <w:szCs w:val="20"/>
                <w:color w:val="auto"/>
              </w:rPr>
            </w:pPr>
            <w:r>
              <w:rPr>
                <w:rFonts w:ascii="Arial" w:cs="Arial" w:eastAsia="Arial" w:hAnsi="Arial"/>
                <w:sz w:val="18"/>
                <w:szCs w:val="18"/>
                <w:b w:val="1"/>
                <w:bCs w:val="1"/>
                <w:color w:val="auto"/>
              </w:rPr>
              <w:t>Cash and Cash Equivalents at September 30 (includes $575.0 (2018) of discontinued</w:t>
            </w: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1,563.8</w:t>
            </w:r>
          </w:p>
        </w:tc>
        <w:tc>
          <w:tcPr>
            <w:tcW w:w="68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8,960.0</w:t>
            </w:r>
          </w:p>
        </w:tc>
        <w:tc>
          <w:tcPr>
            <w:tcW w:w="0" w:type="dxa"/>
            <w:vAlign w:val="bottom"/>
          </w:tcPr>
          <w:p>
            <w:pPr>
              <w:spacing w:after="0"/>
              <w:rPr>
                <w:sz w:val="1"/>
                <w:szCs w:val="1"/>
                <w:color w:val="auto"/>
              </w:rPr>
            </w:pPr>
          </w:p>
        </w:tc>
      </w:tr>
      <w:tr>
        <w:trPr>
          <w:trHeight w:val="131"/>
        </w:trPr>
        <w:tc>
          <w:tcPr>
            <w:tcW w:w="7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operations)</w:t>
            </w:r>
          </w:p>
        </w:tc>
        <w:tc>
          <w:tcPr>
            <w:tcW w:w="5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7620" w:type="dxa"/>
            <w:vAlign w:val="bottom"/>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00"/>
          </w:cols>
          <w:pgMar w:left="240" w:top="57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576" w:right="25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Animal Health (Elanco) common stock through a tax-free exchange offer. As a result, Elanco has been presented as discontinued operations in our consolidated condensed financial statements for all periods presented.</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207" w:lineRule="exact"/>
        <w:rPr>
          <w:sz w:val="20"/>
          <w:szCs w:val="20"/>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w:t>
      </w:r>
      <w:hyperlink r:id="rId11">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October 24, 2019, which recasts the financial information in our Annual Report on Form 10-K for the year ended December 31, 2018. We issue our financial statements by filing them with the Securities and Exchange Commission and have evaluated subsequent events up to the time of the filing.</w:t>
      </w:r>
    </w:p>
    <w:p>
      <w:pPr>
        <w:spacing w:after="0" w:line="9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8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Following the completion of the disposition of Elanco, we now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Regional commercial organizations market, distribute, and sell the products. The business is also supported by global corporate staff functions.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w:t>
      </w:r>
    </w:p>
    <w:p>
      <w:pPr>
        <w:spacing w:after="0" w:line="13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On January 1, 2019 we adopted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approach, applied at the beginning of the period of adoption, and we elected the package of transitional practical expedients. The adoption of this standard resulted in recording of operating lease assets of approximately $530 million, which included reclassifying approximately $65 million of deferred rent and lease incentives, net of prepaid rent, as a component of the operating lease assets as of January 1, 2019. The adoption also resulted in recording operating lease liabilities of approximately $595 million as of January 1, 2019. Our accounting for finance leases remained substantially unchanged. The standard did not have an impact on our consolidated condensed statements of operations.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76"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Revenue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6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4,982.0</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4,909.5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14,843.0</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14,644.8</w:t>
            </w:r>
          </w:p>
        </w:tc>
      </w:tr>
      <w:tr>
        <w:trPr>
          <w:trHeight w:val="270"/>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494.6</w:t>
            </w:r>
          </w:p>
        </w:tc>
        <w:tc>
          <w:tcPr>
            <w:tcW w:w="5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397.4</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1,362.5</w:t>
            </w:r>
          </w:p>
        </w:tc>
        <w:tc>
          <w:tcPr>
            <w:tcW w:w="5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1,210.9</w:t>
            </w:r>
          </w:p>
        </w:tc>
      </w:tr>
      <w:tr>
        <w:trPr>
          <w:trHeight w:val="271"/>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5,476.6</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5,306.9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16,205.5</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15,855.7</w:t>
            </w:r>
          </w:p>
        </w:tc>
      </w:tr>
    </w:tbl>
    <w:p>
      <w:pPr>
        <w:spacing w:after="0" w:line="113" w:lineRule="exact"/>
        <w:rPr>
          <w:sz w:val="20"/>
          <w:szCs w:val="20"/>
          <w:color w:val="auto"/>
        </w:rPr>
      </w:pPr>
    </w:p>
    <w:p>
      <w:pPr>
        <w:ind w:left="180" w:right="440" w:hanging="172"/>
        <w:spacing w:after="0" w:line="225" w:lineRule="auto"/>
        <w:tabs>
          <w:tab w:leader="none" w:pos="153"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Collaboration and other revenue associated with prior period transfers of intellectual property was $67.9 million and $163.0 million during the three and nine months ended September 30, 2019, respectively, and $76.2 million and $259.9 million during the three and nine months ended September 30, 2018, respectively.</w:t>
      </w:r>
    </w:p>
    <w:p>
      <w:pPr>
        <w:spacing w:after="0" w:line="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the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Jardiance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product: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3"/>
          </w:tcPr>
          <w:p>
            <w:pPr>
              <w:jc w:val="right"/>
              <w:ind w:right="33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72"/>
              <w:spacing w:after="0" w:line="140" w:lineRule="exact"/>
              <w:rPr>
                <w:sz w:val="20"/>
                <w:szCs w:val="20"/>
                <w:color w:val="auto"/>
              </w:rPr>
            </w:pPr>
            <w:r>
              <w:rPr>
                <w:rFonts w:ascii="Arial" w:cs="Arial" w:eastAsia="Arial" w:hAnsi="Arial"/>
                <w:sz w:val="13"/>
                <w:szCs w:val="13"/>
                <w:b w:val="1"/>
                <w:bCs w:val="1"/>
                <w:color w:val="auto"/>
                <w:w w:val="98"/>
              </w:rPr>
              <w:t>United States</w:t>
            </w:r>
          </w:p>
        </w:tc>
        <w:tc>
          <w:tcPr>
            <w:tcW w:w="180" w:type="dxa"/>
            <w:vAlign w:val="bottom"/>
          </w:tcPr>
          <w:p>
            <w:pPr>
              <w:spacing w:after="0"/>
              <w:rPr>
                <w:sz w:val="12"/>
                <w:szCs w:val="12"/>
                <w:color w:val="auto"/>
              </w:rPr>
            </w:pPr>
          </w:p>
        </w:tc>
        <w:tc>
          <w:tcPr>
            <w:tcW w:w="10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8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180" w:type="dxa"/>
            <w:vAlign w:val="bottom"/>
          </w:tcPr>
          <w:p>
            <w:pPr>
              <w:spacing w:after="0"/>
              <w:rPr>
                <w:sz w:val="12"/>
                <w:szCs w:val="12"/>
                <w:color w:val="auto"/>
              </w:rPr>
            </w:pPr>
          </w:p>
        </w:tc>
        <w:tc>
          <w:tcPr>
            <w:tcW w:w="10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Pr>
          <w:p>
            <w:pPr>
              <w:spacing w:after="0"/>
              <w:rPr>
                <w:sz w:val="12"/>
                <w:szCs w:val="12"/>
                <w:color w:val="auto"/>
              </w:rPr>
            </w:pPr>
          </w:p>
        </w:tc>
        <w:tc>
          <w:tcPr>
            <w:tcW w:w="8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 xml:space="preserve">(U.S.) </w:t>
            </w:r>
            <w:r>
              <w:rPr>
                <w:rFonts w:ascii="Arial" w:cs="Arial" w:eastAsia="Arial" w:hAnsi="Arial"/>
                <w:sz w:val="8"/>
                <w:szCs w:val="8"/>
                <w:b w:val="1"/>
                <w:bCs w:val="1"/>
                <w:color w:val="auto"/>
              </w:rPr>
              <w:t>(1)</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Revenue—to unaffiliated customers: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60" w:type="dxa"/>
            <w:vAlign w:val="bottom"/>
          </w:tcPr>
          <w:p>
            <w:pPr>
              <w:ind w:left="280"/>
              <w:spacing w:after="0"/>
              <w:rPr>
                <w:sz w:val="20"/>
                <w:szCs w:val="20"/>
                <w:color w:val="auto"/>
              </w:rPr>
            </w:pPr>
            <w:r>
              <w:rPr>
                <w:rFonts w:ascii="Arial" w:cs="Arial" w:eastAsia="Arial" w:hAnsi="Arial"/>
                <w:sz w:val="18"/>
                <w:szCs w:val="18"/>
                <w:color w:val="auto"/>
              </w:rPr>
              <w:t>Endocrinology:</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1,011.5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70"/>
        </w:trPr>
        <w:tc>
          <w:tcPr>
            <w:tcW w:w="386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color w:val="auto"/>
                <w:vertAlign w:val="superscript"/>
              </w:rPr>
              <w:t>® (2)</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356.2</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292.6</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648.9</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365.6</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299.0</w:t>
            </w:r>
          </w:p>
        </w:tc>
        <w:tc>
          <w:tcPr>
            <w:tcW w:w="28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color w:val="auto"/>
                <w:vertAlign w:val="superscript"/>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175.1</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195.7</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370.7</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70"/>
        </w:trPr>
        <w:tc>
          <w:tcPr>
            <w:tcW w:w="3860" w:type="dxa"/>
            <w:vAlign w:val="bottom"/>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color w:val="auto"/>
                <w:vertAlign w:val="superscript"/>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218.2</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103.6</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321.8</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216.9</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w:t>
            </w:r>
          </w:p>
        </w:tc>
        <w:tc>
          <w:tcPr>
            <w:tcW w:w="28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Basaglar</w:t>
            </w:r>
            <w:r>
              <w:rPr>
                <w:rFonts w:ascii="Arial" w:cs="Arial" w:eastAsia="Arial" w:hAnsi="Arial"/>
                <w:sz w:val="21"/>
                <w:szCs w:val="21"/>
                <w:color w:val="auto"/>
                <w:vertAlign w:val="superscript"/>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202.4</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263.2</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0"/>
        </w:trPr>
        <w:tc>
          <w:tcPr>
            <w:tcW w:w="3860" w:type="dxa"/>
            <w:vAlign w:val="bottom"/>
          </w:tcPr>
          <w:p>
            <w:pPr>
              <w:ind w:left="720"/>
              <w:spacing w:after="0"/>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1"/>
                <w:szCs w:val="21"/>
                <w:color w:val="auto"/>
                <w:vertAlign w:val="superscript"/>
              </w:rPr>
              <w:t>(3)</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140.6</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100.1</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240.7</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1"/>
                <w:szCs w:val="21"/>
                <w:color w:val="auto"/>
                <w:vertAlign w:val="superscript"/>
              </w:rPr>
              <w:t>(4)</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155.5</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132.1</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1,987.0</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1,157.4</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3,144.4</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1,796.5</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1,041.4</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2,837.9</w:t>
            </w:r>
          </w:p>
        </w:tc>
        <w:tc>
          <w:tcPr>
            <w:tcW w:w="0" w:type="dxa"/>
            <w:vAlign w:val="bottom"/>
          </w:tcPr>
          <w:p>
            <w:pPr>
              <w:spacing w:after="0"/>
              <w:rPr>
                <w:sz w:val="1"/>
                <w:szCs w:val="1"/>
                <w:color w:val="auto"/>
              </w:rPr>
            </w:pPr>
          </w:p>
        </w:tc>
      </w:tr>
      <w:tr>
        <w:trPr>
          <w:trHeight w:val="122"/>
        </w:trPr>
        <w:tc>
          <w:tcPr>
            <w:tcW w:w="3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720"/>
              <w:spacing w:after="0"/>
              <w:rPr>
                <w:sz w:val="20"/>
                <w:szCs w:val="20"/>
                <w:color w:val="auto"/>
              </w:rPr>
            </w:pPr>
            <w:r>
              <w:rPr>
                <w:rFonts w:ascii="Arial" w:cs="Arial" w:eastAsia="Arial" w:hAnsi="Arial"/>
                <w:sz w:val="18"/>
                <w:szCs w:val="18"/>
                <w:i w:val="1"/>
                <w:iCs w:val="1"/>
                <w:color w:val="auto"/>
              </w:rPr>
              <w:t>Alimta</w:t>
            </w:r>
            <w:r>
              <w:rPr>
                <w:rFonts w:ascii="Arial" w:cs="Arial" w:eastAsia="Arial" w:hAnsi="Arial"/>
                <w:sz w:val="21"/>
                <w:szCs w:val="21"/>
                <w:color w:val="auto"/>
                <w:vertAlign w:val="superscript"/>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282.4</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225.9</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508.2</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288.5</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232.0</w:t>
            </w:r>
          </w:p>
        </w:tc>
        <w:tc>
          <w:tcPr>
            <w:tcW w:w="28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color w:val="auto"/>
                <w:vertAlign w:val="superscript"/>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157.5</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240.0</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70"/>
        </w:trPr>
        <w:tc>
          <w:tcPr>
            <w:tcW w:w="3860" w:type="dxa"/>
            <w:vAlign w:val="bottom"/>
          </w:tcPr>
          <w:p>
            <w:pPr>
              <w:ind w:left="720"/>
              <w:spacing w:after="0"/>
              <w:rPr>
                <w:sz w:val="20"/>
                <w:szCs w:val="20"/>
                <w:color w:val="auto"/>
              </w:rPr>
            </w:pPr>
            <w:r>
              <w:rPr>
                <w:rFonts w:ascii="Arial" w:cs="Arial" w:eastAsia="Arial" w:hAnsi="Arial"/>
                <w:sz w:val="18"/>
                <w:szCs w:val="18"/>
                <w:i w:val="1"/>
                <w:iCs w:val="1"/>
                <w:color w:val="auto"/>
              </w:rPr>
              <w:t>Verzenio</w:t>
            </w:r>
            <w:r>
              <w:rPr>
                <w:rFonts w:ascii="Arial" w:cs="Arial" w:eastAsia="Arial" w:hAnsi="Arial"/>
                <w:sz w:val="21"/>
                <w:szCs w:val="21"/>
                <w:color w:val="auto"/>
                <w:vertAlign w:val="superscript"/>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124.8</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157.2</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84.5</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Erbitux</w:t>
            </w:r>
            <w:r>
              <w:rPr>
                <w:rFonts w:ascii="Arial" w:cs="Arial" w:eastAsia="Arial" w:hAnsi="Arial"/>
                <w:sz w:val="21"/>
                <w:szCs w:val="21"/>
                <w:i w:val="1"/>
                <w:iCs w:val="1"/>
                <w:color w:val="auto"/>
                <w:vertAlign w:val="superscript"/>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128.6</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Oncology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113.4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Oncology</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640.2</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507.2</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1,147.4</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122"/>
        </w:trPr>
        <w:tc>
          <w:tcPr>
            <w:tcW w:w="3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Neuroscience:</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7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color w:val="auto"/>
                <w:vertAlign w:val="superscript"/>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168.3</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178.6</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157.5</w:t>
            </w:r>
          </w:p>
        </w:tc>
        <w:tc>
          <w:tcPr>
            <w:tcW w:w="28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color w:val="auto"/>
                <w:vertAlign w:val="superscript"/>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105.4</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0"/>
        </w:trPr>
        <w:tc>
          <w:tcPr>
            <w:tcW w:w="3860" w:type="dxa"/>
            <w:vAlign w:val="bottom"/>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color w:val="auto"/>
                <w:vertAlign w:val="superscript"/>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52.1</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w:t>
            </w:r>
          </w:p>
        </w:tc>
        <w:tc>
          <w:tcPr>
            <w:tcW w:w="28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Emgality</w:t>
            </w:r>
            <w:r>
              <w:rPr>
                <w:rFonts w:ascii="Arial" w:cs="Arial" w:eastAsia="Arial" w:hAnsi="Arial"/>
                <w:sz w:val="21"/>
                <w:szCs w:val="21"/>
                <w:color w:val="auto"/>
                <w:vertAlign w:val="superscript"/>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47.7</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42.9</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332.1</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426.7</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122"/>
        </w:trPr>
        <w:tc>
          <w:tcPr>
            <w:tcW w:w="3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Immunology:</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7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color w:val="auto"/>
                <w:vertAlign w:val="superscript"/>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250.6</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89.4</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340.0</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210.6</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Olumiant</w:t>
            </w:r>
            <w:r>
              <w:rPr>
                <w:rFonts w:ascii="Arial" w:cs="Arial" w:eastAsia="Arial" w:hAnsi="Arial"/>
                <w:sz w:val="21"/>
                <w:szCs w:val="21"/>
                <w:color w:val="auto"/>
                <w:vertAlign w:val="superscript"/>
              </w:rPr>
              <w:t>®</w:t>
            </w: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114.6</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57"/>
        </w:trPr>
        <w:tc>
          <w:tcPr>
            <w:tcW w:w="3860" w:type="dxa"/>
            <w:vAlign w:val="bottom"/>
          </w:tcPr>
          <w:p>
            <w:pPr>
              <w:ind w:left="500"/>
              <w:spacing w:after="0"/>
              <w:rPr>
                <w:sz w:val="20"/>
                <w:szCs w:val="20"/>
                <w:color w:val="auto"/>
              </w:rPr>
            </w:pPr>
            <w:r>
              <w:rPr>
                <w:rFonts w:ascii="Arial" w:cs="Arial" w:eastAsia="Arial" w:hAnsi="Arial"/>
                <w:sz w:val="18"/>
                <w:szCs w:val="18"/>
                <w:color w:val="auto"/>
              </w:rPr>
              <w:t>Total Immunology</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262.8</w:t>
            </w: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191.8</w:t>
            </w:r>
          </w:p>
        </w:tc>
        <w:tc>
          <w:tcPr>
            <w:tcW w:w="28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b w:val="1"/>
                <w:bCs w:val="1"/>
                <w:color w:val="auto"/>
              </w:rPr>
              <w:t>454.6</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211.4</w:t>
            </w: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108.1</w:t>
            </w:r>
          </w:p>
        </w:tc>
        <w:tc>
          <w:tcPr>
            <w:tcW w:w="280" w:type="dxa"/>
            <w:vAlign w:val="bottom"/>
          </w:tcPr>
          <w:p>
            <w:pPr>
              <w:spacing w:after="0"/>
              <w:rPr>
                <w:sz w:val="22"/>
                <w:szCs w:val="22"/>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128"/>
        </w:trPr>
        <w:tc>
          <w:tcPr>
            <w:tcW w:w="3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3860" w:type="dxa"/>
            <w:vAlign w:val="bottom"/>
          </w:tcPr>
          <w:p>
            <w:pPr>
              <w:ind w:left="50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color w:val="auto"/>
                <w:vertAlign w:val="superscript"/>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153.4</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184.3</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119.2</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64"/>
        </w:trPr>
        <w:tc>
          <w:tcPr>
            <w:tcW w:w="3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w:t>
            </w: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227.8</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303.5</w:t>
            </w: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658.1</w:t>
            </w:r>
          </w:p>
        </w:tc>
        <w:tc>
          <w:tcPr>
            <w:tcW w:w="0" w:type="dxa"/>
            <w:vAlign w:val="bottom"/>
          </w:tcPr>
          <w:p>
            <w:pPr>
              <w:spacing w:after="0"/>
              <w:rPr>
                <w:sz w:val="1"/>
                <w:szCs w:val="1"/>
                <w:color w:val="auto"/>
              </w:rPr>
            </w:pPr>
          </w:p>
        </w:tc>
      </w:tr>
      <w:tr>
        <w:trPr>
          <w:trHeight w:val="277"/>
        </w:trPr>
        <w:tc>
          <w:tcPr>
            <w:tcW w:w="386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2,416.4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5,476.6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5,306.9</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9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xml:space="preserve"> and Synjardy</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ectPr>
          <w:pgSz w:w="11900" w:h="16838" w:orient="portrait"/>
          <w:cols w:equalWidth="0" w:num="1">
            <w:col w:w="10780"/>
          </w:cols>
          <w:pgMar w:left="240" w:top="706" w:right="879" w:bottom="1440" w:gutter="0" w:footer="0" w:header="0"/>
        </w:sectPr>
      </w:pP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780"/>
          </w:cols>
          <w:pgMar w:left="240" w:top="706" w:right="879" w:bottom="1440" w:gutter="0" w:footer="0" w:header="0"/>
          <w:type w:val="continuous"/>
        </w:sectPr>
      </w:pPr>
    </w:p>
    <w:bookmarkStart w:id="12" w:name="page13"/>
    <w:bookmarkEnd w:id="12"/>
    <w:p>
      <w:pPr>
        <w:ind w:left="712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14605</wp:posOffset>
            </wp:positionV>
            <wp:extent cx="4596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70"/>
        </w:trPr>
        <w:tc>
          <w:tcPr>
            <w:tcW w:w="4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Outside U.S.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Revenue—to unaffiliated customers: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3"/>
        </w:trPr>
        <w:tc>
          <w:tcPr>
            <w:tcW w:w="4180" w:type="dxa"/>
            <w:vAlign w:val="bottom"/>
          </w:tcPr>
          <w:p>
            <w:pPr>
              <w:ind w:left="280"/>
              <w:spacing w:after="0"/>
              <w:rPr>
                <w:sz w:val="20"/>
                <w:szCs w:val="20"/>
                <w:color w:val="auto"/>
              </w:rPr>
            </w:pPr>
            <w:r>
              <w:rPr>
                <w:rFonts w:ascii="Arial" w:cs="Arial" w:eastAsia="Arial" w:hAnsi="Arial"/>
                <w:sz w:val="18"/>
                <w:szCs w:val="18"/>
                <w:color w:val="auto"/>
              </w:rPr>
              <w:t>Endocrinology:</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2,919.7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2,274.3</w:t>
            </w:r>
          </w:p>
        </w:tc>
      </w:tr>
      <w:tr>
        <w:trPr>
          <w:trHeight w:val="270"/>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 xml:space="preserve">Humalog </w:t>
            </w:r>
            <w:r>
              <w:rPr>
                <w:rFonts w:ascii="Arial" w:cs="Arial" w:eastAsia="Arial" w:hAnsi="Arial"/>
                <w:sz w:val="21"/>
                <w:szCs w:val="21"/>
                <w:i w:val="1"/>
                <w:iCs w:val="1"/>
                <w:color w:val="auto"/>
                <w:vertAlign w:val="superscript"/>
              </w:rPr>
              <w:t>(2)</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1,201.0</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856.3</w:t>
            </w:r>
          </w:p>
        </w:tc>
        <w:tc>
          <w:tcPr>
            <w:tcW w:w="28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2,057.3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1,334.2</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891.8</w:t>
            </w:r>
          </w:p>
        </w:tc>
        <w:tc>
          <w:tcPr>
            <w:tcW w:w="2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2,226.1</w:t>
            </w:r>
          </w:p>
        </w:tc>
      </w:tr>
      <w:tr>
        <w:trPr>
          <w:trHeight w:val="270"/>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Forteo</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473.8</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570.6</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1,044.4</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1,138.5</w:t>
            </w: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Humulin</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639.6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302.5</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942.1</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677.3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316.7</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994.0</w:t>
            </w: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Basaglar</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632.8</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172.6</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805.4</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569.0</w:t>
            </w:r>
          </w:p>
        </w:tc>
      </w:tr>
      <w:tr>
        <w:trPr>
          <w:trHeight w:val="270"/>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 xml:space="preserve">Jardiance </w:t>
            </w:r>
            <w:r>
              <w:rPr>
                <w:rFonts w:ascii="Arial" w:cs="Arial" w:eastAsia="Arial" w:hAnsi="Arial"/>
                <w:sz w:val="21"/>
                <w:szCs w:val="21"/>
                <w:i w:val="1"/>
                <w:iCs w:val="1"/>
                <w:color w:val="auto"/>
                <w:vertAlign w:val="superscript"/>
              </w:rPr>
              <w:t>(3)</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408.4</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267.9</w:t>
            </w:r>
          </w:p>
        </w:tc>
        <w:tc>
          <w:tcPr>
            <w:tcW w:w="28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676.2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284.8</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180.3</w:t>
            </w:r>
          </w:p>
        </w:tc>
        <w:tc>
          <w:tcPr>
            <w:tcW w:w="26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465.1</w:t>
            </w:r>
          </w:p>
        </w:tc>
      </w:tr>
      <w:tr>
        <w:trPr>
          <w:trHeight w:val="270"/>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 xml:space="preserve">Trajenta </w:t>
            </w:r>
            <w:r>
              <w:rPr>
                <w:rFonts w:ascii="Arial" w:cs="Arial" w:eastAsia="Arial" w:hAnsi="Arial"/>
                <w:sz w:val="21"/>
                <w:szCs w:val="21"/>
                <w:i w:val="1"/>
                <w:iCs w:val="1"/>
                <w:color w:val="auto"/>
                <w:vertAlign w:val="superscript"/>
              </w:rPr>
              <w:t>(4)</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171.9</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269.5</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441.4</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418.5</w:t>
            </w:r>
          </w:p>
        </w:tc>
      </w:tr>
      <w:tr>
        <w:trPr>
          <w:trHeight w:val="264"/>
        </w:trPr>
        <w:tc>
          <w:tcPr>
            <w:tcW w:w="418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395.2</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406.1</w:t>
            </w:r>
          </w:p>
        </w:tc>
      </w:tr>
      <w:tr>
        <w:trPr>
          <w:trHeight w:val="270"/>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5,962.9</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3,318.8</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9,281.7</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5,413.6</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3,078.0</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8,491.6</w:t>
            </w:r>
          </w:p>
        </w:tc>
      </w:tr>
      <w:tr>
        <w:trPr>
          <w:trHeight w:val="122"/>
        </w:trPr>
        <w:tc>
          <w:tcPr>
            <w:tcW w:w="4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Alimta</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905.8</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679.3</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1,585.1</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815.1</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760.9</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1,576.0</w:t>
            </w: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247.4</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432.7</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680.1</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600.8</w:t>
            </w: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Erbitux</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364.1</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406.4</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394.0</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81.6</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475.5</w:t>
            </w: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Verzenio</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323.5</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400.6</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171.9</w:t>
            </w:r>
          </w:p>
        </w:tc>
      </w:tr>
      <w:tr>
        <w:trPr>
          <w:trHeight w:val="264"/>
        </w:trPr>
        <w:tc>
          <w:tcPr>
            <w:tcW w:w="418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Oncology</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285.1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306.7</w:t>
            </w:r>
          </w:p>
        </w:tc>
      </w:tr>
      <w:tr>
        <w:trPr>
          <w:trHeight w:val="270"/>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Oncology</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1,923.9</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1,433.5</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3,357.3</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1,741.2</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1,389.7</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3,130.9</w:t>
            </w:r>
          </w:p>
        </w:tc>
      </w:tr>
      <w:tr>
        <w:trPr>
          <w:trHeight w:val="122"/>
        </w:trPr>
        <w:tc>
          <w:tcPr>
            <w:tcW w:w="4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Neuroscience:</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Cymbalta</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491.2</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529.9</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484.2</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523.5</w:t>
            </w: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Zyprexa</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287.2</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317.0</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360.4</w:t>
            </w: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Strattera</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169.4</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269.2</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343.5</w:t>
            </w: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Emgality</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91.8</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96.3</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418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128.6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143.5</w:t>
            </w:r>
          </w:p>
        </w:tc>
      </w:tr>
      <w:tr>
        <w:trPr>
          <w:trHeight w:val="270"/>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250.2</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1,022.4</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1,272.6</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1,370.9</w:t>
            </w:r>
          </w:p>
        </w:tc>
      </w:tr>
      <w:tr>
        <w:trPr>
          <w:trHeight w:val="122"/>
        </w:trPr>
        <w:tc>
          <w:tcPr>
            <w:tcW w:w="4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70"/>
        </w:trPr>
        <w:tc>
          <w:tcPr>
            <w:tcW w:w="4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Immunology:</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4180" w:type="dxa"/>
            <w:vAlign w:val="bottom"/>
          </w:tcPr>
          <w:p>
            <w:pPr>
              <w:ind w:left="720"/>
              <w:spacing w:after="0"/>
              <w:rPr>
                <w:sz w:val="20"/>
                <w:szCs w:val="20"/>
                <w:color w:val="auto"/>
              </w:rPr>
            </w:pPr>
            <w:r>
              <w:rPr>
                <w:rFonts w:ascii="Arial" w:cs="Arial" w:eastAsia="Arial" w:hAnsi="Arial"/>
                <w:sz w:val="18"/>
                <w:szCs w:val="18"/>
                <w:i w:val="1"/>
                <w:iCs w:val="1"/>
                <w:color w:val="auto"/>
              </w:rPr>
              <w:t>Taltz</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699.6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246.7</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946.3</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135.1</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630.4</w:t>
            </w:r>
          </w:p>
        </w:tc>
      </w:tr>
      <w:tr>
        <w:trPr>
          <w:trHeight w:val="270"/>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Olumiant</w:t>
            </w: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269.9</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299.1</w:t>
            </w:r>
          </w:p>
        </w:tc>
        <w:tc>
          <w:tcPr>
            <w:tcW w:w="3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r>
      <w:tr>
        <w:trPr>
          <w:trHeight w:val="263"/>
        </w:trPr>
        <w:tc>
          <w:tcPr>
            <w:tcW w:w="4180" w:type="dxa"/>
            <w:vAlign w:val="bottom"/>
          </w:tcPr>
          <w:p>
            <w:pPr>
              <w:ind w:left="500"/>
              <w:spacing w:after="0"/>
              <w:rPr>
                <w:sz w:val="20"/>
                <w:szCs w:val="20"/>
                <w:color w:val="auto"/>
              </w:rPr>
            </w:pPr>
            <w:r>
              <w:rPr>
                <w:rFonts w:ascii="Arial" w:cs="Arial" w:eastAsia="Arial" w:hAnsi="Arial"/>
                <w:sz w:val="18"/>
                <w:szCs w:val="18"/>
                <w:color w:val="auto"/>
              </w:rPr>
              <w:t>Total Immunology</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728.8</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516.6</w:t>
            </w:r>
          </w:p>
        </w:tc>
        <w:tc>
          <w:tcPr>
            <w:tcW w:w="28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1,245.4</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497.8</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265.1</w:t>
            </w:r>
          </w:p>
        </w:tc>
        <w:tc>
          <w:tcPr>
            <w:tcW w:w="2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762.9</w:t>
            </w:r>
          </w:p>
        </w:tc>
      </w:tr>
      <w:tr>
        <w:trPr>
          <w:trHeight w:val="128"/>
        </w:trPr>
        <w:tc>
          <w:tcPr>
            <w:tcW w:w="4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63"/>
        </w:trPr>
        <w:tc>
          <w:tcPr>
            <w:tcW w:w="4180" w:type="dxa"/>
            <w:vAlign w:val="bottom"/>
          </w:tcPr>
          <w:p>
            <w:pPr>
              <w:ind w:left="5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7"/>
        </w:trPr>
        <w:tc>
          <w:tcPr>
            <w:tcW w:w="418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483.4</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692.7</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1,501.2</w:t>
            </w:r>
          </w:p>
        </w:tc>
      </w:tr>
      <w:tr>
        <w:trPr>
          <w:trHeight w:val="264"/>
        </w:trPr>
        <w:tc>
          <w:tcPr>
            <w:tcW w:w="418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128.4</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355.8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598.2</w:t>
            </w:r>
          </w:p>
        </w:tc>
      </w:tr>
      <w:tr>
        <w:trPr>
          <w:trHeight w:val="264"/>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337.7</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710.9</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1,048.5</w:t>
            </w: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1,242.4</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2,099.4</w:t>
            </w:r>
          </w:p>
        </w:tc>
      </w:tr>
      <w:tr>
        <w:trPr>
          <w:trHeight w:val="277"/>
        </w:trPr>
        <w:tc>
          <w:tcPr>
            <w:tcW w:w="4180" w:type="dxa"/>
            <w:vAlign w:val="bottom"/>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7,002.1</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16,205.5</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9,108.5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6,747.3</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15,855.7</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 and Synjardy.</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p>
    <w:p>
      <w:pPr>
        <w:sectPr>
          <w:pgSz w:w="11900" w:h="16838" w:orient="portrait"/>
          <w:cols w:equalWidth="0" w:num="1">
            <w:col w:w="11420"/>
          </w:cols>
          <w:pgMar w:left="240" w:top="1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34"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6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70"/>
        </w:trPr>
        <w:tc>
          <w:tcPr>
            <w:tcW w:w="6020" w:type="dxa"/>
            <w:vAlign w:val="bottom"/>
          </w:tcPr>
          <w:p>
            <w:pPr>
              <w:ind w:left="180"/>
              <w:spacing w:after="0"/>
              <w:rPr>
                <w:sz w:val="20"/>
                <w:szCs w:val="20"/>
                <w:color w:val="auto"/>
              </w:rPr>
            </w:pPr>
            <w:r>
              <w:rPr>
                <w:rFonts w:ascii="Arial" w:cs="Arial" w:eastAsia="Arial" w:hAnsi="Arial"/>
                <w:sz w:val="18"/>
                <w:szCs w:val="18"/>
                <w:color w:val="auto"/>
              </w:rPr>
              <w:t xml:space="preserve">United States </w:t>
            </w:r>
            <w:r>
              <w:rPr>
                <w:rFonts w:ascii="Arial" w:cs="Arial" w:eastAsia="Arial" w:hAnsi="Arial"/>
                <w:sz w:val="21"/>
                <w:szCs w:val="21"/>
                <w:color w:val="auto"/>
                <w:vertAlign w:val="superscript"/>
              </w:rPr>
              <w:t>(2)</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3,060.2</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3,070.5</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9,203.5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9,108.5</w:t>
            </w: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923.4</w:t>
            </w:r>
          </w:p>
        </w:tc>
        <w:tc>
          <w:tcPr>
            <w:tcW w:w="5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890.3</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2,752.0</w:t>
            </w: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2,725.1</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641.5</w:t>
            </w:r>
          </w:p>
        </w:tc>
        <w:tc>
          <w:tcPr>
            <w:tcW w:w="56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589.0</w:t>
            </w:r>
          </w:p>
        </w:tc>
        <w:tc>
          <w:tcPr>
            <w:tcW w:w="38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1,838.4</w:t>
            </w:r>
          </w:p>
        </w:tc>
        <w:tc>
          <w:tcPr>
            <w:tcW w:w="54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1,766.2</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851.4</w:t>
            </w:r>
          </w:p>
        </w:tc>
        <w:tc>
          <w:tcPr>
            <w:tcW w:w="5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757.1</w:t>
            </w: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2,411.7</w:t>
            </w:r>
          </w:p>
        </w:tc>
        <w:tc>
          <w:tcPr>
            <w:tcW w:w="5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2,255.9</w:t>
            </w:r>
          </w:p>
        </w:tc>
      </w:tr>
      <w:tr>
        <w:trPr>
          <w:trHeight w:val="271"/>
        </w:trPr>
        <w:tc>
          <w:tcPr>
            <w:tcW w:w="602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5,476.6</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5,306.9</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16,205.5</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15,855.7</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Revenue is attributed to the countries based on the location of the customer.</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9"/>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Adjustments to revenue recognized as a result of changes in estimates for our most significant U.S. sales returns, rebates, and discounts liability balances for products shipped in previous periods were approximately 2 percent and 3 percent of U.S. revenue during the three and nine months ended September 30, 2019, respectively, and approximately 1 percent and 2 percent of U.S. revenue during the three and nine months ended September 30, 2018,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returns, rebates, and discounts.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contract liability balances: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September 30, 2019</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272.3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294.9</w:t>
            </w:r>
          </w:p>
        </w:tc>
      </w:tr>
    </w:tbl>
    <w:p>
      <w:pPr>
        <w:spacing w:after="0" w:line="3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 recognized from contract liabilities during the three and nine months ended September 30, 2019 and 2018 was not material. Revenue expected to be recognized in the future from contract liabilities as the related performance obligations are satisfied is not expected to be material in any one year.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Acquisitions and Divestiture</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February 2019, we completed the acquisition of Loxo Oncology, Inc. (Loxo).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have been included in our consolidated condensed financial statements from the date of acquisition.</w:t>
      </w:r>
    </w:p>
    <w:p>
      <w:pPr>
        <w:spacing w:after="0" w:line="10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Additionally, we acquired assets in development which are further discussed in this note below in Asset Acquisitions. Upon acquisition, the acquired in-process research and development (IPR&amp;D) charges related to these products were immediately expensed because the products had no alternative future use. We incurred acquired IPR&amp;D charges of $77.7 million and $239.6 million for the three and nine months ended September 30, 2019, respectively, and $30.0 million and $1.65 billion for the three and nine months ended September 30, 2018,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Loxo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February 2019, we acquired all shares of Loxo for a purchase price of $ 6.92 billion, net of cash acquired. The accelerated vesting of Loxo employee equity awards was recognized as transaction expense included in asset impairment, restructuring, and other special charges during the nine months ended September 30, 2019 (see Note 6).</w:t>
      </w:r>
    </w:p>
    <w:p>
      <w:pPr>
        <w:spacing w:after="0" w:line="94"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Under the terms of the agreement, we acquired a pipeline of investigational medicines, including selpercatinib (LOXO-292), an oral RET inhibitor granted Breakthrough Therapy designation by the U.S. Food and Drug Administration, and LOXO-305, an oral BTK inhibitor.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access to Loxo information was limited prior to the acquisition. As a consequence, we are in the process of determining fair values and tax bases of a significant portion of the assets acquired and liabilities assumed, including the identification and valuation of intangible assets, accrued expenses,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February 15,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8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4,670.0</w:t>
            </w:r>
          </w:p>
        </w:tc>
      </w:tr>
      <w:tr>
        <w:trPr>
          <w:trHeight w:val="257"/>
        </w:trPr>
        <w:tc>
          <w:tcPr>
            <w:tcW w:w="9880" w:type="dxa"/>
            <w:vAlign w:val="bottom"/>
          </w:tcPr>
          <w:p>
            <w:pPr>
              <w:ind w:left="40"/>
              <w:spacing w:after="0"/>
              <w:rPr>
                <w:sz w:val="20"/>
                <w:szCs w:val="20"/>
                <w:color w:val="auto"/>
              </w:rPr>
            </w:pPr>
            <w:r>
              <w:rPr>
                <w:rFonts w:ascii="Arial" w:cs="Arial" w:eastAsia="Arial" w:hAnsi="Arial"/>
                <w:sz w:val="18"/>
                <w:szCs w:val="18"/>
                <w:color w:val="auto"/>
              </w:rPr>
              <w:t xml:space="preserve">Definite-lived intangibles </w:t>
            </w:r>
            <w:r>
              <w:rPr>
                <w:rFonts w:ascii="Arial" w:cs="Arial" w:eastAsia="Arial" w:hAnsi="Arial"/>
                <w:sz w:val="21"/>
                <w:szCs w:val="21"/>
                <w:color w:val="auto"/>
                <w:vertAlign w:val="superscript"/>
              </w:rPr>
              <w:t>(1)</w:t>
            </w:r>
          </w:p>
        </w:tc>
        <w:tc>
          <w:tcPr>
            <w:tcW w:w="4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1,020.0</w:t>
            </w:r>
          </w:p>
        </w:tc>
      </w:tr>
      <w:tr>
        <w:trPr>
          <w:trHeight w:val="257"/>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(1,146.9)</w:t>
            </w:r>
          </w:p>
        </w:tc>
      </w:tr>
      <w:tr>
        <w:trPr>
          <w:trHeight w:val="250"/>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57"/>
        </w:trPr>
        <w:tc>
          <w:tcPr>
            <w:tcW w:w="9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4,511.7</w:t>
            </w:r>
          </w:p>
        </w:tc>
      </w:tr>
      <w:tr>
        <w:trPr>
          <w:trHeight w:val="257"/>
        </w:trPr>
        <w:tc>
          <w:tcPr>
            <w:tcW w:w="9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2,406.0</w:t>
            </w:r>
          </w:p>
        </w:tc>
      </w:tr>
      <w:tr>
        <w:trPr>
          <w:trHeight w:val="257"/>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6,917.7</w:t>
            </w:r>
          </w:p>
        </w:tc>
      </w:tr>
    </w:tbl>
    <w:p>
      <w:pPr>
        <w:spacing w:after="0" w:line="248" w:lineRule="exact"/>
        <w:rPr>
          <w:sz w:val="20"/>
          <w:szCs w:val="20"/>
          <w:color w:val="auto"/>
        </w:rPr>
      </w:pPr>
    </w:p>
    <w:p>
      <w:pPr>
        <w:ind w:left="180" w:hanging="172"/>
        <w:spacing w:after="0" w:line="270" w:lineRule="auto"/>
        <w:tabs>
          <w:tab w:leader="none" w:pos="15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Contract-based intangibles, which are being amortized to cost of sales on a straight-line basis over their estimated useful lives, were expected to have a weighted average useful life of approximately 12 years from the acquisition date.</w:t>
      </w:r>
    </w:p>
    <w:p>
      <w:pPr>
        <w:spacing w:after="0" w:line="126" w:lineRule="exact"/>
        <w:rPr>
          <w:rFonts w:ascii="Arial" w:cs="Arial" w:eastAsia="Arial" w:hAnsi="Arial"/>
          <w:sz w:val="18"/>
          <w:szCs w:val="18"/>
          <w:color w:val="auto"/>
          <w:vertAlign w:val="superscript"/>
        </w:rPr>
      </w:pPr>
    </w:p>
    <w:p>
      <w:pPr>
        <w:ind w:left="180" w:right="100" w:hanging="172"/>
        <w:spacing w:after="0" w:line="270" w:lineRule="auto"/>
        <w:tabs>
          <w:tab w:leader="none" w:pos="15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attributable primarily to future unidentified projects and products and the assembled workforce for Loxo and is not deductible for tax purposes.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76"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acquisitions during the nine months ended September 30, 2019 and September 30,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right"/>
              <w:ind w:right="174"/>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Counterparty</w:t>
            </w:r>
          </w:p>
        </w:tc>
        <w:tc>
          <w:tcPr>
            <w:tcW w:w="33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Compound(s) or Therapy</w:t>
            </w:r>
          </w:p>
        </w:tc>
        <w:tc>
          <w:tcPr>
            <w:tcW w:w="17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Acquisition Month</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Development </w:t>
            </w:r>
            <w:r>
              <w:rPr>
                <w:rFonts w:ascii="Arial" w:cs="Arial" w:eastAsia="Arial" w:hAnsi="Arial"/>
                <w:sz w:val="17"/>
                <w:szCs w:val="17"/>
                <w:b w:val="1"/>
                <w:bCs w:val="1"/>
                <w:color w:val="auto"/>
                <w:w w:val="98"/>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2"/>
        </w:trPr>
        <w:tc>
          <w:tcPr>
            <w:tcW w:w="3100" w:type="dxa"/>
            <w:vAlign w:val="bottom"/>
            <w:shd w:val="clear" w:color="auto" w:fill="CCEEFF"/>
          </w:tcPr>
          <w:p>
            <w:pPr>
              <w:spacing w:after="0"/>
              <w:rPr>
                <w:sz w:val="19"/>
                <w:szCs w:val="19"/>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Tau aggregation inhibitor small</w:t>
            </w:r>
          </w:p>
        </w:tc>
        <w:tc>
          <w:tcPr>
            <w:tcW w:w="1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AC Immune SA</w:t>
            </w:r>
          </w:p>
        </w:tc>
        <w:tc>
          <w:tcPr>
            <w:tcW w:w="3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molecules for the potential treatment of</w:t>
            </w:r>
          </w:p>
        </w:tc>
        <w:tc>
          <w:tcPr>
            <w:tcW w:w="1720" w:type="dxa"/>
            <w:vAlign w:val="bottom"/>
            <w:shd w:val="clear" w:color="auto" w:fill="CCEEFF"/>
          </w:tcPr>
          <w:p>
            <w:pPr>
              <w:jc w:val="center"/>
              <w:ind w:right="92"/>
              <w:spacing w:after="0" w:line="202" w:lineRule="exact"/>
              <w:rPr>
                <w:sz w:val="20"/>
                <w:szCs w:val="20"/>
                <w:color w:val="auto"/>
              </w:rPr>
            </w:pPr>
            <w:r>
              <w:rPr>
                <w:rFonts w:ascii="Arial" w:cs="Arial" w:eastAsia="Arial" w:hAnsi="Arial"/>
                <w:sz w:val="18"/>
                <w:szCs w:val="18"/>
                <w:color w:val="auto"/>
                <w:w w:val="99"/>
              </w:rPr>
              <w:t>January 2019 &amp;</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127.1</w:t>
            </w:r>
          </w:p>
        </w:tc>
        <w:tc>
          <w:tcPr>
            <w:tcW w:w="0" w:type="dxa"/>
            <w:vAlign w:val="bottom"/>
          </w:tcPr>
          <w:p>
            <w:pPr>
              <w:spacing w:after="0"/>
              <w:rPr>
                <w:sz w:val="1"/>
                <w:szCs w:val="1"/>
                <w:color w:val="auto"/>
              </w:rPr>
            </w:pPr>
          </w:p>
        </w:tc>
      </w:tr>
      <w:tr>
        <w:trPr>
          <w:trHeight w:val="203"/>
        </w:trPr>
        <w:tc>
          <w:tcPr>
            <w:tcW w:w="3100" w:type="dxa"/>
            <w:vAlign w:val="bottom"/>
            <w:vMerge w:val="continue"/>
            <w:shd w:val="clear" w:color="auto" w:fill="CCEEFF"/>
          </w:tcPr>
          <w:p>
            <w:pPr>
              <w:spacing w:after="0"/>
              <w:rPr>
                <w:sz w:val="17"/>
                <w:szCs w:val="17"/>
                <w:color w:val="auto"/>
              </w:rPr>
            </w:pPr>
          </w:p>
        </w:tc>
        <w:tc>
          <w:tcPr>
            <w:tcW w:w="3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Alzheimer's disease and other</w:t>
            </w:r>
          </w:p>
        </w:tc>
        <w:tc>
          <w:tcPr>
            <w:tcW w:w="172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7"/>
              </w:rPr>
              <w:t>September 2019</w:t>
            </w:r>
            <w:r>
              <w:rPr>
                <w:rFonts w:ascii="Arial" w:cs="Arial" w:eastAsia="Arial" w:hAnsi="Arial"/>
                <w:sz w:val="18"/>
                <w:szCs w:val="18"/>
                <w:color w:val="auto"/>
                <w:w w:val="97"/>
                <w:vertAlign w:val="superscript"/>
              </w:rPr>
              <w:t>(2)</w:t>
            </w:r>
          </w:p>
        </w:tc>
        <w:tc>
          <w:tcPr>
            <w:tcW w:w="150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00" w:type="dxa"/>
            <w:vAlign w:val="bottom"/>
            <w:tcBorders>
              <w:bottom w:val="single" w:sz="8" w:color="auto"/>
            </w:tcBorders>
            <w:shd w:val="clear" w:color="auto" w:fill="CCEEFF"/>
          </w:tcPr>
          <w:p>
            <w:pPr>
              <w:spacing w:after="0"/>
              <w:rPr>
                <w:sz w:val="19"/>
                <w:szCs w:val="19"/>
                <w:color w:val="auto"/>
              </w:rPr>
            </w:pPr>
          </w:p>
        </w:tc>
        <w:tc>
          <w:tcPr>
            <w:tcW w:w="3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neurodegenerative diseases</w:t>
            </w:r>
          </w:p>
        </w:tc>
        <w:tc>
          <w:tcPr>
            <w:tcW w:w="17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ImmuNext, Inc.</w:t>
            </w:r>
          </w:p>
        </w:tc>
        <w:tc>
          <w:tcPr>
            <w:tcW w:w="3300" w:type="dxa"/>
            <w:vAlign w:val="bottom"/>
          </w:tcPr>
          <w:p>
            <w:pPr>
              <w:ind w:left="120"/>
              <w:spacing w:after="0"/>
              <w:rPr>
                <w:sz w:val="20"/>
                <w:szCs w:val="20"/>
                <w:color w:val="auto"/>
              </w:rPr>
            </w:pPr>
            <w:r>
              <w:rPr>
                <w:rFonts w:ascii="Arial" w:cs="Arial" w:eastAsia="Arial" w:hAnsi="Arial"/>
                <w:sz w:val="18"/>
                <w:szCs w:val="18"/>
                <w:color w:val="auto"/>
              </w:rPr>
              <w:t>Novel immunometabolism target</w:t>
            </w:r>
          </w:p>
        </w:tc>
        <w:tc>
          <w:tcPr>
            <w:tcW w:w="1720" w:type="dxa"/>
            <w:vAlign w:val="bottom"/>
          </w:tcPr>
          <w:p>
            <w:pPr>
              <w:jc w:val="center"/>
              <w:ind w:right="72"/>
              <w:spacing w:after="0"/>
              <w:rPr>
                <w:sz w:val="20"/>
                <w:szCs w:val="20"/>
                <w:color w:val="auto"/>
              </w:rPr>
            </w:pPr>
            <w:r>
              <w:rPr>
                <w:rFonts w:ascii="Arial" w:cs="Arial" w:eastAsia="Arial" w:hAnsi="Arial"/>
                <w:sz w:val="18"/>
                <w:szCs w:val="18"/>
                <w:color w:val="auto"/>
              </w:rPr>
              <w:t>March 2019</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00" w:type="dxa"/>
            <w:vAlign w:val="bottom"/>
            <w:shd w:val="clear" w:color="auto" w:fill="CCEEFF"/>
          </w:tcPr>
          <w:p>
            <w:pPr>
              <w:spacing w:after="0"/>
              <w:rPr>
                <w:sz w:val="19"/>
                <w:szCs w:val="19"/>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Potential new medicines in</w:t>
            </w:r>
          </w:p>
        </w:tc>
        <w:tc>
          <w:tcPr>
            <w:tcW w:w="17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25.0</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Avidity Biosciences, Inc.</w:t>
            </w:r>
          </w:p>
        </w:tc>
        <w:tc>
          <w:tcPr>
            <w:tcW w:w="33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immunology and other select</w:t>
            </w:r>
          </w:p>
        </w:tc>
        <w:tc>
          <w:tcPr>
            <w:tcW w:w="172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8"/>
              </w:rPr>
              <w:t>April 2019</w:t>
            </w: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Pre-clinical</w:t>
            </w:r>
          </w:p>
        </w:tc>
        <w:tc>
          <w:tcPr>
            <w:tcW w:w="36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00" w:type="dxa"/>
            <w:vAlign w:val="bottom"/>
            <w:tcBorders>
              <w:bottom w:val="single" w:sz="8" w:color="auto"/>
            </w:tcBorders>
            <w:shd w:val="clear" w:color="auto" w:fill="CCEEFF"/>
          </w:tcPr>
          <w:p>
            <w:pPr>
              <w:spacing w:after="0"/>
              <w:rPr>
                <w:sz w:val="19"/>
                <w:szCs w:val="19"/>
                <w:color w:val="auto"/>
              </w:rPr>
            </w:pPr>
          </w:p>
        </w:tc>
        <w:tc>
          <w:tcPr>
            <w:tcW w:w="3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indications</w:t>
            </w:r>
          </w:p>
        </w:tc>
        <w:tc>
          <w:tcPr>
            <w:tcW w:w="17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vMerge w:val="restart"/>
          </w:tcPr>
          <w:p>
            <w:pPr>
              <w:ind w:left="40"/>
              <w:spacing w:after="0"/>
              <w:rPr>
                <w:sz w:val="20"/>
                <w:szCs w:val="20"/>
                <w:color w:val="auto"/>
              </w:rPr>
            </w:pPr>
            <w:r>
              <w:rPr>
                <w:rFonts w:ascii="Arial" w:cs="Arial" w:eastAsia="Arial" w:hAnsi="Arial"/>
                <w:sz w:val="18"/>
                <w:szCs w:val="18"/>
                <w:color w:val="auto"/>
              </w:rPr>
              <w:t>Centrexion Therapeutics Corporation</w:t>
            </w:r>
          </w:p>
        </w:tc>
        <w:tc>
          <w:tcPr>
            <w:tcW w:w="3300" w:type="dxa"/>
            <w:vAlign w:val="bottom"/>
          </w:tcPr>
          <w:p>
            <w:pPr>
              <w:ind w:left="120"/>
              <w:spacing w:after="0"/>
              <w:rPr>
                <w:sz w:val="20"/>
                <w:szCs w:val="20"/>
                <w:color w:val="auto"/>
              </w:rPr>
            </w:pPr>
            <w:r>
              <w:rPr>
                <w:rFonts w:ascii="Arial" w:cs="Arial" w:eastAsia="Arial" w:hAnsi="Arial"/>
                <w:sz w:val="18"/>
                <w:szCs w:val="18"/>
                <w:color w:val="auto"/>
              </w:rPr>
              <w:t>CNTX-0290, a novel, small molecule</w:t>
            </w:r>
          </w:p>
        </w:tc>
        <w:tc>
          <w:tcPr>
            <w:tcW w:w="1720" w:type="dxa"/>
            <w:vAlign w:val="bottom"/>
            <w:vMerge w:val="restart"/>
          </w:tcPr>
          <w:p>
            <w:pPr>
              <w:jc w:val="center"/>
              <w:ind w:right="72"/>
              <w:spacing w:after="0"/>
              <w:rPr>
                <w:sz w:val="20"/>
                <w:szCs w:val="20"/>
                <w:color w:val="auto"/>
              </w:rPr>
            </w:pPr>
            <w:r>
              <w:rPr>
                <w:rFonts w:ascii="Arial" w:cs="Arial" w:eastAsia="Arial" w:hAnsi="Arial"/>
                <w:sz w:val="18"/>
                <w:szCs w:val="18"/>
                <w:color w:val="auto"/>
                <w:w w:val="98"/>
              </w:rPr>
              <w:t>July 2019</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8"/>
              </w:rPr>
              <w:t>Phase I</w:t>
            </w:r>
          </w:p>
        </w:tc>
        <w:tc>
          <w:tcPr>
            <w:tcW w:w="360" w:type="dxa"/>
            <w:vAlign w:val="bottom"/>
          </w:tcPr>
          <w:p>
            <w:pPr>
              <w:spacing w:after="0"/>
              <w:rPr>
                <w:sz w:val="19"/>
                <w:szCs w:val="19"/>
                <w:color w:val="auto"/>
              </w:rPr>
            </w:pPr>
          </w:p>
        </w:tc>
        <w:tc>
          <w:tcPr>
            <w:tcW w:w="14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47.5</w:t>
            </w:r>
          </w:p>
        </w:tc>
        <w:tc>
          <w:tcPr>
            <w:tcW w:w="0" w:type="dxa"/>
            <w:vAlign w:val="bottom"/>
          </w:tcPr>
          <w:p>
            <w:pPr>
              <w:spacing w:after="0"/>
              <w:rPr>
                <w:sz w:val="1"/>
                <w:szCs w:val="1"/>
                <w:color w:val="auto"/>
              </w:rPr>
            </w:pPr>
          </w:p>
        </w:tc>
      </w:tr>
      <w:tr>
        <w:trPr>
          <w:trHeight w:val="109"/>
        </w:trPr>
        <w:tc>
          <w:tcPr>
            <w:tcW w:w="3100" w:type="dxa"/>
            <w:vAlign w:val="bottom"/>
            <w:vMerge w:val="continue"/>
          </w:tcPr>
          <w:p>
            <w:pPr>
              <w:spacing w:after="0"/>
              <w:rPr>
                <w:sz w:val="9"/>
                <w:szCs w:val="9"/>
                <w:color w:val="auto"/>
              </w:rPr>
            </w:pPr>
          </w:p>
        </w:tc>
        <w:tc>
          <w:tcPr>
            <w:tcW w:w="3300" w:type="dxa"/>
            <w:vAlign w:val="bottom"/>
            <w:vMerge w:val="restart"/>
          </w:tcPr>
          <w:p>
            <w:pPr>
              <w:ind w:left="120"/>
              <w:spacing w:after="0"/>
              <w:rPr>
                <w:sz w:val="20"/>
                <w:szCs w:val="20"/>
                <w:color w:val="auto"/>
              </w:rPr>
            </w:pPr>
            <w:r>
              <w:rPr>
                <w:rFonts w:ascii="Arial" w:cs="Arial" w:eastAsia="Arial" w:hAnsi="Arial"/>
                <w:sz w:val="18"/>
                <w:szCs w:val="18"/>
                <w:color w:val="auto"/>
              </w:rPr>
              <w:t>somatostatin receptor type 4 agonist</w:t>
            </w:r>
          </w:p>
        </w:tc>
        <w:tc>
          <w:tcPr>
            <w:tcW w:w="17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10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vMerge w:val="continue"/>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3100" w:type="dxa"/>
            <w:vAlign w:val="bottom"/>
            <w:tcBorders>
              <w:bottom w:val="single" w:sz="8" w:color="auto"/>
            </w:tcBorders>
            <w:shd w:val="clear" w:color="auto" w:fill="CCEEFF"/>
          </w:tcPr>
          <w:p>
            <w:pPr>
              <w:spacing w:after="0"/>
              <w:rPr>
                <w:sz w:val="24"/>
                <w:szCs w:val="24"/>
                <w:color w:val="auto"/>
              </w:rPr>
            </w:pPr>
          </w:p>
        </w:tc>
        <w:tc>
          <w:tcPr>
            <w:tcW w:w="330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00" w:type="dxa"/>
            <w:vAlign w:val="bottom"/>
            <w:vMerge w:val="restart"/>
          </w:tcPr>
          <w:p>
            <w:pPr>
              <w:ind w:left="40"/>
              <w:spacing w:after="0"/>
              <w:rPr>
                <w:sz w:val="20"/>
                <w:szCs w:val="20"/>
                <w:color w:val="auto"/>
              </w:rPr>
            </w:pPr>
            <w:r>
              <w:rPr>
                <w:rFonts w:ascii="Arial" w:cs="Arial" w:eastAsia="Arial" w:hAnsi="Arial"/>
                <w:sz w:val="18"/>
                <w:szCs w:val="18"/>
                <w:color w:val="auto"/>
              </w:rPr>
              <w:t>Sigilon Therapeutics</w:t>
            </w:r>
          </w:p>
        </w:tc>
        <w:tc>
          <w:tcPr>
            <w:tcW w:w="3300" w:type="dxa"/>
            <w:vAlign w:val="bottom"/>
          </w:tcPr>
          <w:p>
            <w:pPr>
              <w:ind w:left="120"/>
              <w:spacing w:after="0"/>
              <w:rPr>
                <w:sz w:val="20"/>
                <w:szCs w:val="20"/>
                <w:color w:val="auto"/>
              </w:rPr>
            </w:pPr>
            <w:r>
              <w:rPr>
                <w:rFonts w:ascii="Arial" w:cs="Arial" w:eastAsia="Arial" w:hAnsi="Arial"/>
                <w:sz w:val="18"/>
                <w:szCs w:val="18"/>
                <w:color w:val="auto"/>
              </w:rPr>
              <w:t>Encapsulated cell therapies for the</w:t>
            </w:r>
          </w:p>
        </w:tc>
        <w:tc>
          <w:tcPr>
            <w:tcW w:w="1720" w:type="dxa"/>
            <w:vAlign w:val="bottom"/>
            <w:vMerge w:val="restart"/>
          </w:tcPr>
          <w:p>
            <w:pPr>
              <w:jc w:val="center"/>
              <w:ind w:right="72"/>
              <w:spacing w:after="0"/>
              <w:rPr>
                <w:sz w:val="20"/>
                <w:szCs w:val="20"/>
                <w:color w:val="auto"/>
              </w:rPr>
            </w:pPr>
            <w:r>
              <w:rPr>
                <w:rFonts w:ascii="Arial" w:cs="Arial" w:eastAsia="Arial" w:hAnsi="Arial"/>
                <w:sz w:val="18"/>
                <w:szCs w:val="18"/>
                <w:color w:val="auto"/>
                <w:w w:val="98"/>
              </w:rPr>
              <w:t>April 2018</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tcPr>
          <w:p>
            <w:pPr>
              <w:spacing w:after="0"/>
              <w:rPr>
                <w:sz w:val="19"/>
                <w:szCs w:val="19"/>
                <w:color w:val="auto"/>
              </w:rPr>
            </w:pPr>
          </w:p>
        </w:tc>
        <w:tc>
          <w:tcPr>
            <w:tcW w:w="1420" w:type="dxa"/>
            <w:vAlign w:val="bottom"/>
            <w:vMerge w:val="restart"/>
          </w:tcPr>
          <w:p>
            <w:pPr>
              <w:jc w:val="right"/>
              <w:ind w:right="34"/>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09"/>
        </w:trPr>
        <w:tc>
          <w:tcPr>
            <w:tcW w:w="3100" w:type="dxa"/>
            <w:vAlign w:val="bottom"/>
            <w:vMerge w:val="continue"/>
          </w:tcPr>
          <w:p>
            <w:pPr>
              <w:spacing w:after="0"/>
              <w:rPr>
                <w:sz w:val="9"/>
                <w:szCs w:val="9"/>
                <w:color w:val="auto"/>
              </w:rPr>
            </w:pPr>
          </w:p>
        </w:tc>
        <w:tc>
          <w:tcPr>
            <w:tcW w:w="3300" w:type="dxa"/>
            <w:vAlign w:val="bottom"/>
            <w:vMerge w:val="restart"/>
          </w:tcPr>
          <w:p>
            <w:pPr>
              <w:ind w:left="120"/>
              <w:spacing w:after="0"/>
              <w:rPr>
                <w:sz w:val="20"/>
                <w:szCs w:val="20"/>
                <w:color w:val="auto"/>
              </w:rPr>
            </w:pPr>
            <w:r>
              <w:rPr>
                <w:rFonts w:ascii="Arial" w:cs="Arial" w:eastAsia="Arial" w:hAnsi="Arial"/>
                <w:sz w:val="18"/>
                <w:szCs w:val="18"/>
                <w:color w:val="auto"/>
              </w:rPr>
              <w:t>potential treatment of type 1 diabetes</w:t>
            </w:r>
          </w:p>
        </w:tc>
        <w:tc>
          <w:tcPr>
            <w:tcW w:w="172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1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vMerge w:val="continue"/>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AurKa Pharma, Inc. (Aurka)</w:t>
            </w:r>
          </w:p>
        </w:tc>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AK-01, an Aurora kinase A inhibitor</w:t>
            </w:r>
          </w:p>
        </w:tc>
        <w:tc>
          <w:tcPr>
            <w:tcW w:w="172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color w:val="auto"/>
                <w:w w:val="99"/>
              </w:rPr>
              <w:t>June 2018</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Phase I</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ARMO Biosciences, Inc. (ARMO)</w:t>
            </w:r>
          </w:p>
        </w:tc>
        <w:tc>
          <w:tcPr>
            <w:tcW w:w="33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Cancer therapy - pegilodecakin</w:t>
            </w:r>
          </w:p>
        </w:tc>
        <w:tc>
          <w:tcPr>
            <w:tcW w:w="1720" w:type="dxa"/>
            <w:vAlign w:val="bottom"/>
            <w:tcBorders>
              <w:top w:val="single" w:sz="8" w:color="auto"/>
            </w:tcBorders>
          </w:tcPr>
          <w:p>
            <w:pPr>
              <w:jc w:val="center"/>
              <w:ind w:right="72"/>
              <w:spacing w:after="0"/>
              <w:rPr>
                <w:sz w:val="20"/>
                <w:szCs w:val="20"/>
                <w:color w:val="auto"/>
              </w:rPr>
            </w:pPr>
            <w:r>
              <w:rPr>
                <w:rFonts w:ascii="Arial" w:cs="Arial" w:eastAsia="Arial" w:hAnsi="Arial"/>
                <w:sz w:val="18"/>
                <w:szCs w:val="18"/>
                <w:color w:val="auto"/>
                <w:w w:val="99"/>
              </w:rPr>
              <w:t>June 2018</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Anima Biotech</w:t>
            </w:r>
          </w:p>
        </w:tc>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inhibitors for selected</w:t>
            </w:r>
          </w:p>
        </w:tc>
        <w:tc>
          <w:tcPr>
            <w:tcW w:w="1720" w:type="dxa"/>
            <w:vAlign w:val="bottom"/>
            <w:vMerge w:val="restart"/>
            <w:shd w:val="clear" w:color="auto" w:fill="CCEEFF"/>
          </w:tcPr>
          <w:p>
            <w:pPr>
              <w:jc w:val="center"/>
              <w:ind w:right="72"/>
              <w:spacing w:after="0"/>
              <w:rPr>
                <w:sz w:val="20"/>
                <w:szCs w:val="20"/>
                <w:color w:val="auto"/>
              </w:rPr>
            </w:pPr>
            <w:r>
              <w:rPr>
                <w:rFonts w:ascii="Arial" w:cs="Arial" w:eastAsia="Arial" w:hAnsi="Arial"/>
                <w:sz w:val="18"/>
                <w:szCs w:val="18"/>
                <w:color w:val="auto"/>
                <w:w w:val="98"/>
              </w:rPr>
              <w:t>July 2018</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9"/>
        </w:trPr>
        <w:tc>
          <w:tcPr>
            <w:tcW w:w="3100" w:type="dxa"/>
            <w:vAlign w:val="bottom"/>
            <w:vMerge w:val="continue"/>
            <w:shd w:val="clear" w:color="auto" w:fill="CCEEFF"/>
          </w:tcPr>
          <w:p>
            <w:pPr>
              <w:spacing w:after="0"/>
              <w:rPr>
                <w:sz w:val="9"/>
                <w:szCs w:val="9"/>
                <w:color w:val="auto"/>
              </w:rPr>
            </w:pPr>
          </w:p>
        </w:tc>
        <w:tc>
          <w:tcPr>
            <w:tcW w:w="33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neuroscience targets</w:t>
            </w:r>
          </w:p>
        </w:tc>
        <w:tc>
          <w:tcPr>
            <w:tcW w:w="1720" w:type="dxa"/>
            <w:vAlign w:val="bottom"/>
            <w:vMerge w:val="continue"/>
            <w:shd w:val="clear" w:color="auto" w:fill="CCEEFF"/>
          </w:tcPr>
          <w:p>
            <w:pPr>
              <w:spacing w:after="0"/>
              <w:rPr>
                <w:sz w:val="9"/>
                <w:szCs w:val="9"/>
                <w:color w:val="auto"/>
              </w:rPr>
            </w:pPr>
          </w:p>
        </w:tc>
        <w:tc>
          <w:tcPr>
            <w:tcW w:w="150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100" w:type="dxa"/>
            <w:vAlign w:val="bottom"/>
            <w:tcBorders>
              <w:bottom w:val="single" w:sz="8" w:color="auto"/>
            </w:tcBorders>
            <w:shd w:val="clear" w:color="auto" w:fill="CCEEFF"/>
          </w:tcPr>
          <w:p>
            <w:pPr>
              <w:spacing w:after="0"/>
              <w:rPr>
                <w:sz w:val="10"/>
                <w:szCs w:val="10"/>
                <w:color w:val="auto"/>
              </w:rPr>
            </w:pPr>
          </w:p>
        </w:tc>
        <w:tc>
          <w:tcPr>
            <w:tcW w:w="3300" w:type="dxa"/>
            <w:vAlign w:val="bottom"/>
            <w:tcBorders>
              <w:bottom w:val="single" w:sz="8" w:color="auto"/>
            </w:tcBorders>
            <w:vMerge w:val="continue"/>
            <w:shd w:val="clear" w:color="auto" w:fill="CCEEFF"/>
          </w:tcPr>
          <w:p>
            <w:pPr>
              <w:spacing w:after="0"/>
              <w:rPr>
                <w:sz w:val="10"/>
                <w:szCs w:val="10"/>
                <w:color w:val="auto"/>
              </w:rPr>
            </w:pPr>
          </w:p>
        </w:tc>
        <w:tc>
          <w:tcPr>
            <w:tcW w:w="1720" w:type="dxa"/>
            <w:vAlign w:val="bottom"/>
            <w:tcBorders>
              <w:bottom w:val="single" w:sz="8" w:color="auto"/>
            </w:tcBorders>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4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151" w:lineRule="exact"/>
        <w:rPr>
          <w:rFonts w:ascii="Arial" w:cs="Arial" w:eastAsia="Arial" w:hAnsi="Arial"/>
          <w:sz w:val="16"/>
          <w:szCs w:val="16"/>
          <w:color w:val="auto"/>
          <w:vertAlign w:val="superscript"/>
        </w:rPr>
      </w:pPr>
    </w:p>
    <w:p>
      <w:pPr>
        <w:ind w:left="180" w:right="180" w:hanging="172"/>
        <w:spacing w:after="0" w:line="270" w:lineRule="auto"/>
        <w:tabs>
          <w:tab w:leader="none" w:pos="15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We recognized acquired IPR&amp;D expenses of $96.9 million in January 2019 upon entering into a license agreement and $30.2 million in September 2019 upon entering into an amendment to the license agreement.</w:t>
      </w:r>
    </w:p>
    <w:p>
      <w:pPr>
        <w:spacing w:after="0" w:line="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April 2019, we announced an agreement to sell the rights in China for two legacy antibiotic medicines, as well as a manufacturing facility in Suzhou, China to Eddingpharm, a China-based specialty pharmaceutical company. Under terms of the agreement, we received a deposit of $75.0 million, and will receive a payment of $300.0 million upon successful closing of the transaction. The transaction is subject to customary closing conditions and regulatory approval.</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38"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See Note 2 for amounts of collaboration and other revenue recognized from these types of arrangements.</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 Jardiance, Glyxambi, and Synjardy, as well as our basal insulin, Basaglar.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significant milestones (deferred) capitalized for the compounds included in this collaboration: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40" w:type="dxa"/>
            <w:vAlign w:val="bottom"/>
          </w:tcPr>
          <w:p>
            <w:pPr>
              <w:jc w:val="right"/>
              <w:ind w:right="737"/>
              <w:spacing w:after="0"/>
              <w:rPr>
                <w:sz w:val="20"/>
                <w:szCs w:val="20"/>
                <w:color w:val="auto"/>
              </w:rPr>
            </w:pPr>
            <w:r>
              <w:rPr>
                <w:rFonts w:ascii="Arial" w:cs="Arial" w:eastAsia="Arial" w:hAnsi="Arial"/>
                <w:sz w:val="14"/>
                <w:szCs w:val="14"/>
                <w:b w:val="1"/>
                <w:bCs w:val="1"/>
                <w:color w:val="auto"/>
              </w:rPr>
              <w:t>Milestones</w:t>
            </w:r>
          </w:p>
        </w:tc>
      </w:tr>
      <w:tr>
        <w:trPr>
          <w:trHeight w:val="202"/>
        </w:trPr>
        <w:tc>
          <w:tcPr>
            <w:tcW w:w="61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Product Family</w:t>
            </w:r>
          </w:p>
        </w:tc>
        <w:tc>
          <w:tcPr>
            <w:tcW w:w="3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 xml:space="preserve">(Deferred) Capitalized </w:t>
            </w:r>
            <w:r>
              <w:rPr>
                <w:rFonts w:ascii="Arial" w:cs="Arial" w:eastAsia="Arial" w:hAnsi="Arial"/>
                <w:sz w:val="17"/>
                <w:szCs w:val="17"/>
                <w:b w:val="1"/>
                <w:bCs w:val="1"/>
                <w:color w:val="auto"/>
                <w:vertAlign w:val="superscript"/>
              </w:rPr>
              <w:t>(1)</w:t>
            </w:r>
          </w:p>
        </w:tc>
      </w:tr>
      <w:tr>
        <w:trPr>
          <w:trHeight w:val="264"/>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3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446.4</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160" w:type="dxa"/>
            <w:vAlign w:val="bottom"/>
          </w:tcPr>
          <w:p>
            <w:pPr>
              <w:spacing w:after="0"/>
              <w:rPr>
                <w:sz w:val="23"/>
                <w:szCs w:val="23"/>
                <w:color w:val="auto"/>
              </w:rPr>
            </w:pPr>
          </w:p>
        </w:tc>
        <w:tc>
          <w:tcPr>
            <w:tcW w:w="2140" w:type="dxa"/>
            <w:vAlign w:val="bottom"/>
          </w:tcPr>
          <w:p>
            <w:pPr>
              <w:jc w:val="right"/>
              <w:ind w:right="17"/>
              <w:spacing w:after="0"/>
              <w:rPr>
                <w:sz w:val="20"/>
                <w:szCs w:val="20"/>
                <w:color w:val="auto"/>
              </w:rPr>
            </w:pPr>
            <w:r>
              <w:rPr>
                <w:rFonts w:ascii="Arial" w:cs="Arial" w:eastAsia="Arial" w:hAnsi="Arial"/>
                <w:sz w:val="18"/>
                <w:szCs w:val="18"/>
                <w:color w:val="auto"/>
              </w:rPr>
              <w:t>289.0</w:t>
            </w:r>
          </w:p>
        </w:tc>
      </w:tr>
      <w:tr>
        <w:trPr>
          <w:trHeight w:val="270"/>
        </w:trPr>
        <w:tc>
          <w:tcPr>
            <w:tcW w:w="6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160" w:type="dxa"/>
            <w:vAlign w:val="bottom"/>
            <w:shd w:val="clear" w:color="auto" w:fill="CCEEFF"/>
          </w:tcPr>
          <w:p>
            <w:pPr>
              <w:spacing w:after="0"/>
              <w:rPr>
                <w:sz w:val="23"/>
                <w:szCs w:val="23"/>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329" w:lineRule="exact"/>
        <w:rPr>
          <w:sz w:val="20"/>
          <w:szCs w:val="20"/>
          <w:color w:val="auto"/>
        </w:rPr>
      </w:pPr>
    </w:p>
    <w:p>
      <w:pPr>
        <w:ind w:left="180" w:right="280" w:hanging="172"/>
        <w:spacing w:after="0" w:line="232" w:lineRule="auto"/>
        <w:tabs>
          <w:tab w:leader="none" w:pos="153"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 through the term of the collaboration. This represents the cumulative amounts that have been (deferred) or capitalized from the start of this collaboration through the end of the reporting period.</w:t>
      </w:r>
    </w:p>
    <w:p>
      <w:pPr>
        <w:spacing w:after="0" w:line="100" w:lineRule="exact"/>
        <w:rPr>
          <w:rFonts w:ascii="Arial" w:cs="Arial" w:eastAsia="Arial" w:hAnsi="Arial"/>
          <w:sz w:val="17"/>
          <w:szCs w:val="17"/>
          <w:color w:val="auto"/>
          <w:vertAlign w:val="superscript"/>
        </w:rPr>
      </w:pPr>
    </w:p>
    <w:p>
      <w:pPr>
        <w:ind w:left="180" w:right="100" w:hanging="172"/>
        <w:spacing w:after="0" w:line="225" w:lineRule="auto"/>
        <w:tabs>
          <w:tab w:leader="none" w:pos="153"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Jentadueto is included in the Trajenta product family. The collaboration agreement with Boehringer Ingelheim for Trajenta ends upon expiration of the compound patent and any supplementary protection certificates or extensions thereto.</w:t>
      </w:r>
    </w:p>
    <w:p>
      <w:pPr>
        <w:spacing w:after="0" w:line="97" w:lineRule="exact"/>
        <w:rPr>
          <w:rFonts w:ascii="Arial" w:cs="Arial" w:eastAsia="Arial" w:hAnsi="Arial"/>
          <w:sz w:val="17"/>
          <w:szCs w:val="17"/>
          <w:color w:val="auto"/>
          <w:vertAlign w:val="superscript"/>
        </w:rPr>
      </w:pPr>
    </w:p>
    <w:p>
      <w:pPr>
        <w:ind w:left="180" w:right="40" w:hanging="172"/>
        <w:spacing w:after="0" w:line="225" w:lineRule="auto"/>
        <w:tabs>
          <w:tab w:leader="none" w:pos="153"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Glyxambi and Synjardy are included in the Jardiance product family. The collaboration agreement with Boehringer Ingelheim for Jardiance ends upon expiration of the compound patent and any supplementary protection certificates or extensions thereto.</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products as collaboration and other revenue. We record our sales of Basaglar to third parties as net product revenue with the payments made to Boehringer Ingelheim for its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 Subject to achieving these thresholds, in a given period, our reported revenue for Trajenta and Jardiance may be reduced by any performance payments we make related to these products. Similarly, performance payments we may receive related to Basaglar effectively reduce Boehringer Ingelheim's share of the gross margin, which reduces our cost of sales.</w:t>
      </w:r>
    </w:p>
    <w:p>
      <w:pPr>
        <w:spacing w:after="0" w:line="10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summarizes our net product revenue recognized with respect to Basaglar and collaboration and other revenue recognized with respect to the Trajenta and Jardiance families of products: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3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322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2018</w:t>
            </w:r>
          </w:p>
        </w:tc>
      </w:tr>
      <w:tr>
        <w:trPr>
          <w:trHeight w:val="270"/>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263.2</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201.2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805.4</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569.0</w:t>
            </w:r>
          </w:p>
        </w:tc>
      </w:tr>
      <w:tr>
        <w:trPr>
          <w:trHeight w:val="263"/>
        </w:trPr>
        <w:tc>
          <w:tcPr>
            <w:tcW w:w="3220" w:type="dxa"/>
            <w:vAlign w:val="bottom"/>
          </w:tcPr>
          <w:p>
            <w:pPr>
              <w:ind w:left="40"/>
              <w:spacing w:after="0"/>
              <w:rPr>
                <w:sz w:val="20"/>
                <w:szCs w:val="20"/>
                <w:color w:val="auto"/>
              </w:rPr>
            </w:pPr>
            <w:r>
              <w:rPr>
                <w:rFonts w:ascii="Arial" w:cs="Arial" w:eastAsia="Arial" w:hAnsi="Arial"/>
                <w:sz w:val="18"/>
                <w:szCs w:val="18"/>
                <w:color w:val="auto"/>
              </w:rPr>
              <w:t>Jardiance</w:t>
            </w:r>
          </w:p>
        </w:tc>
        <w:tc>
          <w:tcPr>
            <w:tcW w:w="2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b w:val="1"/>
                <w:bCs w:val="1"/>
                <w:color w:val="auto"/>
              </w:rPr>
              <w:t>240.7</w:t>
            </w:r>
          </w:p>
        </w:tc>
        <w:tc>
          <w:tcPr>
            <w:tcW w:w="56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166.9</w:t>
            </w:r>
          </w:p>
        </w:tc>
        <w:tc>
          <w:tcPr>
            <w:tcW w:w="4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b w:val="1"/>
                <w:bCs w:val="1"/>
                <w:color w:val="auto"/>
              </w:rPr>
              <w:t>676.2</w:t>
            </w:r>
          </w:p>
        </w:tc>
        <w:tc>
          <w:tcPr>
            <w:tcW w:w="5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465.1</w:t>
            </w:r>
          </w:p>
        </w:tc>
      </w:tr>
      <w:tr>
        <w:trPr>
          <w:trHeight w:val="27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2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155.5</w:t>
            </w: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135.7</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441.4</w:t>
            </w: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418.5</w:t>
            </w:r>
          </w:p>
        </w:tc>
      </w:tr>
      <w:tr>
        <w:trPr>
          <w:trHeight w:val="675"/>
        </w:trPr>
        <w:tc>
          <w:tcPr>
            <w:tcW w:w="3220" w:type="dxa"/>
            <w:vAlign w:val="bottom"/>
          </w:tcPr>
          <w:p>
            <w:pPr>
              <w:spacing w:after="0"/>
              <w:rPr>
                <w:sz w:val="24"/>
                <w:szCs w:val="24"/>
                <w:color w:val="auto"/>
              </w:rPr>
            </w:pPr>
          </w:p>
        </w:tc>
        <w:tc>
          <w:tcPr>
            <w:tcW w:w="280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Olumiant</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and certain follow-on compounds, for the treatment of inflammatory and autoimmune diseases. Incyte has the right to receive tiered, double-digit royalty payments on future global sales with rates ranging up to 20 percent. The agreement calls for payments by us to Incyte associated with certain development, success-based regulatory, and sales-based milestones.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milestones achieved: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Year</w:t>
            </w:r>
          </w:p>
        </w:tc>
        <w:tc>
          <w:tcPr>
            <w:tcW w:w="472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Event</w:t>
            </w:r>
          </w:p>
        </w:tc>
        <w:tc>
          <w:tcPr>
            <w:tcW w:w="23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Classification</w:t>
            </w:r>
          </w:p>
        </w:tc>
        <w:tc>
          <w:tcPr>
            <w:tcW w:w="10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0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approval in the U.S.</w:t>
            </w:r>
          </w:p>
        </w:tc>
        <w:tc>
          <w:tcPr>
            <w:tcW w:w="2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w:t>
            </w:r>
          </w:p>
        </w:tc>
        <w:tc>
          <w:tcPr>
            <w:tcW w:w="1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1160" w:type="dxa"/>
            <w:vAlign w:val="bottom"/>
          </w:tcPr>
          <w:p>
            <w:pPr>
              <w:jc w:val="right"/>
              <w:ind w:right="634"/>
              <w:spacing w:after="0"/>
              <w:rPr>
                <w:sz w:val="20"/>
                <w:szCs w:val="20"/>
                <w:color w:val="auto"/>
              </w:rPr>
            </w:pPr>
            <w:r>
              <w:rPr>
                <w:rFonts w:ascii="Arial" w:cs="Arial" w:eastAsia="Arial" w:hAnsi="Arial"/>
                <w:sz w:val="18"/>
                <w:szCs w:val="18"/>
                <w:color w:val="auto"/>
              </w:rPr>
              <w:t>2018</w:t>
            </w:r>
          </w:p>
        </w:tc>
        <w:tc>
          <w:tcPr>
            <w:tcW w:w="4720" w:type="dxa"/>
            <w:vAlign w:val="bottom"/>
          </w:tcPr>
          <w:p>
            <w:pPr>
              <w:ind w:left="20"/>
              <w:spacing w:after="0"/>
              <w:rPr>
                <w:sz w:val="20"/>
                <w:szCs w:val="20"/>
                <w:color w:val="auto"/>
              </w:rPr>
            </w:pPr>
            <w:r>
              <w:rPr>
                <w:rFonts w:ascii="Arial" w:cs="Arial" w:eastAsia="Arial" w:hAnsi="Arial"/>
                <w:sz w:val="18"/>
                <w:szCs w:val="18"/>
                <w:color w:val="auto"/>
              </w:rPr>
              <w:t>Began Phase III testing for systemic lupus erythematosus</w:t>
            </w:r>
          </w:p>
        </w:tc>
        <w:tc>
          <w:tcPr>
            <w:tcW w:w="2360" w:type="dxa"/>
            <w:vAlign w:val="bottom"/>
            <w:vMerge w:val="restart"/>
          </w:tcPr>
          <w:p>
            <w:pPr>
              <w:ind w:left="100"/>
              <w:spacing w:after="0"/>
              <w:rPr>
                <w:sz w:val="20"/>
                <w:szCs w:val="20"/>
                <w:color w:val="auto"/>
              </w:rPr>
            </w:pPr>
            <w:r>
              <w:rPr>
                <w:rFonts w:ascii="Arial" w:cs="Arial" w:eastAsia="Arial" w:hAnsi="Arial"/>
                <w:sz w:val="18"/>
                <w:szCs w:val="18"/>
                <w:color w:val="auto"/>
              </w:rPr>
              <w:t>R&amp;D Expense</w:t>
            </w:r>
          </w:p>
        </w:tc>
        <w:tc>
          <w:tcPr>
            <w:tcW w:w="1060" w:type="dxa"/>
            <w:vAlign w:val="bottom"/>
          </w:tcPr>
          <w:p>
            <w:pPr>
              <w:spacing w:after="0"/>
              <w:rPr>
                <w:sz w:val="19"/>
                <w:szCs w:val="19"/>
                <w:color w:val="auto"/>
              </w:rPr>
            </w:pPr>
          </w:p>
        </w:tc>
        <w:tc>
          <w:tcPr>
            <w:tcW w:w="2120" w:type="dxa"/>
            <w:vAlign w:val="bottom"/>
            <w:vMerge w:val="restart"/>
          </w:tcPr>
          <w:p>
            <w:pPr>
              <w:jc w:val="right"/>
              <w:ind w:right="1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4720" w:type="dxa"/>
            <w:vAlign w:val="bottom"/>
            <w:vMerge w:val="restart"/>
          </w:tcPr>
          <w:p>
            <w:pPr>
              <w:ind w:left="20"/>
              <w:spacing w:after="0"/>
              <w:rPr>
                <w:sz w:val="20"/>
                <w:szCs w:val="20"/>
                <w:color w:val="auto"/>
              </w:rPr>
            </w:pPr>
            <w:r>
              <w:rPr>
                <w:rFonts w:ascii="Arial" w:cs="Arial" w:eastAsia="Arial" w:hAnsi="Arial"/>
                <w:sz w:val="18"/>
                <w:szCs w:val="18"/>
                <w:color w:val="auto"/>
              </w:rPr>
              <w:t>(SLE)</w:t>
            </w:r>
          </w:p>
        </w:tc>
        <w:tc>
          <w:tcPr>
            <w:tcW w:w="23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720" w:type="dxa"/>
            <w:vAlign w:val="bottom"/>
            <w:tcBorders>
              <w:bottom w:val="single" w:sz="8" w:color="auto"/>
            </w:tcBorders>
            <w:vMerge w:val="continue"/>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approval in Europe</w:t>
            </w:r>
          </w:p>
        </w:tc>
        <w:tc>
          <w:tcPr>
            <w:tcW w:w="2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 asset</w:t>
            </w:r>
          </w:p>
        </w:tc>
        <w:tc>
          <w:tcPr>
            <w:tcW w:w="106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50"/>
        </w:trPr>
        <w:tc>
          <w:tcPr>
            <w:tcW w:w="1160" w:type="dxa"/>
            <w:vAlign w:val="bottom"/>
          </w:tcPr>
          <w:p>
            <w:pPr>
              <w:jc w:val="right"/>
              <w:ind w:right="634"/>
              <w:spacing w:after="0"/>
              <w:rPr>
                <w:sz w:val="20"/>
                <w:szCs w:val="20"/>
                <w:color w:val="auto"/>
              </w:rPr>
            </w:pPr>
            <w:r>
              <w:rPr>
                <w:rFonts w:ascii="Arial" w:cs="Arial" w:eastAsia="Arial" w:hAnsi="Arial"/>
                <w:sz w:val="18"/>
                <w:szCs w:val="18"/>
                <w:color w:val="auto"/>
              </w:rPr>
              <w:t>2017</w:t>
            </w:r>
          </w:p>
        </w:tc>
        <w:tc>
          <w:tcPr>
            <w:tcW w:w="4720" w:type="dxa"/>
            <w:vAlign w:val="bottom"/>
          </w:tcPr>
          <w:p>
            <w:pPr>
              <w:ind w:left="20"/>
              <w:spacing w:after="0"/>
              <w:rPr>
                <w:sz w:val="20"/>
                <w:szCs w:val="20"/>
                <w:color w:val="auto"/>
              </w:rPr>
            </w:pPr>
            <w:r>
              <w:rPr>
                <w:rFonts w:ascii="Arial" w:cs="Arial" w:eastAsia="Arial" w:hAnsi="Arial"/>
                <w:sz w:val="18"/>
                <w:szCs w:val="18"/>
                <w:color w:val="auto"/>
              </w:rPr>
              <w:t>Regulatory approval in Japan</w:t>
            </w:r>
          </w:p>
        </w:tc>
        <w:tc>
          <w:tcPr>
            <w:tcW w:w="2360" w:type="dxa"/>
            <w:vAlign w:val="bottom"/>
          </w:tcPr>
          <w:p>
            <w:pPr>
              <w:ind w:left="100"/>
              <w:spacing w:after="0"/>
              <w:rPr>
                <w:sz w:val="20"/>
                <w:szCs w:val="20"/>
                <w:color w:val="auto"/>
              </w:rPr>
            </w:pPr>
            <w:r>
              <w:rPr>
                <w:rFonts w:ascii="Arial" w:cs="Arial" w:eastAsia="Arial" w:hAnsi="Arial"/>
                <w:sz w:val="18"/>
                <w:szCs w:val="18"/>
                <w:color w:val="auto"/>
              </w:rPr>
              <w:t>Intangible asset</w:t>
            </w:r>
          </w:p>
        </w:tc>
        <w:tc>
          <w:tcPr>
            <w:tcW w:w="1060" w:type="dxa"/>
            <w:vAlign w:val="bottom"/>
          </w:tcPr>
          <w:p>
            <w:pPr>
              <w:spacing w:after="0"/>
              <w:rPr>
                <w:sz w:val="21"/>
                <w:szCs w:val="21"/>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1160" w:type="dxa"/>
            <w:vAlign w:val="bottom"/>
            <w:tcBorders>
              <w:bottom w:val="single" w:sz="8" w:color="auto"/>
            </w:tcBorders>
          </w:tcPr>
          <w:p>
            <w:pPr>
              <w:spacing w:after="0"/>
              <w:rPr>
                <w:sz w:val="23"/>
                <w:szCs w:val="23"/>
                <w:color w:val="auto"/>
              </w:rPr>
            </w:pPr>
          </w:p>
        </w:tc>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Began Phase III testing for atopic dermatitis</w:t>
            </w:r>
          </w:p>
        </w:tc>
        <w:tc>
          <w:tcPr>
            <w:tcW w:w="2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R&amp;D expense</w:t>
            </w:r>
          </w:p>
        </w:tc>
        <w:tc>
          <w:tcPr>
            <w:tcW w:w="106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64"/>
        </w:trPr>
        <w:tc>
          <w:tcPr>
            <w:tcW w:w="116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color w:val="auto"/>
              </w:rPr>
              <w:t>2016</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Regulatory submissions in the U.S. and Europe</w:t>
            </w:r>
          </w:p>
        </w:tc>
        <w:tc>
          <w:tcPr>
            <w:tcW w:w="2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R&amp;D expense</w:t>
            </w:r>
          </w:p>
        </w:tc>
        <w:tc>
          <w:tcPr>
            <w:tcW w:w="10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2019, Incyte is eligible to receive up to $130.0 million of additional payments from us contingent upon certain development and success-based regulatory milestones. Incyte is also eligible to receive up to $150.0 million of potential sales-based milestones.</w:t>
      </w:r>
    </w:p>
    <w:p>
      <w:pPr>
        <w:spacing w:after="0" w:line="8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agreement provided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previously exercised its option to co-develop Olumiant in rheumatoid arthritis, atopic dermatitis, alopecia areata, and SLE. Incyte opted-out of co-development of all indications as of January 1, 2019. As a result, we will solely fund all further development and pay a lower royalty rate to Incyte on sales.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sales of Olumiant to third parties as net product revenue with the royalty payments made to Incyte recorded as cost of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product revenue recognized with respect to Olumiant:</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2"/>
          </w:tcPr>
          <w:p>
            <w:pPr>
              <w:jc w:val="center"/>
              <w:ind w:left="124"/>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3"/>
          </w:tcPr>
          <w:p>
            <w:pPr>
              <w:jc w:val="center"/>
              <w:ind w:right="25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center"/>
              <w:ind w:left="124"/>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424"/>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2018</w:t>
            </w:r>
          </w:p>
        </w:tc>
      </w:tr>
      <w:tr>
        <w:trPr>
          <w:trHeight w:val="27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Olumiant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114.6</w:t>
            </w:r>
          </w:p>
        </w:tc>
        <w:tc>
          <w:tcPr>
            <w:tcW w:w="8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55.6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299.1</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132.5</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As of September 30, 2019, Pfizer is eligible to receive up to $350.0 million in success-based regulatory milestones and up to $1.23 billion in a series of sales-based milestones, contingent upon the commercial success of tanezumab.</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3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5: Discontinued Operations</w:t>
      </w:r>
    </w:p>
    <w:p>
      <w:pPr>
        <w:spacing w:after="0" w:line="193"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As a result, we have included the financial results of Elanco through March 11, 2019 and have presented Elanco as discontinued operations in our consolidated condensed financial statements for all periods presented.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revenue and net income from discontinued operations: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88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64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4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center"/>
              <w:ind w:left="561"/>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264"/>
        </w:trPr>
        <w:tc>
          <w:tcPr>
            <w:tcW w:w="5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from discontinued operations</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755.0</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580.0</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2,261.4</w:t>
            </w: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900" w:type="dxa"/>
            <w:vAlign w:val="bottom"/>
          </w:tcPr>
          <w:p>
            <w:pPr>
              <w:spacing w:after="0"/>
              <w:rPr>
                <w:sz w:val="22"/>
                <w:szCs w:val="22"/>
                <w:color w:val="auto"/>
              </w:rPr>
            </w:pPr>
          </w:p>
        </w:tc>
        <w:tc>
          <w:tcPr>
            <w:tcW w:w="48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55.9</w:t>
            </w:r>
          </w:p>
        </w:tc>
        <w:tc>
          <w:tcPr>
            <w:tcW w:w="42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8"/>
                <w:szCs w:val="18"/>
                <w:b w:val="1"/>
                <w:bCs w:val="1"/>
                <w:color w:val="auto"/>
              </w:rPr>
              <w:t>3,680.5</w:t>
            </w:r>
          </w:p>
        </w:tc>
        <w:tc>
          <w:tcPr>
            <w:tcW w:w="640" w:type="dxa"/>
            <w:vAlign w:val="bottom"/>
          </w:tcPr>
          <w:p>
            <w:pPr>
              <w:spacing w:after="0"/>
              <w:rPr>
                <w:sz w:val="22"/>
                <w:szCs w:val="22"/>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77.8</w:t>
            </w:r>
          </w:p>
        </w:tc>
      </w:tr>
    </w:tbl>
    <w:p>
      <w:pPr>
        <w:spacing w:after="0" w:line="200" w:lineRule="exact"/>
        <w:rPr>
          <w:sz w:val="20"/>
          <w:szCs w:val="20"/>
          <w:color w:val="auto"/>
        </w:rPr>
      </w:pPr>
    </w:p>
    <w:p>
      <w:pPr>
        <w:spacing w:after="0" w:line="2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operating results of Elanco were reported as net income from discontinued operations in the consolidated condensed statements of operations through March 11, 2019, the date of disposition, and were not material for all periods presented. For the nine months ended September 30, 2019, we recognized a gain related to the disposition of approximately $3.7 billion, which was also recorded in net income from discontinued operations in the consolidated condensed statement of operations.</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the consolidated condensed balance sheet as of December 31, 2018, the assets and liabilities associated with Elanco are classified as assets of discontinued operations and liabilities of discontinued operations, as appropriate. The following table presents the major classes of assets and liabilities from discontinued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1,013.7</w:t>
            </w:r>
          </w:p>
        </w:tc>
      </w:tr>
      <w:tr>
        <w:trPr>
          <w:trHeight w:val="250"/>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1,215.4</w:t>
            </w: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2,229.1</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7"/>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2,980.9</w:t>
            </w:r>
          </w:p>
        </w:tc>
      </w:tr>
      <w:tr>
        <w:trPr>
          <w:trHeight w:val="250"/>
        </w:trPr>
        <w:tc>
          <w:tcPr>
            <w:tcW w:w="912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20" w:type="dxa"/>
            <w:vAlign w:val="bottom"/>
          </w:tcPr>
          <w:p>
            <w:pPr>
              <w:spacing w:after="0"/>
              <w:rPr>
                <w:sz w:val="21"/>
                <w:szCs w:val="21"/>
                <w:color w:val="auto"/>
              </w:rPr>
            </w:pPr>
          </w:p>
        </w:tc>
        <w:tc>
          <w:tcPr>
            <w:tcW w:w="1980" w:type="dxa"/>
            <w:vAlign w:val="bottom"/>
          </w:tcPr>
          <w:p>
            <w:pPr>
              <w:jc w:val="right"/>
              <w:ind w:right="11"/>
              <w:spacing w:after="0"/>
              <w:rPr>
                <w:sz w:val="20"/>
                <w:szCs w:val="20"/>
                <w:color w:val="auto"/>
              </w:rPr>
            </w:pPr>
            <w:r>
              <w:rPr>
                <w:rFonts w:ascii="Arial" w:cs="Arial" w:eastAsia="Arial" w:hAnsi="Arial"/>
                <w:sz w:val="18"/>
                <w:szCs w:val="18"/>
                <w:color w:val="auto"/>
              </w:rPr>
              <w:t>2,453.0</w:t>
            </w:r>
          </w:p>
        </w:tc>
      </w:tr>
      <w:tr>
        <w:trPr>
          <w:trHeight w:val="263"/>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22"/>
                <w:szCs w:val="22"/>
                <w:color w:val="auto"/>
              </w:rPr>
            </w:pP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923.4</w:t>
            </w:r>
          </w:p>
        </w:tc>
      </w:tr>
      <w:tr>
        <w:trPr>
          <w:trHeight w:val="250"/>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126.8</w:t>
            </w: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6,484.1</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692.8</w:t>
            </w:r>
          </w:p>
        </w:tc>
      </w:tr>
      <w:tr>
        <w:trPr>
          <w:trHeight w:val="324"/>
        </w:trPr>
        <w:tc>
          <w:tcPr>
            <w:tcW w:w="9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7"/>
        </w:trPr>
        <w:tc>
          <w:tcPr>
            <w:tcW w:w="9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2,443.3</w:t>
            </w:r>
          </w:p>
        </w:tc>
      </w:tr>
      <w:tr>
        <w:trPr>
          <w:trHeight w:val="250"/>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299.0</w:t>
            </w: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2,742.3</w:t>
            </w:r>
          </w:p>
        </w:tc>
      </w:tr>
    </w:tbl>
    <w:p>
      <w:pPr>
        <w:spacing w:after="0" w:line="200" w:lineRule="exact"/>
        <w:rPr>
          <w:sz w:val="20"/>
          <w:szCs w:val="20"/>
          <w:color w:val="auto"/>
        </w:rPr>
      </w:pPr>
    </w:p>
    <w:p>
      <w:pPr>
        <w:spacing w:after="0" w:line="231"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The gain related to the disposition of Elanco in the consolidated condensed statement of cash flows includes the operating results of Elanco, which were not material. Net cash provided by operating activities for our discontinued operations was approximately $450 million for the nine months ended September 30, 2018 and not material for the nine months ended September 30, 2019. The net cash flows of our discontinued operations for investing activities were not material for any period presented.</w:t>
      </w:r>
    </w:p>
    <w:p>
      <w:pPr>
        <w:spacing w:after="0" w:line="20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entered into a transitional services agreement (TSA) with Elanco that is designed to facilitate the orderly transfer of various services to Elanco. The TSA relates primarily to administrative services, which are generally to be provided over 24 months from March 11, 2019, the disposition date. This agreement is not material and does not confer upon us the ability to influence the operating and/or financial policies of Elanco subsequent to the disposition date.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7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6: Asset Impairment, Restructuring, and Other Special Charges</w:t>
      </w:r>
    </w:p>
    <w:p>
      <w:pPr>
        <w:spacing w:after="0" w:line="193"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22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22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720" w:type="dxa"/>
            <w:vAlign w:val="bottom"/>
            <w:shd w:val="clear" w:color="auto" w:fill="CCEEFF"/>
          </w:tcPr>
          <w:p>
            <w:pPr>
              <w:jc w:val="right"/>
              <w:ind w:right="521"/>
              <w:spacing w:after="0"/>
              <w:rPr>
                <w:sz w:val="20"/>
                <w:szCs w:val="20"/>
                <w:color w:val="auto"/>
              </w:rPr>
            </w:pPr>
            <w:r>
              <w:rPr>
                <w:rFonts w:ascii="Arial" w:cs="Arial" w:eastAsia="Arial" w:hAnsi="Arial"/>
                <w:sz w:val="18"/>
                <w:szCs w:val="18"/>
                <w:b w:val="1"/>
                <w:bCs w:val="1"/>
                <w:color w:val="auto"/>
                <w:w w:val="99"/>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7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48.1</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427.5</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96.7</w:t>
            </w:r>
          </w:p>
        </w:tc>
      </w:tr>
      <w:tr>
        <w:trPr>
          <w:trHeight w:val="27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72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42.9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423.9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74.2</w:t>
            </w:r>
          </w:p>
        </w:tc>
      </w:tr>
    </w:tbl>
    <w:p>
      <w:pPr>
        <w:spacing w:after="0" w:line="323"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Asset impairment and other special charges recognized during the three and nine months ended September 30, 2018 resulted primarily from asset impairment, exit costs, and other charges related to the sale of the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brand and the associated Augusta, Georgia manufacturing site. These expenses were offset by a gain recognized associated with a pension curtailment (see Note 10 for additional discussion).</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Asset impairment and other special charges recognized during the nine months ended September 30, 2019 consisted of $400.7 million related to the acquisition of Loxo, substantially all of which is associated with the accelerated vesting of Loxo employee equity awards.</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recorded severance charges in the second half of 2017 as part of planned restructuring activities based upon estimates for the number of employees that either lost or were going to lose their then current roles and would ultimately leave the company. During the first nine months of 2018, we determined that more displaced employees than expected were able to find other roles within the company, resulting in a reduction in the actual severance costs incurred.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71" w:lineRule="exact"/>
        <w:rPr>
          <w:sz w:val="20"/>
          <w:szCs w:val="20"/>
          <w:color w:val="auto"/>
        </w:rPr>
      </w:pPr>
    </w:p>
    <w:p>
      <w:pPr>
        <w:ind w:left="660" w:right="4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142"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147" w:lineRule="exact"/>
        <w:rPr>
          <w:rFonts w:ascii="Arial" w:cs="Arial" w:eastAsia="Arial" w:hAnsi="Arial"/>
          <w:sz w:val="18"/>
          <w:szCs w:val="18"/>
          <w:color w:val="auto"/>
        </w:rPr>
      </w:pPr>
    </w:p>
    <w:p>
      <w:pPr>
        <w:ind w:left="660" w:right="4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14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review equity investments other than public equity investments for indications of impairment and observable price changes on a regular basis.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76" w:right="239" w:bottom="1440" w:gutter="0" w:footer="0" w:header="0"/>
        </w:sectPr>
      </w:pPr>
    </w:p>
    <w:bookmarkStart w:id="20" w:name="page21"/>
    <w:bookmarkEnd w:id="20"/>
    <w:p>
      <w:pPr>
        <w:jc w:val="both"/>
        <w:ind w:right="2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9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September 30, 2019, we had outstanding foreign currency forward commitments to purchase 1.25 billion U.S. dollars and sell 1.13 billion euro, commitments to purchase</w:t>
      </w:r>
    </w:p>
    <w:p>
      <w:pPr>
        <w:spacing w:after="0" w:line="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1.28 billion euro and sell 1.41 billion U.S. dollars, commitments to purchase 386.5 million U.S. dollars and sell 41.65 billion Japanese yen, and commitments to purchase 127.2 million British pounds and sell 158.4 million U.S. dollars, which will all settle within 30 days.</w:t>
      </w:r>
    </w:p>
    <w:p>
      <w:pPr>
        <w:spacing w:after="0" w:line="8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$3.28 billion and $3.40 billion as of September 30, 2019 and December 31, 2018, respectively, of which $2.28 billion and $ 2.65 billion have been designated as, and are effective as, economic hedges of net investments in certain of our euro-denominated foreign operations as of September 30, 2019 and December 31, 2018, respectively. At September 30, 2019, we had outstanding cross currency swaps with notional amounts of $1.93 billion swapping U.S. dollars to euro, $1.00 billion swapping Swiss francs to U.S. dollars, and $ 268.0 million swapping U.S. dollars to British pounds, which have settlement dates ranging through 2028. Our cross-currency interest rate swaps, for which a majority convert a portion of our U.S. dollar-denominated floating rate debt to foreign-denominated floating rate debt, have also been designated as, and are effective as, economic hedges of net investments.</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20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September 30, 2019, all of our total long-term debt is at a fixed rate. We have converted approximately 12 percent of our long-term fixed-rate notes to floating rates through the use of interest rate swaps.</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and upon completion of a debt issuance and termination of the swap, is amortized to interest expense over the life of the underlying debt. As of September 30, 2019, the total notional amounts of forward-starting interest rate contracts in designated cash flow hedging instruments were $1.00 billion, which have settlement dates ranging between 2023 and 2025.</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06" w:right="259" w:bottom="1440" w:gutter="0" w:footer="0" w:header="0"/>
        </w:sectPr>
      </w:pPr>
    </w:p>
    <w:bookmarkStart w:id="21" w:name="page22"/>
    <w:bookmarkEnd w:id="21"/>
    <w:p>
      <w:pPr>
        <w:ind w:right="280"/>
        <w:spacing w:after="0" w:line="254" w:lineRule="auto"/>
        <w:rPr>
          <w:sz w:val="20"/>
          <w:szCs w:val="20"/>
          <w:color w:val="auto"/>
        </w:rPr>
      </w:pPr>
      <w:r>
        <w:rPr>
          <w:rFonts w:ascii="Arial" w:cs="Arial" w:eastAsia="Arial" w:hAnsi="Arial"/>
          <w:sz w:val="18"/>
          <w:szCs w:val="18"/>
          <w:color w:val="auto"/>
        </w:rPr>
        <w:t>In February 2019, we issued $1.15 billion of 3.38 percent fixed-rate notes due in March 2029, $ 850.0 million of 3.88 percent fixed-rate notes due in March 2039, $1.50 billion of 3.95 percent fixed-rate notes due in March 2049, and $1.00 billion of 4.15 percent fixed-rate notes due in March 2059, with interest to be paid semi-annually. We used the net proceeds of $4.45 billion from the sale of these notes to fund the acquisition of Loxo and for general corporate purposes.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7"/>
              <w:spacing w:after="0"/>
              <w:rPr>
                <w:sz w:val="20"/>
                <w:szCs w:val="20"/>
                <w:color w:val="auto"/>
              </w:rPr>
            </w:pPr>
            <w:r>
              <w:rPr>
                <w:rFonts w:ascii="Arial" w:cs="Arial" w:eastAsia="Arial" w:hAnsi="Arial"/>
                <w:sz w:val="18"/>
                <w:szCs w:val="18"/>
                <w:b w:val="1"/>
                <w:bCs w:val="1"/>
                <w:color w:val="auto"/>
              </w:rPr>
              <w:t>49.5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7"/>
              <w:spacing w:after="0"/>
              <w:rPr>
                <w:sz w:val="20"/>
                <w:szCs w:val="20"/>
                <w:color w:val="auto"/>
              </w:rPr>
            </w:pPr>
            <w:r>
              <w:rPr>
                <w:rFonts w:ascii="Arial" w:cs="Arial" w:eastAsia="Arial" w:hAnsi="Arial"/>
                <w:sz w:val="18"/>
                <w:szCs w:val="18"/>
                <w:b w:val="1"/>
                <w:bCs w:val="1"/>
                <w:color w:val="auto"/>
              </w:rPr>
              <w:t>148.1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(49.5)</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19.6</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(148.1)</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4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2.8</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10.6</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w:t>
            </w:r>
          </w:p>
        </w:tc>
        <w:tc>
          <w:tcPr>
            <w:tcW w:w="240" w:type="dxa"/>
            <w:vAlign w:val="bottom"/>
          </w:tcPr>
          <w:p>
            <w:pPr>
              <w:spacing w:after="0"/>
              <w:rPr>
                <w:sz w:val="19"/>
                <w:szCs w:val="19"/>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52.6</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93.0</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instruments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55.4</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103.6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the three and nine months ended September 30, 2019 and 2018, the amortization of losses related to the portion of our risk management hedging instruments, fair value hedges, and cash flow hedges that was excluded from the assessment of effectiveness was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89.3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112.6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53.0</w:t>
            </w:r>
          </w:p>
        </w:tc>
      </w:tr>
      <w:tr>
        <w:trPr>
          <w:trHeight w:val="277"/>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89.0</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123.1</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52.3</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(32.7)</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(44.4)</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tcPr>
          <w:p>
            <w:pPr>
              <w:ind w:left="24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tcPr>
          <w:p>
            <w:pPr>
              <w:spacing w:after="0"/>
              <w:rPr>
                <w:sz w:val="22"/>
                <w:szCs w:val="22"/>
                <w:color w:val="auto"/>
              </w:rPr>
            </w:pPr>
          </w:p>
        </w:tc>
        <w:tc>
          <w:tcPr>
            <w:tcW w:w="840" w:type="dxa"/>
            <w:vAlign w:val="bottom"/>
          </w:tcPr>
          <w:p>
            <w:pPr>
              <w:jc w:val="right"/>
              <w:ind w:right="78"/>
              <w:spacing w:after="0"/>
              <w:rPr>
                <w:sz w:val="20"/>
                <w:szCs w:val="20"/>
                <w:color w:val="auto"/>
              </w:rPr>
            </w:pPr>
            <w:r>
              <w:rPr>
                <w:rFonts w:ascii="Arial" w:cs="Arial" w:eastAsia="Arial" w:hAnsi="Arial"/>
                <w:sz w:val="18"/>
                <w:szCs w:val="18"/>
                <w:b w:val="1"/>
                <w:bCs w:val="1"/>
                <w:color w:val="auto"/>
              </w:rPr>
              <w:t>16.6</w:t>
            </w:r>
          </w:p>
        </w:tc>
        <w:tc>
          <w:tcPr>
            <w:tcW w:w="300" w:type="dxa"/>
            <w:vAlign w:val="bottom"/>
          </w:tcPr>
          <w:p>
            <w:pPr>
              <w:spacing w:after="0"/>
              <w:rPr>
                <w:sz w:val="22"/>
                <w:szCs w:val="22"/>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(20.8)</w:t>
            </w:r>
          </w:p>
        </w:tc>
        <w:tc>
          <w:tcPr>
            <w:tcW w:w="30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next 12 months, we expect to reclassify $16.3 million of pretax net losses on cash flow hedges from accumulated other comprehensive loss to other–net, (income) expense. During the three and nine months ended September 30, 2019, the amounts excluded from the assessment of hedge effectiveness recognized in other comprehensive income (loss) were not material.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following tables summarize certain fair value information at September 30, 2019 and December 31, 2018 for assets and liabilities measured at fair value on a recurring basis, as well as the carrying amount and amortized cost of certain other investments: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2019</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273.2</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273.2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273.2</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273.2</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9.8</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9.8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9.8</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78.1</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78.2</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78.1</w:t>
            </w: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78.1</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1.3</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89.2</w:t>
            </w:r>
          </w:p>
        </w:tc>
        <w:tc>
          <w:tcPr>
            <w:tcW w:w="3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76.3</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74.5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76.3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76.3</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348.8</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345.1</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348.8</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348.8</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99.7</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97.5</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99.7</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99.7</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32.9</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32.5</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32.9</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32.9</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83.7</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38.0</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83.7</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83.7</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483.8</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235.1</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483.8</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483.8</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427.0</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273.1</w:t>
            </w:r>
          </w:p>
        </w:tc>
        <w:tc>
          <w:tcPr>
            <w:tcW w:w="3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1,825.3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5,727.1</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5,727.1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5,727.1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5,727.1</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16.9</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62.2</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62.6</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62.2</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7.6</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w:t>
            </w:r>
          </w:p>
        </w:tc>
        <w:tc>
          <w:tcPr>
            <w:tcW w:w="3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88.2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149.1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153.6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149.1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568.0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587.8</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568.0</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568.0</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111.4</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114.5</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111.4</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27.7</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27.9</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27.7</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87.8</w:t>
            </w:r>
          </w:p>
        </w:tc>
        <w:tc>
          <w:tcPr>
            <w:tcW w:w="34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29.7</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87.8</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357.5</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238.3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357.5</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Pr>
          <w:p>
            <w:pPr>
              <w:ind w:left="180"/>
              <w:spacing w:after="0" w:line="219"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414.7</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289.2</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780" w:type="dxa"/>
            <w:vAlign w:val="bottom"/>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2,005.4</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Fair value disclosures are not applicable for equity method investments and investments accounted for under the measurement alternative for equity investments.</w:t>
      </w:r>
    </w:p>
    <w:p>
      <w:pPr>
        <w:sectPr>
          <w:pgSz w:w="11900" w:h="16838" w:orient="portrait"/>
          <w:cols w:equalWidth="0" w:num="1">
            <w:col w:w="11420"/>
          </w:cols>
          <w:pgMar w:left="240" w:top="742"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742" w:right="2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5"/>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Inputs</w:t>
            </w:r>
          </w:p>
        </w:tc>
        <w:tc>
          <w:tcPr>
            <w:tcW w:w="38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Fair</w:t>
            </w:r>
          </w:p>
        </w:tc>
      </w:tr>
      <w:tr>
        <w:trPr>
          <w:trHeight w:val="196"/>
        </w:trPr>
        <w:tc>
          <w:tcPr>
            <w:tcW w:w="3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September 30, 2019</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(1,557.8)</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b w:val="1"/>
                <w:bCs w:val="1"/>
                <w:color w:val="auto"/>
              </w:rPr>
              <w:t>(1,550.1)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(1,550.1)</w:t>
            </w: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(498.9)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(497.6)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(13,667.5)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(15,219.8)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(15,219.8)</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620" w:type="dxa"/>
            <w:vAlign w:val="bottom"/>
          </w:tcPr>
          <w:p>
            <w:pPr>
              <w:spacing w:after="0"/>
              <w:rPr>
                <w:sz w:val="22"/>
                <w:szCs w:val="22"/>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(9,799.7)</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(9,970.0)</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(9,970.0)</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2"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gridSpan w:val="6"/>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980" w:type="dxa"/>
            <w:vAlign w:val="bottom"/>
          </w:tcPr>
          <w:p>
            <w:pPr>
              <w:spacing w:after="0"/>
              <w:rPr>
                <w:sz w:val="17"/>
                <w:szCs w:val="17"/>
                <w:color w:val="auto"/>
              </w:rPr>
            </w:pPr>
          </w:p>
        </w:tc>
      </w:tr>
      <w:tr>
        <w:trPr>
          <w:trHeight w:val="175"/>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Significant</w:t>
            </w: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Unobservable</w:t>
            </w: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4"/>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Inputs</w:t>
            </w: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Fair</w:t>
            </w:r>
          </w:p>
        </w:tc>
      </w:tr>
      <w:tr>
        <w:trPr>
          <w:trHeight w:val="196"/>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rPr>
              <w:t>(Level 3)</w:t>
            </w: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Value</w:t>
            </w: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2019</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118.1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118.1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  $</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118.1</w:t>
            </w: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cash flow</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(32.7)</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(32.7)</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(32.7)</w:t>
            </w: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47.2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b w:val="1"/>
                <w:bCs w:val="1"/>
                <w:color w:val="auto"/>
              </w:rPr>
              <w:t>47.2</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47.2</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76.3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76.3</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76.3</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cash flow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(49.8)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(49.8)</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(49.8)</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9.1</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9.1</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(10.8)</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(10.8)</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r>
      <w:tr>
        <w:trPr>
          <w:trHeight w:val="331"/>
        </w:trPr>
        <w:tc>
          <w:tcPr>
            <w:tcW w:w="4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69.2</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8.2</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not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designated as 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r>
      <w:tr>
        <w:trPr>
          <w:trHeight w:val="257"/>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2"/>
                <w:szCs w:val="22"/>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r>
    </w:tbl>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10" w:right="239" w:bottom="1440" w:gutter="0" w:footer="0" w:header="0"/>
        </w:sectPr>
      </w:pPr>
    </w:p>
    <w:bookmarkStart w:id="25" w:name="page26"/>
    <w:bookmarkEnd w:id="25"/>
    <w:p>
      <w:pPr>
        <w:ind w:right="160"/>
        <w:spacing w:after="0" w:line="253"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September 30,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5"/>
                <w:szCs w:val="15"/>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1-5</w:t>
            </w: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645.6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87.9</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377.9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116.4</w:t>
            </w:r>
          </w:p>
        </w:tc>
      </w:tr>
    </w:tbl>
    <w:p>
      <w:pPr>
        <w:spacing w:after="0" w:line="32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net unrealized gains (losses) recognized in our consolidated condensed statements of operations for equity securities were $26.4 million and $182.4 million for the three and nine months ended September 30, 2019, respectively, and $(40.8) million and $(3.4) million for the three and nine months ended September 30, 2018, respectively.</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 term prospects of the issuer, general market conditions, and industry specific factors. Adjustments recorded during the three and nine months ended September 30, 2019 and 2018 were not material.</w:t>
      </w:r>
    </w:p>
    <w:p>
      <w:pPr>
        <w:spacing w:after="0" w:line="9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2019</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8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29.0</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8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476.4</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8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b w:val="1"/>
                <w:bCs w:val="1"/>
                <w:color w:val="auto"/>
              </w:rPr>
              <w:t>169.1</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858.6</w:t>
            </w:r>
          </w:p>
        </w:tc>
      </w:tr>
    </w:tbl>
    <w:p>
      <w:pPr>
        <w:spacing w:after="0" w:line="3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Other than temporary impairment losses were not material in the three and nine months ended September 30, 2019. There were no other-than-temporary impairment losses in the three or nine months ended September 30, 2018.</w:t>
      </w:r>
    </w:p>
    <w:p>
      <w:pPr>
        <w:spacing w:after="0" w:line="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debt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September 30, 2019, the available-for-sale securities in an unrealized loss position include primarily fixed-rate debt securities of varying maturities, which are sensitive to changes in the yield curve and other market conditions. Approximately 39 percent of the fixed-rate debt securities in a loss position are investment-grade debt securities. As of September 30, 2019,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Activity related to our investment portfolio, substantially all of which related to equity and available-for-sale securities,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94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85.9</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542.5</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5,598.4</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17.2</w:t>
            </w:r>
          </w:p>
        </w:tc>
        <w:tc>
          <w:tcPr>
            <w:tcW w:w="34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32.7</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8.1</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0.1</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6.9</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49.7</w:t>
            </w:r>
          </w:p>
        </w:tc>
      </w:tr>
    </w:tbl>
    <w:p>
      <w:pPr>
        <w:spacing w:after="0" w:line="32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$682.1 million and $696.2 million of accounts receivable as of September 30, 2019 and December 31, 2018, respectively, under these factoring arrangements. The costs of factoring such accounts receivable on our consolidated condensed results of operations for the three and nine months ended September 30, 2019 and 2018 were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301"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color w:val="auto"/>
        </w:rPr>
        <w:t>We determine if an arrangement is a lease at inception. We have leases with terms up to 13 years for corporate offices, research and development facilities, vehicles, and equipment, including some of which have options to extend and/or early-terminate the leases. We determine the lease term by assuming the exercise of any renewal and/or early-termination options that are reasonably assured.</w:t>
      </w:r>
    </w:p>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Beginning January 1, 2019, operating lease right-of-use assets have been presented in operating lease assets in our consolidated condensed balance sheet, and the current and long-term portions of operating lease liabilities are included in other current liabilities and noncurrent operating lease liabilities, respectively, in our consolidated condensed balance sheet. Short-term leases, which are deemed at inception to have a lease term of 12 months or less, are not recorded on the consolidated condensed balance sheet.</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Operating lease assets represent our right to use an underlying asset for the lease term and operating lease liabilities represent our obligation to make lease payments arising from the lease. Operating lease assets and liabilities are recognized at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w:t>
      </w:r>
    </w:p>
    <w:p>
      <w:pPr>
        <w:spacing w:after="0" w:line="20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Lease expense for operating lease assets, which is recognized on a straight-line basis over the lease term, was $38.2 million and $104.3 million, respectively, for the three and nine months ended September 30, 2019. Variable lease payments, which represent non-lease components such as maintenance, insurance and taxes, and which vary due to changes in facts or circumstances occurring after the commencement date other than the passage of time, are expensed in the period in which the payment obligation is incurred and were not material during the three and nine months ended September 30, 2019. Short-term lease expense was not material during the three and nine months ended September 30,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as of September 30, 2019 was as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w:t>
            </w:r>
          </w:p>
        </w:tc>
        <w:tc>
          <w:tcPr>
            <w:tcW w:w="7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 years</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7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581"/>
        </w:trPr>
        <w:tc>
          <w:tcPr>
            <w:tcW w:w="4420" w:type="dxa"/>
            <w:vAlign w:val="bottom"/>
          </w:tcPr>
          <w:p>
            <w:pPr>
              <w:spacing w:after="0"/>
              <w:rPr>
                <w:sz w:val="24"/>
                <w:szCs w:val="24"/>
                <w:color w:val="auto"/>
              </w:rPr>
            </w:pPr>
          </w:p>
        </w:tc>
        <w:tc>
          <w:tcPr>
            <w:tcW w:w="7000" w:type="dxa"/>
            <w:vAlign w:val="bottom"/>
          </w:tcPr>
          <w:p>
            <w:pPr>
              <w:jc w:val="right"/>
              <w:ind w:right="551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70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Supplemental cash flow information related to operating leases for the nine months ended September 30, 2019 was as follows: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24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47.8</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annual minimum lease payments of our operating lease liabilities as of September 30, 2019 were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Year 1</w:t>
            </w:r>
          </w:p>
        </w:tc>
        <w:tc>
          <w:tcPr>
            <w:tcW w:w="108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144.6</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Year 2</w:t>
            </w:r>
          </w:p>
        </w:tc>
        <w:tc>
          <w:tcPr>
            <w:tcW w:w="10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114.2</w:t>
            </w:r>
          </w:p>
        </w:tc>
      </w:tr>
      <w:tr>
        <w:trPr>
          <w:trHeight w:val="263"/>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3</w:t>
            </w: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color w:val="auto"/>
              </w:rPr>
              <w:t>Year 4</w:t>
            </w:r>
          </w:p>
        </w:tc>
        <w:tc>
          <w:tcPr>
            <w:tcW w:w="10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63.5</w:t>
            </w:r>
          </w:p>
        </w:tc>
      </w:tr>
      <w:tr>
        <w:trPr>
          <w:trHeight w:val="263"/>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5</w:t>
            </w: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r>
      <w:tr>
        <w:trPr>
          <w:trHeight w:val="250"/>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After Year 5</w:t>
            </w:r>
          </w:p>
        </w:tc>
        <w:tc>
          <w:tcPr>
            <w:tcW w:w="10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262.2</w:t>
            </w:r>
          </w:p>
        </w:tc>
      </w:tr>
      <w:tr>
        <w:trPr>
          <w:trHeight w:val="257"/>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0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718.8</w:t>
            </w:r>
          </w:p>
        </w:tc>
      </w:tr>
      <w:tr>
        <w:trPr>
          <w:trHeight w:val="250"/>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10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r>
      <w:tr>
        <w:trPr>
          <w:trHeight w:val="26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611.5</w:t>
            </w:r>
          </w:p>
        </w:tc>
      </w:tr>
    </w:tbl>
    <w:p>
      <w:pPr>
        <w:spacing w:after="0" w:line="200" w:lineRule="exact"/>
        <w:rPr>
          <w:sz w:val="20"/>
          <w:szCs w:val="20"/>
          <w:color w:val="auto"/>
        </w:rPr>
      </w:pPr>
    </w:p>
    <w:p>
      <w:pPr>
        <w:spacing w:after="0" w:line="2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Finance leases are included in property and equipment, short-term borrowings and current maturities of long-term debt, and long-term debt in our consolidated condensed balance sheets. Finance leases are not material to our consolidated condensed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9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effective tax rate was 10.8 percent for the three months ended September 30, 2019, driven by a net discrete tax benefit related to the settlement of certain tax matters as a result of statute of limitations expirations. The effective tax rate for the nine months ended September 30, 2019 was 12.8 percent, reflecting the non-deductibility of accelerated vesting of Loxo employee equity awards as part of the closing of the acquisition of Loxo, tax expenses associated with the suspension of promotion of Lartruvo</w:t>
      </w:r>
      <w:r>
        <w:rPr>
          <w:rFonts w:ascii="Arial" w:cs="Arial" w:eastAsia="Arial" w:hAnsi="Arial"/>
          <w:sz w:val="21"/>
          <w:szCs w:val="21"/>
          <w:color w:val="auto"/>
          <w:vertAlign w:val="superscript"/>
        </w:rPr>
        <w:t>®</w:t>
      </w:r>
      <w:r>
        <w:rPr>
          <w:rFonts w:ascii="Arial" w:cs="Arial" w:eastAsia="Arial" w:hAnsi="Arial"/>
          <w:sz w:val="18"/>
          <w:szCs w:val="18"/>
          <w:color w:val="auto"/>
        </w:rPr>
        <w:t>, as well as net discrete tax benefits resulting from the settlement of certain tax matters as a result of statute of limitations expirations and the resolution of certain global income tax audits. The effective tax rate for the three months ended September 30, 2018 was 18.5 percent, reflecting a net discrete tax detriment related to tax expenses resulting from U.S. tax reform and the Elanco separation. The effective tax rate for the nine months ended September 30, 2018 was 26.2 percent, as it also reflected these tax charges, as well as the non-deductible acquired IPR&amp;D charges totaling $1.56 billion related to the acquisitions of ARMO and AurKa.</w:t>
      </w:r>
    </w:p>
    <w:p>
      <w:pPr>
        <w:spacing w:after="0" w:line="108"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In 2017, the U.S. enacted the Tax Cuts and Jobs Act (2017 Tax Act), which significantly revised U.S. tax law. Guidance related to the 2017 Tax Act, including Notices, Proposed Regulations, and Final Regulations, has been issued, and we expect additional guidance will be issued by the end of 2019. This additional guidance could materially impact our assumptions and estimates used to record our U.S. federal and state income tax expense resulting from the 2017 Tax Act.</w:t>
      </w:r>
    </w:p>
    <w:p>
      <w:pPr>
        <w:spacing w:after="0" w:line="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U.S. examination of tax years 2013-2015 began in 2016, and certain matters were effectively settled during the second quarter of 2019. As a result, our gross uncertain tax positions were reduced by approximately $200 million, we made a cash payment of approximately $125 million, and our consolidated condensed results of operations were benefited by an immaterial reduction in tax expense. The examination for tax year 2015 remains ongoing, but we anticipate that the remaining matters will be effectively settled in the fourth quarter of 2019 and will result in an immaterial reduction in tax expense and gross uncertain tax positions. The U.S. examination of tax years 2016-2018 is expected to begin in the fourth quarter of 2019.</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3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10: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3"/>
          </w:tcPr>
          <w:p>
            <w:pPr>
              <w:jc w:val="center"/>
              <w:ind w:right="272"/>
              <w:spacing w:after="0"/>
              <w:rPr>
                <w:sz w:val="20"/>
                <w:szCs w:val="20"/>
                <w:color w:val="auto"/>
              </w:rPr>
            </w:pPr>
            <w:r>
              <w:rPr>
                <w:rFonts w:ascii="Arial" w:cs="Arial" w:eastAsia="Arial" w:hAnsi="Arial"/>
                <w:sz w:val="14"/>
                <w:szCs w:val="14"/>
                <w:b w:val="1"/>
                <w:bCs w:val="1"/>
                <w:color w:val="auto"/>
              </w:rPr>
              <w:t>Defined Benefit Pension Plans</w:t>
            </w:r>
          </w:p>
        </w:tc>
        <w:tc>
          <w:tcPr>
            <w:tcW w:w="3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center"/>
              <w:ind w:right="192"/>
              <w:spacing w:after="0"/>
              <w:rPr>
                <w:sz w:val="20"/>
                <w:szCs w:val="20"/>
                <w:color w:val="auto"/>
              </w:rPr>
            </w:pPr>
            <w:r>
              <w:rPr>
                <w:rFonts w:ascii="Arial" w:cs="Arial" w:eastAsia="Arial" w:hAnsi="Arial"/>
                <w:sz w:val="14"/>
                <w:szCs w:val="14"/>
                <w:b w:val="1"/>
                <w:bCs w:val="1"/>
                <w:color w:val="auto"/>
              </w:rPr>
              <w:t>Defined Benefit Pension Plans</w:t>
            </w:r>
          </w:p>
        </w:tc>
      </w:tr>
      <w:tr>
        <w:trPr>
          <w:trHeight w:val="175"/>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76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left="59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left="577"/>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62.4</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71.4</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187.8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223.8</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121.0</w:t>
            </w: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117.3</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364.4</w:t>
            </w: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340.6</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(208.9)</w:t>
            </w:r>
          </w:p>
        </w:tc>
        <w:tc>
          <w:tcPr>
            <w:tcW w:w="58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(211.2)</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(630.2)</w:t>
            </w: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(632.1)</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1.5</w:t>
            </w: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4.5</w:t>
            </w: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Recognized actuarial loss</w:t>
            </w:r>
          </w:p>
        </w:tc>
        <w:tc>
          <w:tcPr>
            <w:tcW w:w="320" w:type="dxa"/>
            <w:vAlign w:val="bottom"/>
          </w:tcPr>
          <w:p>
            <w:pPr>
              <w:spacing w:after="0"/>
              <w:rPr>
                <w:sz w:val="22"/>
                <w:szCs w:val="22"/>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70.9</w:t>
            </w:r>
          </w:p>
        </w:tc>
        <w:tc>
          <w:tcPr>
            <w:tcW w:w="58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78.7</w:t>
            </w:r>
          </w:p>
        </w:tc>
        <w:tc>
          <w:tcPr>
            <w:tcW w:w="380" w:type="dxa"/>
            <w:vAlign w:val="bottom"/>
          </w:tcPr>
          <w:p>
            <w:pPr>
              <w:spacing w:after="0"/>
              <w:rPr>
                <w:sz w:val="22"/>
                <w:szCs w:val="22"/>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213.6</w:t>
            </w:r>
          </w:p>
        </w:tc>
        <w:tc>
          <w:tcPr>
            <w:tcW w:w="6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259.8</w:t>
            </w: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Curtailment loss</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77"/>
        </w:trPr>
        <w:tc>
          <w:tcPr>
            <w:tcW w:w="5160" w:type="dxa"/>
            <w:vAlign w:val="bottom"/>
          </w:tcPr>
          <w:p>
            <w:pPr>
              <w:ind w:left="28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46.9</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58.6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140.1</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196.9</w:t>
            </w:r>
          </w:p>
        </w:tc>
      </w:tr>
      <w:tr>
        <w:trPr>
          <w:trHeight w:val="723"/>
        </w:trPr>
        <w:tc>
          <w:tcPr>
            <w:tcW w:w="5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center"/>
              <w:ind w:right="272"/>
              <w:spacing w:after="0"/>
              <w:rPr>
                <w:sz w:val="20"/>
                <w:szCs w:val="20"/>
                <w:color w:val="auto"/>
              </w:rPr>
            </w:pPr>
            <w:r>
              <w:rPr>
                <w:rFonts w:ascii="Arial" w:cs="Arial" w:eastAsia="Arial" w:hAnsi="Arial"/>
                <w:sz w:val="14"/>
                <w:szCs w:val="14"/>
                <w:b w:val="1"/>
                <w:bCs w:val="1"/>
                <w:color w:val="auto"/>
              </w:rPr>
              <w:t>Retiree Health Benefit Plans</w:t>
            </w: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center"/>
              <w:ind w:right="192"/>
              <w:spacing w:after="0"/>
              <w:rPr>
                <w:sz w:val="20"/>
                <w:szCs w:val="20"/>
                <w:color w:val="auto"/>
              </w:rPr>
            </w:pPr>
            <w:r>
              <w:rPr>
                <w:rFonts w:ascii="Arial" w:cs="Arial" w:eastAsia="Arial" w:hAnsi="Arial"/>
                <w:sz w:val="14"/>
                <w:szCs w:val="14"/>
                <w:b w:val="1"/>
                <w:bCs w:val="1"/>
                <w:color w:val="auto"/>
              </w:rPr>
              <w:t>Retiree Health Benefit Plans</w:t>
            </w:r>
          </w:p>
        </w:tc>
      </w:tr>
      <w:tr>
        <w:trPr>
          <w:trHeight w:val="175"/>
        </w:trPr>
        <w:tc>
          <w:tcPr>
            <w:tcW w:w="5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76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left="59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left="577"/>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9.1</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10.1</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27.2</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31.7</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14.5</w:t>
            </w: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14.9</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43.5</w:t>
            </w: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58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(44.8)</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(107.8)</w:t>
            </w: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Recognized actuarial loss</w:t>
            </w:r>
          </w:p>
        </w:tc>
        <w:tc>
          <w:tcPr>
            <w:tcW w:w="320" w:type="dxa"/>
            <w:vAlign w:val="bottom"/>
          </w:tcPr>
          <w:p>
            <w:pPr>
              <w:spacing w:after="0"/>
              <w:rPr>
                <w:sz w:val="22"/>
                <w:szCs w:val="22"/>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0.4</w:t>
            </w:r>
          </w:p>
        </w:tc>
        <w:tc>
          <w:tcPr>
            <w:tcW w:w="58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22"/>
                <w:szCs w:val="22"/>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1.3</w:t>
            </w:r>
          </w:p>
        </w:tc>
        <w:tc>
          <w:tcPr>
            <w:tcW w:w="6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Curtailment gain</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77"/>
        </w:trPr>
        <w:tc>
          <w:tcPr>
            <w:tcW w:w="5160" w:type="dxa"/>
            <w:vAlign w:val="bottom"/>
          </w:tcPr>
          <w:p>
            <w:pPr>
              <w:ind w:left="280"/>
              <w:spacing w:after="0"/>
              <w:rPr>
                <w:sz w:val="20"/>
                <w:szCs w:val="20"/>
                <w:color w:val="auto"/>
              </w:rPr>
            </w:pPr>
            <w:r>
              <w:rPr>
                <w:rFonts w:ascii="Arial" w:cs="Arial" w:eastAsia="Arial" w:hAnsi="Arial"/>
                <w:sz w:val="18"/>
                <w:szCs w:val="18"/>
                <w:color w:val="auto"/>
              </w:rPr>
              <w:t>Net periodic benefit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(67.6)</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r>
    </w:tbl>
    <w:p>
      <w:pPr>
        <w:spacing w:after="0" w:line="200" w:lineRule="exact"/>
        <w:rPr>
          <w:sz w:val="20"/>
          <w:szCs w:val="20"/>
          <w:color w:val="auto"/>
        </w:rPr>
      </w:pP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contributed approximately $30 million to satisfy minimum funding requirements to our defined benefit pension and retiree health benefit plans during the nine months ended September 30, 2019. Additional discretionary funding totaled $300 million during the nine months ended September 30, 2019. During the remainder of 2019, we expect to make contributions to our defined benefit pension and retiree health benefit plans of approximately $20 million to satisfy minimum funding requirements. No additional discretionary funding is planned for the remainder of 2019.</w:t>
      </w:r>
    </w:p>
    <w:p>
      <w:pPr>
        <w:spacing w:after="0" w:line="9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July 2018, we announced that we would amend our defined benefit pension and retiree health benefit plans to freeze or reduce benefits for certain employees effective January 1, 2019. We remeasured the impacted pension and retiree health plans’ benefit obligations as of July 31, 2018, which resulted in a net curtailment gain of $28.0 million during the three and nine months ended September 30, 2018, which was recorded as a component of asset impairment, restructuring, and other special charges.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11: Contingencies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3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number of generic manufacturers are seeking approvals in the U.S., a number of countries in Europe, and Japan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in the U.S. could have a material adverse impact on our future consolidated results of operations, liquidity, and financial position. We expect that a loss of exclusivity for Alimta in any of the below jurisdictions would result in a rapid and severe decline in future revenue for the product in the relevant market.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27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In the U.S.,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pursuant to procedures set out in the Drug Price Competition and Patent Term Restoration Act of 1984 (the Hatch-Waxman Act). We have received favorable decisions from the U.S. Court of Appeals for the Federal Circuit (affirming the U.S. District Court for the Southern District of Indiana's decisions finding our U.S. vitamin regimen patent valid and infringed) against Teva, APP, and two other defendants' proposed products, and similar favorable judgments have been entered by the U.S. District Court for the Southern District of Indiana against five other companies. In October 2017, the U.S. Patent and Trademark Office (USPTO) issued written decisions in our favor following </w:t>
      </w:r>
      <w:r>
        <w:rPr>
          <w:rFonts w:ascii="Arial" w:cs="Arial" w:eastAsia="Arial" w:hAnsi="Arial"/>
          <w:sz w:val="18"/>
          <w:szCs w:val="18"/>
          <w:i w:val="1"/>
          <w:iCs w:val="1"/>
          <w:color w:val="auto"/>
        </w:rPr>
        <w:t>inter partes review</w:t>
      </w:r>
      <w:r>
        <w:rPr>
          <w:rFonts w:ascii="Arial" w:cs="Arial" w:eastAsia="Arial" w:hAnsi="Arial"/>
          <w:sz w:val="18"/>
          <w:szCs w:val="18"/>
          <w:color w:val="auto"/>
        </w:rPr>
        <w:t xml:space="preserve"> (IPR) of our U.S. vitamin regimen patent, finding that the generic company petitioners failed to show that the claims in our patent are unpatentable. In April 2019, the U.S. Court of Appeals for the Federal Circuit affirmed the written decisions of the USPTO IPR upholding our U.S. vitamin regimen patent. There were five remaining ANDA applicants who agreed to a preliminary injunction or stay pending the appeal of the IPR decision. In view of the Court of Appeals’ affirmance, favorable judgments have been entered by the U.S. District Court for the Southern District of Indiana against all five of these remaining ANDA applicants.</w:t>
      </w:r>
    </w:p>
    <w:p>
      <w:pPr>
        <w:spacing w:after="0" w:line="10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also currently have pending lawsuits in the U.S. District Court for the Southern District of Indiana alleging infringement against Actavis LLC (Actavis) and Apotex Inc. (Apotex) in response to their applications to market products using alternative forms of pemetrexed (the active ingredient in Alimta) products. Trial against Apotex is scheduled for January 2020. The lawsuit against Actavis has been stayed, pending the conclusion of the Dr. Reddy's Laboratories' (Dr. Reddy) and Hospira, Inc.'s (Hospira) appeals (described below). We filed a similar lawsuit in the U.S. District Court for the District of Delaware against Eagle Pharmaceuticals, Inc. (Eagle). Trial against Eagle is scheduled for late October 2019 and we expect a decision later in the fourth quarter of 2019 or the first quarter of 2020. In June 2018, the U.S. District Court for the Southern District of Indiana ruled in our favor in two similar cases, finding Dr. Reddy's and Hospira's proposed products would infringe our method of use patent under the doctrine of equivalents. The district court also ruled that the use of Hospira’s proposed product would literally infringe our method of use patent. In August 2019, the U.S. Court of Appeals for the Federal Circuit affirmed the district court’s ruling that the use of Dr. Reddy’s and Hospira’s proposed products would infringe our patent under the doctrine of equivalents, but reversed the finding of literal infringement with respect to Hospira’s product. Dr. Reddy and Hospira have petitioned for rehearing of the court’s doctrine of equivalents ruling.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w:t>
      </w:r>
    </w:p>
    <w:p>
      <w:pPr>
        <w:spacing w:after="0" w:line="27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July 2017, the United Kingdom (U.K.) Supreme Court ruled that commercialization of certain salt forms of pemetrexed by Actavis Group ehf and other Actavis companies directly infringes our vitamin regimen patents in the U.K., Italy, France, and Spain. This litigation in the U.K. is now concluded. Legal proceedings are ongoing in various national courts throughout Europe. We are aware that several companies have received approval to market generic versions of pemetrexed in major European markets (including generics currently on the market at risk in France,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76" w:right="239" w:bottom="1440" w:gutter="0" w:footer="0" w:header="0"/>
        </w:sectPr>
      </w:pPr>
    </w:p>
    <w:bookmarkStart w:id="30" w:name="page31"/>
    <w:bookmarkEnd w:id="30"/>
    <w:p>
      <w:pPr>
        <w:ind w:right="180"/>
        <w:spacing w:after="0" w:line="256" w:lineRule="auto"/>
        <w:rPr>
          <w:sz w:val="20"/>
          <w:szCs w:val="20"/>
          <w:color w:val="auto"/>
        </w:rPr>
      </w:pPr>
      <w:r>
        <w:rPr>
          <w:rFonts w:ascii="Arial" w:cs="Arial" w:eastAsia="Arial" w:hAnsi="Arial"/>
          <w:sz w:val="18"/>
          <w:szCs w:val="18"/>
          <w:color w:val="auto"/>
        </w:rPr>
        <w:t>Germany, and the Netherlands) and that additional generic competitors may choose to launch at risk. We will continue to seek to remove any generic pemetrexed products launched at risk in European markets, including Germany, France, and the Netherlands, seek damages with respect to such launches, and defend our patents against validity challenges.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27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Three separate sets of demands for invalidation of our two Japanese vitamin regimen patents, involving several companies, have been filed with the Japanese Patent Office (JPO). The JPO rejected a demand for invalidation by Sawai Pharmaceutical Co., Ltd., which was affirmed on appeal in 2017. In July 2018, the JPO issued written decisions dismissing demands brought by Nipro Corporation (Nipro) for invalidation of our two Japanese vitamin regimen patents. Nipro filed an appeal, and we anticipate decisions by the Japan Intellectual Property High Court later in the fourth quarter of 2019. We also anticipate the JPO will schedule a hearing with respect to the third set of demands, brought by Hospira, after the Nipro decision is handed down. If upheld through all challenges, these patents would provide intellectual property protection for Alimta until June 2021. Notwithstanding our patents, generic versions of Alimta received regulatory approval in Japan starting in February 2016. We do not currently anticipate that generic versions of Alimta will proceed to pricing approval.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 Product Liability Litigation</w:t>
      </w:r>
    </w:p>
    <w:p>
      <w:pPr>
        <w:spacing w:after="0" w:line="3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w:t>
      </w:r>
      <w:r>
        <w:rPr>
          <w:rFonts w:ascii="Arial" w:cs="Arial" w:eastAsia="Arial" w:hAnsi="Arial"/>
          <w:sz w:val="18"/>
          <w:szCs w:val="18"/>
          <w:color w:val="auto"/>
        </w:rPr>
        <w:t>pany) involving Cymbalta. The plaintiffs, purporting to represent a class of all persons within the U.S. who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and/or paid for Cymbalta, asserted claims under the consumer protection statutes of California, Massachusetts, Missouri, and New York, and sought declaratory, injunctive, and monetary relief for various alleged economic injuries arising from discontinuing treatment with Cymbalta. The district court denied the plaintiffs' motions for class certification and dismissed the suits. The plaintiffs subsequently appealed to the U.S. Court of Appeals for the Ninth Circuit. In November 2017, the U.S. Court of Appeals for the Ninth Circuit dismissed the suit. In July 2018, the U.S. District Court for the District of California denied plaintiffs’ motion to reopen the case. Plaintiffs’ appeal of this denial is currently pending before the U.S. Court of Appeals for the Ninth Circuit.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Litigation – Cosmopolis Facility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Labor Attorney Litigation</w:t>
      </w:r>
    </w:p>
    <w:p>
      <w:pPr>
        <w:spacing w:after="0" w:line="27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health coverage for the employees and contractors who worked at the Cosmopolis facility more than six months during the affected years and their children born during and after this period. We appealed this decision. In July 2018, the appeals court affirmed the labor court's ruling with the total financial impact of the ruling estimated to be approximately 500 million Brazilian real (approximately $120 million as of September 30, 2019). The appeals court restricted the broad health coverage awarded by the labor court to health problems that claimants could show arose from exposure to the alleged contamination. In August 2019, Lilly Brasil filed an appeal to the superior labor court. In September 2019, the appeals court stayed a number of elements of its prior decision, including the obligation to provide health coverage for contractors, their children, and children of employees who worked at the Cosmopolis facility, pending the determination of Lilly Brasil’s appeal to the superior labor court.</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June 2019, the Labor Attorney filed an application in the labor court for enforcement of the healthcare coverage granted by the appeals court in its July 2018 ruling and requested restrictions on Lilly Brasil’s assets in Brazil. In July 2019, the labor court issued a ruling requiring either a freeze of Lilly Brasil’s immovable property or, alternatively, a security deposit of 500 million Brazilian real (approximately $120 million as of September 30, 2019). Lilly Brasil filed a writ of mandamus challenging this ruling and we expect a decision later in the fourth quarter of 2019. In the meantime, the labor court stayed the Labor Attorney’s application to enforce the previous healthcare coverage ruling until after the appeals court ruled on the various motions pending before it. Given the appeals court’s stay in September 2019 of a number of elements of its prior decision described above, we intend to file a motion to strike the Labor Attorney’s application to enforce the previous healthcare coverage.</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760"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Individual Former Employee Litigation</w:t>
      </w:r>
    </w:p>
    <w:p>
      <w:pPr>
        <w:spacing w:after="0" w:line="27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Mental Anguish Litigation</w:t>
      </w:r>
    </w:p>
    <w:p>
      <w:pPr>
        <w:spacing w:after="0" w:line="2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Lilly Brasil and Elanco Quimica Ltda. have been named in two similar lawsuits in the same labor court involving approximately 410 individual plaintiffs. We agreed to indemnify Elanco Quimica Ltda. in this litigation as part of the divestiture of Elanco. In the first lawsuit (involving approximately 305 plaintiffs), plaintiffs alleged harm to employees and former employees, and their dependents. In the second lawsuit (involving approximately 105 plaintiffs), plaintiffs alleged harm to contractors and suppliers, and their dependents. The plaintiffs’ claims in these two lawsuits relate only to mental anguish attributable to the possibility of illness due to alleged exposure to heavy metals or other contaminants. In 2017, the labor court dismissed the claims brought by all but the first named plaintiff in each of the lawsuits. The plaintiffs in both lawsuits appealed. In April 2019 and July 2019, the appeals court issued written decisions rejecting the plaintiffs’ appeals in both of these lawsuits. The appeals court’s decisions were procedurally based and were without a judgment on the merits, meaning that the plaintiffs are able to bring individual actions, notwithstanding the court’s rulings.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defending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Adocia, S.A.</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were named as a respondent in an arbitration filed by Adocia, S.A. (Adocia), with which we entered into agreements for the co-development of an ultra-rapid insulin product. Adocia alleged that we misappropriated and misused Adocia's confidential information and intellectual property and sought approximately $1.39 billion in damages and other specific relief. We asserted several counterclaims relating to fraudulent misrepresentation and sought approximately $188 million in damages. In August 2019, the arbitration panel ruled that we did not misappropriate or misuse Adocia's intellectual property or confidential information and denied Adocia’s claims for damages. The arbitration panel also denied our counterclaims.</w:t>
      </w:r>
    </w:p>
    <w:p>
      <w:pPr>
        <w:spacing w:after="0" w:line="1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Throughout the dispute process, Adocia made statements alleging that Adocia employees should be listed as inventors on two of our patents related to our ultra-rapid insulin product currently in development. While inventorship of these two patents was not at issue in the arbitration proceedings, in October 2018 we filed a declaratory judgment action against Adocia in the U.S. District Court for the Southern District of Indiana to confirm our inventorship. In September 2019, a consent judgment was entered in our favor confirming that inventorship is correct for the relevant patents and dismissing with prejudice all of Adocia’s counterclaims, which improperly asserted that certain Adocia employees should be named as inventors.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Insulin Pricing Litigation and Investigations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9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We, along with Sanofi and Novo Nordisk, are named as defendants in a consolidated purported class action lawsuit,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in the U.S. District Court of New Jersey relating to insulin pricing. Plaintiffs seek damages under various state consumer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laws and the Federal Racketeer Influenced and Corrupt Organization Act (federal RICO Act). Separately, we, along with Sanofi and Novo Nordisk, are named as defendants in </w:t>
      </w:r>
      <w:r>
        <w:rPr>
          <w:rFonts w:ascii="Arial" w:cs="Arial" w:eastAsia="Arial" w:hAnsi="Arial"/>
          <w:sz w:val="18"/>
          <w:szCs w:val="18"/>
          <w:i w:val="1"/>
          <w:iCs w:val="1"/>
          <w:color w:val="auto"/>
        </w:rPr>
        <w:t>MSP Recovery Claims, Series, LLC et al. v. Sanofi Aventis U.S. LLC et al.</w:t>
      </w:r>
      <w:r>
        <w:rPr>
          <w:rFonts w:ascii="Arial" w:cs="Arial" w:eastAsia="Arial" w:hAnsi="Arial"/>
          <w:sz w:val="18"/>
          <w:szCs w:val="18"/>
          <w:color w:val="auto"/>
        </w:rPr>
        <w:t xml:space="preserve">, in the same court, seeking damages under various state consumer protection laws, common law fraud, unjust enrichment, and the federal RICO Act. Also in the same court, we, along with Sanofi and Novo Nordisk, have been named as defendants in a purported class action lawsuit, </w:t>
      </w:r>
      <w:r>
        <w:rPr>
          <w:rFonts w:ascii="Arial" w:cs="Arial" w:eastAsia="Arial" w:hAnsi="Arial"/>
          <w:sz w:val="18"/>
          <w:szCs w:val="18"/>
          <w:i w:val="1"/>
          <w:iCs w:val="1"/>
          <w:color w:val="auto"/>
        </w:rPr>
        <w:t>Prof’l Drug Co., Inc. &amp;</w:t>
      </w:r>
      <w:r>
        <w:rPr>
          <w:rFonts w:ascii="Arial" w:cs="Arial" w:eastAsia="Arial" w:hAnsi="Arial"/>
          <w:sz w:val="18"/>
          <w:szCs w:val="18"/>
          <w:color w:val="auto"/>
        </w:rPr>
        <w:t xml:space="preserve"> </w:t>
      </w:r>
      <w:r>
        <w:rPr>
          <w:rFonts w:ascii="Arial" w:cs="Arial" w:eastAsia="Arial" w:hAnsi="Arial"/>
          <w:sz w:val="18"/>
          <w:szCs w:val="18"/>
          <w:i w:val="1"/>
          <w:iCs w:val="1"/>
          <w:color w:val="auto"/>
        </w:rPr>
        <w:t>FWK Holdings, LLC v. Novo Nordisk Inc. et al.</w:t>
      </w:r>
      <w:r>
        <w:rPr>
          <w:rFonts w:ascii="Arial" w:cs="Arial" w:eastAsia="Arial" w:hAnsi="Arial"/>
          <w:sz w:val="18"/>
          <w:szCs w:val="18"/>
          <w:color w:val="auto"/>
        </w:rPr>
        <w:t>, seeking damages under the federal and New Jersey RICO Acts.</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Minnesota Attorney General’s Office filed a complaint against us, Sanofi, and Novo Nordisk, </w:t>
      </w:r>
      <w:r>
        <w:rPr>
          <w:rFonts w:ascii="Arial" w:cs="Arial" w:eastAsia="Arial" w:hAnsi="Arial"/>
          <w:sz w:val="18"/>
          <w:szCs w:val="18"/>
          <w:i w:val="1"/>
          <w:iCs w:val="1"/>
          <w:color w:val="auto"/>
        </w:rPr>
        <w:t>State of Minnesota v. Sanofi-Aventis U.S. LLC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 al., </w:t>
      </w:r>
      <w:r>
        <w:rPr>
          <w:rFonts w:ascii="Arial" w:cs="Arial" w:eastAsia="Arial" w:hAnsi="Arial"/>
          <w:sz w:val="18"/>
          <w:szCs w:val="18"/>
          <w:color w:val="auto"/>
        </w:rPr>
        <w:t>in the U.S. District Court of New Jersey, alleging unjust enrichment, and violations of various Minnesota state consumer protection laws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federal RICO Act. Additionally, the Kentucky Attorney General’s Office filed a complaint against us, Sanofi, and Novo</w:t>
      </w:r>
    </w:p>
    <w:p>
      <w:pPr>
        <w:spacing w:after="0" w:line="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 xml:space="preserve">Nordisk, </w:t>
      </w:r>
      <w:r>
        <w:rPr>
          <w:rFonts w:ascii="Arial" w:cs="Arial" w:eastAsia="Arial" w:hAnsi="Arial"/>
          <w:sz w:val="18"/>
          <w:szCs w:val="18"/>
          <w:i w:val="1"/>
          <w:iCs w:val="1"/>
          <w:color w:val="auto"/>
        </w:rPr>
        <w:t>Commonwealth of Kentucky v. Novo Nordisk, Inc. et al.</w:t>
      </w:r>
      <w:r>
        <w:rPr>
          <w:rFonts w:ascii="Arial" w:cs="Arial" w:eastAsia="Arial" w:hAnsi="Arial"/>
          <w:sz w:val="18"/>
          <w:szCs w:val="18"/>
          <w:color w:val="auto"/>
        </w:rPr>
        <w:t>, in Kentucky state court, alleging violations of the Kentucky consumer protection law, false advertising, and unjust enrichment.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claims are without merit and are defending against them vigorously.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0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Investigations, Subpoenas, and Inquiries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received a subpoena from the New York Attorney General’s Office and civil investigative demands from the Washington and New Mexico Attorney General Offices relating to the pricing and sale of our insulin products. The Offices of the Attorney General in Mississippi, Washington D.C., California, Florida, Hawaii, and Nevada have requested information relating to the pricing and sale of our insulin products. We also received interrogatories from the California Attorney General's Office regarding our competition in the long-acting insulin market. We received two requests from the House of Representatives’ Committee on Energy and Commerce and a request from the Senate’s Committee on Health, Education, Labor, and Pensions, seeking certain information related to the pricing of insulin products, among other issues. We also received a request from the House of Representatives’ Committee on Oversight and Reform and one from the Senate’s Committee on Finance, both of which seek detailed commercial information and business records. We are cooperating with all of these aforementioned requests and investigations.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and previously marketed products.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12: 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3"/>
                <w:szCs w:val="13"/>
                <w:b w:val="1"/>
                <w:bCs w:val="1"/>
                <w:color w:val="auto"/>
              </w:rPr>
              <w:t>Continuing Operations</w:t>
            </w: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62"/>
              <w:spacing w:after="0" w:line="140" w:lineRule="exact"/>
              <w:rPr>
                <w:sz w:val="20"/>
                <w:szCs w:val="20"/>
                <w:color w:val="auto"/>
              </w:rPr>
            </w:pPr>
            <w:r>
              <w:rPr>
                <w:rFonts w:ascii="Arial" w:cs="Arial" w:eastAsia="Arial" w:hAnsi="Arial"/>
                <w:sz w:val="13"/>
                <w:szCs w:val="13"/>
                <w:b w:val="1"/>
                <w:bCs w:val="1"/>
                <w:color w:val="auto"/>
                <w:w w:val="98"/>
              </w:rPr>
              <w:t>Defined Benefit</w:t>
            </w: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320" w:type="dxa"/>
            <w:vAlign w:val="bottom"/>
          </w:tcPr>
          <w:p>
            <w:pPr>
              <w:spacing w:after="0"/>
              <w:rPr>
                <w:sz w:val="11"/>
                <w:szCs w:val="11"/>
                <w:color w:val="auto"/>
              </w:rPr>
            </w:pPr>
          </w:p>
        </w:tc>
        <w:tc>
          <w:tcPr>
            <w:tcW w:w="11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Unrealized Net</w:t>
            </w:r>
          </w:p>
        </w:tc>
        <w:tc>
          <w:tcPr>
            <w:tcW w:w="180" w:type="dxa"/>
            <w:vAlign w:val="bottom"/>
          </w:tcPr>
          <w:p>
            <w:pPr>
              <w:spacing w:after="0"/>
              <w:rPr>
                <w:sz w:val="11"/>
                <w:szCs w:val="11"/>
                <w:color w:val="auto"/>
              </w:rPr>
            </w:pPr>
          </w:p>
        </w:tc>
        <w:tc>
          <w:tcPr>
            <w:tcW w:w="116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5"/>
              </w:rPr>
              <w:t>Pension and</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2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Gains (Losses)</w:t>
            </w:r>
          </w:p>
        </w:tc>
        <w:tc>
          <w:tcPr>
            <w:tcW w:w="180" w:type="dxa"/>
            <w:vAlign w:val="bottom"/>
          </w:tcPr>
          <w:p>
            <w:pPr>
              <w:spacing w:after="0"/>
              <w:rPr>
                <w:sz w:val="11"/>
                <w:szCs w:val="11"/>
                <w:color w:val="auto"/>
              </w:rPr>
            </w:pPr>
          </w:p>
        </w:tc>
        <w:tc>
          <w:tcPr>
            <w:tcW w:w="116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8"/>
              </w:rPr>
              <w:t>Retiree Health</w:t>
            </w:r>
          </w:p>
        </w:tc>
        <w:tc>
          <w:tcPr>
            <w:tcW w:w="146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00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7"/>
              </w:rPr>
              <w:t>Discontinued</w:t>
            </w:r>
          </w:p>
        </w:tc>
        <w:tc>
          <w:tcPr>
            <w:tcW w:w="1540" w:type="dxa"/>
            <w:vAlign w:val="bottom"/>
            <w:gridSpan w:val="2"/>
          </w:tcPr>
          <w:p>
            <w:pPr>
              <w:jc w:val="center"/>
              <w:ind w:left="22"/>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Gains (Losses)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on Securities</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7"/>
              </w:rPr>
              <w:t>Benefit Plans</w:t>
            </w:r>
          </w:p>
        </w:tc>
        <w:tc>
          <w:tcPr>
            <w:tcW w:w="146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Cash Flow Hedges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6"/>
              </w:rPr>
              <w:t>Operations</w:t>
            </w:r>
          </w:p>
        </w:tc>
        <w:tc>
          <w:tcPr>
            <w:tcW w:w="1540" w:type="dxa"/>
            <w:vAlign w:val="bottom"/>
            <w:tcBorders>
              <w:bottom w:val="single" w:sz="8" w:color="auto"/>
            </w:tcBorders>
            <w:gridSpan w:val="2"/>
          </w:tcPr>
          <w:p>
            <w:pPr>
              <w:jc w:val="center"/>
              <w:ind w:left="22"/>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July 1, 2019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(1,570.0)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(3,763.3)</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(271.7)</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(5,600.5)</w:t>
            </w:r>
          </w:p>
        </w:tc>
        <w:tc>
          <w:tcPr>
            <w:tcW w:w="0" w:type="dxa"/>
            <w:vAlign w:val="bottom"/>
          </w:tcPr>
          <w:p>
            <w:pPr>
              <w:spacing w:after="0"/>
              <w:rPr>
                <w:sz w:val="1"/>
                <w:szCs w:val="1"/>
                <w:color w:val="auto"/>
              </w:rPr>
            </w:pPr>
          </w:p>
        </w:tc>
      </w:tr>
      <w:tr>
        <w:trPr>
          <w:trHeight w:val="162"/>
        </w:trPr>
        <w:tc>
          <w:tcPr>
            <w:tcW w:w="30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11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(192.0)</w:t>
            </w:r>
          </w:p>
        </w:tc>
        <w:tc>
          <w:tcPr>
            <w:tcW w:w="32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21.3</w:t>
            </w:r>
          </w:p>
        </w:tc>
        <w:tc>
          <w:tcPr>
            <w:tcW w:w="46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(181.9)</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before reclassifications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180"/>
              <w:spacing w:after="0"/>
              <w:rPr>
                <w:sz w:val="20"/>
                <w:szCs w:val="20"/>
                <w:color w:val="auto"/>
              </w:rPr>
            </w:pPr>
            <w:r>
              <w:rPr>
                <w:rFonts w:ascii="Arial" w:cs="Arial" w:eastAsia="Arial" w:hAnsi="Arial"/>
                <w:sz w:val="18"/>
                <w:szCs w:val="18"/>
                <w:color w:val="auto"/>
              </w:rPr>
              <w:t>Net amount reclassified from</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340"/>
              <w:spacing w:after="0" w:line="202" w:lineRule="exact"/>
              <w:rPr>
                <w:sz w:val="20"/>
                <w:szCs w:val="20"/>
                <w:color w:val="auto"/>
              </w:rPr>
            </w:pPr>
            <w:r>
              <w:rPr>
                <w:rFonts w:ascii="Arial" w:cs="Arial" w:eastAsia="Arial" w:hAnsi="Arial"/>
                <w:sz w:val="18"/>
                <w:szCs w:val="18"/>
                <w:color w:val="auto"/>
              </w:rPr>
              <w:t>accumulated 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restart"/>
          </w:tcPr>
          <w:p>
            <w:pPr>
              <w:jc w:val="right"/>
              <w:ind w:right="79"/>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180" w:type="dxa"/>
            <w:vAlign w:val="bottom"/>
            <w:vMerge w:val="restart"/>
          </w:tcPr>
          <w:p>
            <w:pPr>
              <w:jc w:val="right"/>
              <w:ind w:right="120"/>
              <w:spacing w:after="0"/>
              <w:rPr>
                <w:sz w:val="20"/>
                <w:szCs w:val="20"/>
                <w:color w:val="auto"/>
              </w:rPr>
            </w:pPr>
            <w:r>
              <w:rPr>
                <w:rFonts w:ascii="Arial" w:cs="Arial" w:eastAsia="Arial" w:hAnsi="Arial"/>
                <w:sz w:val="18"/>
                <w:szCs w:val="18"/>
                <w:b w:val="1"/>
                <w:bCs w:val="1"/>
                <w:color w:val="auto"/>
              </w:rPr>
              <w:t>0.6</w:t>
            </w:r>
          </w:p>
        </w:tc>
        <w:tc>
          <w:tcPr>
            <w:tcW w:w="180" w:type="dxa"/>
            <w:vAlign w:val="bottom"/>
          </w:tcPr>
          <w:p>
            <w:pPr>
              <w:spacing w:after="0"/>
              <w:rPr>
                <w:sz w:val="17"/>
                <w:szCs w:val="17"/>
                <w:color w:val="auto"/>
              </w:rPr>
            </w:pPr>
          </w:p>
        </w:tc>
        <w:tc>
          <w:tcPr>
            <w:tcW w:w="1160" w:type="dxa"/>
            <w:vAlign w:val="bottom"/>
            <w:vMerge w:val="restart"/>
          </w:tcPr>
          <w:p>
            <w:pPr>
              <w:jc w:val="right"/>
              <w:ind w:right="122"/>
              <w:spacing w:after="0"/>
              <w:rPr>
                <w:sz w:val="20"/>
                <w:szCs w:val="20"/>
                <w:color w:val="auto"/>
              </w:rPr>
            </w:pPr>
            <w:r>
              <w:rPr>
                <w:rFonts w:ascii="Arial" w:cs="Arial" w:eastAsia="Arial" w:hAnsi="Arial"/>
                <w:sz w:val="18"/>
                <w:szCs w:val="18"/>
                <w:b w:val="1"/>
                <w:bCs w:val="1"/>
                <w:color w:val="auto"/>
              </w:rPr>
              <w:t>45.1</w:t>
            </w:r>
          </w:p>
        </w:tc>
        <w:tc>
          <w:tcPr>
            <w:tcW w:w="460" w:type="dxa"/>
            <w:vAlign w:val="bottom"/>
          </w:tcPr>
          <w:p>
            <w:pPr>
              <w:spacing w:after="0"/>
              <w:rPr>
                <w:sz w:val="17"/>
                <w:szCs w:val="17"/>
                <w:color w:val="auto"/>
              </w:rPr>
            </w:pPr>
          </w:p>
        </w:tc>
        <w:tc>
          <w:tcPr>
            <w:tcW w:w="9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13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47.9</w:t>
            </w:r>
          </w:p>
        </w:tc>
        <w:tc>
          <w:tcPr>
            <w:tcW w:w="0" w:type="dxa"/>
            <w:vAlign w:val="bottom"/>
          </w:tcPr>
          <w:p>
            <w:pPr>
              <w:spacing w:after="0"/>
              <w:rPr>
                <w:sz w:val="1"/>
                <w:szCs w:val="1"/>
                <w:color w:val="auto"/>
              </w:rPr>
            </w:pPr>
          </w:p>
        </w:tc>
      </w:tr>
      <w:tr>
        <w:trPr>
          <w:trHeight w:val="224"/>
        </w:trPr>
        <w:tc>
          <w:tcPr>
            <w:tcW w:w="2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comprehensive loss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(192.0)</w:t>
            </w:r>
          </w:p>
        </w:tc>
        <w:tc>
          <w:tcPr>
            <w:tcW w:w="32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w:t>
            </w:r>
          </w:p>
        </w:tc>
        <w:tc>
          <w:tcPr>
            <w:tcW w:w="18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66.4</w:t>
            </w:r>
          </w:p>
        </w:tc>
        <w:tc>
          <w:tcPr>
            <w:tcW w:w="46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(134.0)</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9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(1,762.0)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(3,696.9)</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(282.2)</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(5,734.5)</w:t>
            </w:r>
          </w:p>
        </w:tc>
        <w:tc>
          <w:tcPr>
            <w:tcW w:w="0" w:type="dxa"/>
            <w:vAlign w:val="bottom"/>
          </w:tcPr>
          <w:p>
            <w:pPr>
              <w:spacing w:after="0"/>
              <w:rPr>
                <w:sz w:val="1"/>
                <w:szCs w:val="1"/>
                <w:color w:val="auto"/>
              </w:rPr>
            </w:pPr>
          </w:p>
        </w:tc>
      </w:tr>
      <w:tr>
        <w:trPr>
          <w:trHeight w:val="507"/>
        </w:trPr>
        <w:tc>
          <w:tcPr>
            <w:tcW w:w="2980" w:type="dxa"/>
            <w:vAlign w:val="bottom"/>
            <w:tcBorders>
              <w:top w:val="single" w:sz="8" w:color="CCEEFF"/>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520" w:type="dxa"/>
            <w:vAlign w:val="bottom"/>
            <w:tcBorders>
              <w:top w:val="single" w:sz="8" w:color="auto"/>
              <w:bottom w:val="single" w:sz="8" w:color="auto"/>
            </w:tcBorders>
            <w:gridSpan w:val="3"/>
          </w:tcPr>
          <w:p>
            <w:pPr>
              <w:jc w:val="right"/>
              <w:ind w:right="622"/>
              <w:spacing w:after="0"/>
              <w:rPr>
                <w:sz w:val="20"/>
                <w:szCs w:val="20"/>
                <w:color w:val="auto"/>
              </w:rPr>
            </w:pPr>
            <w:r>
              <w:rPr>
                <w:rFonts w:ascii="Arial" w:cs="Arial" w:eastAsia="Arial" w:hAnsi="Arial"/>
                <w:sz w:val="13"/>
                <w:szCs w:val="13"/>
                <w:b w:val="1"/>
                <w:bCs w:val="1"/>
                <w:color w:val="auto"/>
              </w:rPr>
              <w:t>Continuing Operations</w:t>
            </w:r>
          </w:p>
        </w:tc>
        <w:tc>
          <w:tcPr>
            <w:tcW w:w="4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82"/>
              <w:spacing w:after="0" w:line="140" w:lineRule="exact"/>
              <w:rPr>
                <w:sz w:val="20"/>
                <w:szCs w:val="20"/>
                <w:color w:val="auto"/>
              </w:rPr>
            </w:pPr>
            <w:r>
              <w:rPr>
                <w:rFonts w:ascii="Arial" w:cs="Arial" w:eastAsia="Arial" w:hAnsi="Arial"/>
                <w:sz w:val="13"/>
                <w:szCs w:val="13"/>
                <w:b w:val="1"/>
                <w:bCs w:val="1"/>
                <w:color w:val="auto"/>
                <w:w w:val="96"/>
              </w:rPr>
              <w:t>Defined Benefit</w:t>
            </w: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39"/>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150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8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98"/>
              </w:rPr>
              <w:t>Pension and</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159"/>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20" w:type="dxa"/>
            <w:vAlign w:val="bottom"/>
          </w:tcPr>
          <w:p>
            <w:pPr>
              <w:spacing w:after="0"/>
              <w:rPr>
                <w:sz w:val="11"/>
                <w:szCs w:val="11"/>
                <w:color w:val="auto"/>
              </w:rPr>
            </w:pPr>
          </w:p>
        </w:tc>
        <w:tc>
          <w:tcPr>
            <w:tcW w:w="1180" w:type="dxa"/>
            <w:vAlign w:val="bottom"/>
          </w:tcPr>
          <w:p>
            <w:pPr>
              <w:jc w:val="right"/>
              <w:ind w:right="420"/>
              <w:spacing w:after="0" w:line="135" w:lineRule="exact"/>
              <w:rPr>
                <w:sz w:val="20"/>
                <w:szCs w:val="20"/>
                <w:color w:val="auto"/>
              </w:rPr>
            </w:pPr>
            <w:r>
              <w:rPr>
                <w:rFonts w:ascii="Arial" w:cs="Arial" w:eastAsia="Arial" w:hAnsi="Arial"/>
                <w:sz w:val="13"/>
                <w:szCs w:val="13"/>
                <w:b w:val="1"/>
                <w:bCs w:val="1"/>
                <w:color w:val="auto"/>
              </w:rPr>
              <w:t>(Losses)</w:t>
            </w:r>
          </w:p>
        </w:tc>
        <w:tc>
          <w:tcPr>
            <w:tcW w:w="18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96"/>
              </w:rPr>
              <w:t>Retiree Health</w:t>
            </w:r>
          </w:p>
        </w:tc>
        <w:tc>
          <w:tcPr>
            <w:tcW w:w="1460" w:type="dxa"/>
            <w:vAlign w:val="bottom"/>
            <w:gridSpan w:val="3"/>
          </w:tcPr>
          <w:p>
            <w:pPr>
              <w:ind w:left="18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000" w:type="dxa"/>
            <w:vAlign w:val="bottom"/>
          </w:tcPr>
          <w:p>
            <w:pPr>
              <w:jc w:val="center"/>
              <w:ind w:right="78"/>
              <w:spacing w:after="0" w:line="135" w:lineRule="exact"/>
              <w:rPr>
                <w:sz w:val="20"/>
                <w:szCs w:val="20"/>
                <w:color w:val="auto"/>
              </w:rPr>
            </w:pPr>
            <w:r>
              <w:rPr>
                <w:rFonts w:ascii="Arial" w:cs="Arial" w:eastAsia="Arial" w:hAnsi="Arial"/>
                <w:sz w:val="13"/>
                <w:szCs w:val="13"/>
                <w:b w:val="1"/>
                <w:bCs w:val="1"/>
                <w:color w:val="auto"/>
                <w:w w:val="97"/>
              </w:rPr>
              <w:t>Discontinued</w:t>
            </w:r>
          </w:p>
        </w:tc>
        <w:tc>
          <w:tcPr>
            <w:tcW w:w="240" w:type="dxa"/>
            <w:vAlign w:val="bottom"/>
          </w:tcPr>
          <w:p>
            <w:pPr>
              <w:spacing w:after="0"/>
              <w:rPr>
                <w:sz w:val="11"/>
                <w:szCs w:val="11"/>
                <w:color w:val="auto"/>
              </w:rPr>
            </w:pPr>
          </w:p>
        </w:tc>
        <w:tc>
          <w:tcPr>
            <w:tcW w:w="1300" w:type="dxa"/>
            <w:vAlign w:val="bottom"/>
          </w:tcPr>
          <w:p>
            <w:pPr>
              <w:jc w:val="center"/>
              <w:ind w:right="12"/>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59"/>
              <w:spacing w:after="0"/>
              <w:rPr>
                <w:sz w:val="20"/>
                <w:szCs w:val="20"/>
                <w:color w:val="auto"/>
              </w:rPr>
            </w:pPr>
            <w:r>
              <w:rPr>
                <w:rFonts w:ascii="Arial" w:cs="Arial" w:eastAsia="Arial" w:hAnsi="Arial"/>
                <w:sz w:val="13"/>
                <w:szCs w:val="13"/>
                <w:b w:val="1"/>
                <w:bCs w:val="1"/>
                <w:color w:val="auto"/>
                <w:w w:val="98"/>
              </w:rPr>
              <w:t>Gains (Losses)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on Securities</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97"/>
              </w:rPr>
              <w:t>Benefit Plans</w:t>
            </w:r>
          </w:p>
        </w:tc>
        <w:tc>
          <w:tcPr>
            <w:tcW w:w="146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Cash Flow Hedges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3"/>
                <w:szCs w:val="13"/>
                <w:b w:val="1"/>
                <w:bCs w:val="1"/>
                <w:color w:val="auto"/>
                <w:w w:val="96"/>
              </w:rPr>
              <w:t>Operations</w:t>
            </w:r>
          </w:p>
        </w:tc>
        <w:tc>
          <w:tcPr>
            <w:tcW w:w="1540" w:type="dxa"/>
            <w:vAlign w:val="bottom"/>
            <w:tcBorders>
              <w:bottom w:val="single" w:sz="8" w:color="auto"/>
            </w:tcBorders>
            <w:gridSpan w:val="2"/>
          </w:tcPr>
          <w:p>
            <w:pPr>
              <w:jc w:val="center"/>
              <w:ind w:left="42"/>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July 1, 2018</w:t>
            </w: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(1,561.5)</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(4,160.0)</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(228.5)</w:t>
            </w: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(140.6)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(6,108.7)</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reclassifications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532.6</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99.7</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29"/>
        </w:trPr>
        <w:tc>
          <w:tcPr>
            <w:tcW w:w="2980" w:type="dxa"/>
            <w:vAlign w:val="bottom"/>
          </w:tcPr>
          <w:p>
            <w:pPr>
              <w:ind w:left="180"/>
              <w:spacing w:after="0"/>
              <w:rPr>
                <w:sz w:val="20"/>
                <w:szCs w:val="20"/>
                <w:color w:val="auto"/>
              </w:rPr>
            </w:pPr>
            <w:r>
              <w:rPr>
                <w:rFonts w:ascii="Arial" w:cs="Arial" w:eastAsia="Arial" w:hAnsi="Arial"/>
                <w:sz w:val="18"/>
                <w:szCs w:val="18"/>
                <w:color w:val="auto"/>
              </w:rPr>
              <w:t>Net amount reclassified from</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80" w:type="dxa"/>
            <w:vAlign w:val="bottom"/>
          </w:tcPr>
          <w:p>
            <w:pPr>
              <w:ind w:left="340"/>
              <w:spacing w:after="0" w:line="202" w:lineRule="exact"/>
              <w:rPr>
                <w:sz w:val="20"/>
                <w:szCs w:val="20"/>
                <w:color w:val="auto"/>
              </w:rPr>
            </w:pPr>
            <w:r>
              <w:rPr>
                <w:rFonts w:ascii="Arial" w:cs="Arial" w:eastAsia="Arial" w:hAnsi="Arial"/>
                <w:sz w:val="18"/>
                <w:szCs w:val="18"/>
                <w:color w:val="auto"/>
              </w:rPr>
              <w:t>accumulated 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comprehensive loss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48.4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5"/>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581.0</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98.5</w:t>
            </w:r>
          </w:p>
        </w:tc>
        <w:tc>
          <w:tcPr>
            <w:tcW w:w="2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162"/>
        </w:trPr>
        <w:tc>
          <w:tcPr>
            <w:tcW w:w="29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gridSpan w:val="2"/>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r>
              <w:rPr>
                <w:rFonts w:ascii="Arial" w:cs="Arial" w:eastAsia="Arial" w:hAnsi="Arial"/>
                <w:sz w:val="21"/>
                <w:szCs w:val="21"/>
                <w:color w:val="auto"/>
                <w:vertAlign w:val="superscript"/>
              </w:rPr>
              <w:t>(4)</w:t>
            </w:r>
          </w:p>
        </w:tc>
        <w:tc>
          <w:tcPr>
            <w:tcW w:w="20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(1,584.6)</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(3,579.0)</w:t>
            </w:r>
          </w:p>
        </w:tc>
        <w:tc>
          <w:tcPr>
            <w:tcW w:w="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(225.6)</w:t>
            </w:r>
          </w:p>
        </w:tc>
        <w:tc>
          <w:tcPr>
            <w:tcW w:w="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(5,448.5)</w:t>
            </w:r>
          </w:p>
        </w:tc>
        <w:tc>
          <w:tcPr>
            <w:tcW w:w="0" w:type="dxa"/>
            <w:vAlign w:val="bottom"/>
          </w:tcPr>
          <w:p>
            <w:pPr>
              <w:spacing w:after="0"/>
              <w:rPr>
                <w:sz w:val="1"/>
                <w:szCs w:val="1"/>
                <w:color w:val="auto"/>
              </w:rPr>
            </w:pPr>
          </w:p>
        </w:tc>
      </w:tr>
      <w:tr>
        <w:trPr>
          <w:trHeight w:val="459"/>
        </w:trPr>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3"/>
                <w:szCs w:val="13"/>
                <w:b w:val="1"/>
                <w:bCs w:val="1"/>
                <w:color w:val="auto"/>
              </w:rPr>
              <w:t>Continuing Operations</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41"/>
              <w:spacing w:after="0" w:line="140" w:lineRule="exact"/>
              <w:rPr>
                <w:sz w:val="20"/>
                <w:szCs w:val="20"/>
                <w:color w:val="auto"/>
              </w:rPr>
            </w:pPr>
            <w:r>
              <w:rPr>
                <w:rFonts w:ascii="Arial" w:cs="Arial" w:eastAsia="Arial" w:hAnsi="Arial"/>
                <w:sz w:val="13"/>
                <w:szCs w:val="13"/>
                <w:b w:val="1"/>
                <w:bCs w:val="1"/>
                <w:color w:val="auto"/>
                <w:w w:val="98"/>
              </w:rPr>
              <w:t>Defined Benefit</w:t>
            </w: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15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Unrealized Net Gains</w:t>
            </w:r>
          </w:p>
        </w:tc>
        <w:tc>
          <w:tcPr>
            <w:tcW w:w="220" w:type="dxa"/>
            <w:vAlign w:val="bottom"/>
          </w:tcPr>
          <w:p>
            <w:pPr>
              <w:spacing w:after="0"/>
              <w:rPr>
                <w:sz w:val="11"/>
                <w:szCs w:val="11"/>
                <w:color w:val="auto"/>
              </w:rPr>
            </w:pPr>
          </w:p>
        </w:tc>
        <w:tc>
          <w:tcPr>
            <w:tcW w:w="1160" w:type="dxa"/>
            <w:vAlign w:val="bottom"/>
          </w:tcPr>
          <w:p>
            <w:pPr>
              <w:jc w:val="center"/>
              <w:ind w:right="141"/>
              <w:spacing w:after="0" w:line="135" w:lineRule="exact"/>
              <w:rPr>
                <w:sz w:val="20"/>
                <w:szCs w:val="20"/>
                <w:color w:val="auto"/>
              </w:rPr>
            </w:pPr>
            <w:r>
              <w:rPr>
                <w:rFonts w:ascii="Arial" w:cs="Arial" w:eastAsia="Arial" w:hAnsi="Arial"/>
                <w:sz w:val="13"/>
                <w:szCs w:val="13"/>
                <w:b w:val="1"/>
                <w:bCs w:val="1"/>
                <w:color w:val="auto"/>
                <w:w w:val="95"/>
              </w:rPr>
              <w:t>Pension and</w:t>
            </w: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18"/>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20" w:type="dxa"/>
            <w:vAlign w:val="bottom"/>
          </w:tcPr>
          <w:p>
            <w:pPr>
              <w:spacing w:after="0"/>
              <w:rPr>
                <w:sz w:val="11"/>
                <w:szCs w:val="11"/>
                <w:color w:val="auto"/>
              </w:rPr>
            </w:pPr>
          </w:p>
        </w:tc>
        <w:tc>
          <w:tcPr>
            <w:tcW w:w="1180" w:type="dxa"/>
            <w:vAlign w:val="bottom"/>
          </w:tcPr>
          <w:p>
            <w:pPr>
              <w:jc w:val="right"/>
              <w:ind w:right="400"/>
              <w:spacing w:after="0" w:line="135" w:lineRule="exact"/>
              <w:rPr>
                <w:sz w:val="20"/>
                <w:szCs w:val="20"/>
                <w:color w:val="auto"/>
              </w:rPr>
            </w:pPr>
            <w:r>
              <w:rPr>
                <w:rFonts w:ascii="Arial" w:cs="Arial" w:eastAsia="Arial" w:hAnsi="Arial"/>
                <w:sz w:val="13"/>
                <w:szCs w:val="13"/>
                <w:b w:val="1"/>
                <w:bCs w:val="1"/>
                <w:color w:val="auto"/>
              </w:rPr>
              <w:t>(Losses)</w:t>
            </w:r>
          </w:p>
        </w:tc>
        <w:tc>
          <w:tcPr>
            <w:tcW w:w="220" w:type="dxa"/>
            <w:vAlign w:val="bottom"/>
          </w:tcPr>
          <w:p>
            <w:pPr>
              <w:spacing w:after="0"/>
              <w:rPr>
                <w:sz w:val="11"/>
                <w:szCs w:val="11"/>
                <w:color w:val="auto"/>
              </w:rPr>
            </w:pPr>
          </w:p>
        </w:tc>
        <w:tc>
          <w:tcPr>
            <w:tcW w:w="1160" w:type="dxa"/>
            <w:vAlign w:val="bottom"/>
          </w:tcPr>
          <w:p>
            <w:pPr>
              <w:jc w:val="center"/>
              <w:ind w:right="141"/>
              <w:spacing w:after="0" w:line="135" w:lineRule="exact"/>
              <w:rPr>
                <w:sz w:val="20"/>
                <w:szCs w:val="20"/>
                <w:color w:val="auto"/>
              </w:rPr>
            </w:pPr>
            <w:r>
              <w:rPr>
                <w:rFonts w:ascii="Arial" w:cs="Arial" w:eastAsia="Arial" w:hAnsi="Arial"/>
                <w:sz w:val="13"/>
                <w:szCs w:val="13"/>
                <w:b w:val="1"/>
                <w:bCs w:val="1"/>
                <w:color w:val="auto"/>
                <w:w w:val="98"/>
              </w:rPr>
              <w:t>Retiree Health</w:t>
            </w:r>
          </w:p>
        </w:tc>
        <w:tc>
          <w:tcPr>
            <w:tcW w:w="148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rPr>
              <w:t>Effective Portion of</w:t>
            </w:r>
          </w:p>
        </w:tc>
        <w:tc>
          <w:tcPr>
            <w:tcW w:w="1260" w:type="dxa"/>
            <w:vAlign w:val="bottom"/>
            <w:gridSpan w:val="2"/>
          </w:tcPr>
          <w:p>
            <w:pPr>
              <w:jc w:val="right"/>
              <w:ind w:right="156"/>
              <w:spacing w:after="0" w:line="135" w:lineRule="exact"/>
              <w:rPr>
                <w:sz w:val="20"/>
                <w:szCs w:val="20"/>
                <w:color w:val="auto"/>
              </w:rPr>
            </w:pPr>
            <w:r>
              <w:rPr>
                <w:rFonts w:ascii="Arial" w:cs="Arial" w:eastAsia="Arial" w:hAnsi="Arial"/>
                <w:sz w:val="13"/>
                <w:szCs w:val="13"/>
                <w:b w:val="1"/>
                <w:bCs w:val="1"/>
                <w:color w:val="auto"/>
              </w:rPr>
              <w:t>Discontinued</w:t>
            </w:r>
          </w:p>
        </w:tc>
        <w:tc>
          <w:tcPr>
            <w:tcW w:w="200" w:type="dxa"/>
            <w:vAlign w:val="bottom"/>
          </w:tcPr>
          <w:p>
            <w:pPr>
              <w:spacing w:after="0"/>
              <w:rPr>
                <w:sz w:val="11"/>
                <w:szCs w:val="11"/>
                <w:color w:val="auto"/>
              </w:rPr>
            </w:pPr>
          </w:p>
        </w:tc>
        <w:tc>
          <w:tcPr>
            <w:tcW w:w="1300" w:type="dxa"/>
            <w:vAlign w:val="bottom"/>
          </w:tcPr>
          <w:p>
            <w:pPr>
              <w:jc w:val="center"/>
              <w:ind w:right="12"/>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9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3"/>
                <w:szCs w:val="13"/>
                <w:b w:val="1"/>
                <w:bCs w:val="1"/>
                <w:color w:val="auto"/>
                <w:w w:val="96"/>
              </w:rPr>
              <w:t>Gains (Losses)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w w:val="97"/>
              </w:rPr>
              <w:t>on Securities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w w:val="94"/>
              </w:rPr>
              <w:t>Benefit Plans</w:t>
            </w:r>
          </w:p>
        </w:tc>
        <w:tc>
          <w:tcPr>
            <w:tcW w:w="148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Cash Flow Hedges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Operations</w:t>
            </w:r>
          </w:p>
        </w:tc>
        <w:tc>
          <w:tcPr>
            <w:tcW w:w="150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3"/>
                <w:szCs w:val="13"/>
                <w:b w:val="1"/>
                <w:bCs w:val="1"/>
                <w:color w:val="auto"/>
                <w:w w:val="95"/>
              </w:rPr>
              <w:t>Comprehensive Loss</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8"/>
                <w:szCs w:val="18"/>
                <w:color w:val="auto"/>
              </w:rPr>
              <w:t xml:space="preserve">Balance at January 1, 2019 </w:t>
            </w:r>
            <w:r>
              <w:rPr>
                <w:rFonts w:ascii="Arial" w:cs="Arial" w:eastAsia="Arial" w:hAnsi="Arial"/>
                <w:sz w:val="21"/>
                <w:szCs w:val="21"/>
                <w:color w:val="auto"/>
                <w:vertAlign w:val="superscript"/>
              </w:rPr>
              <w:t>(1)</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18"/>
              <w:spacing w:after="0"/>
              <w:rPr>
                <w:sz w:val="20"/>
                <w:szCs w:val="20"/>
                <w:color w:val="auto"/>
              </w:rPr>
            </w:pPr>
            <w:r>
              <w:rPr>
                <w:rFonts w:ascii="Arial" w:cs="Arial" w:eastAsia="Arial" w:hAnsi="Arial"/>
                <w:sz w:val="18"/>
                <w:szCs w:val="18"/>
                <w:b w:val="1"/>
                <w:bCs w:val="1"/>
                <w:color w:val="auto"/>
              </w:rPr>
              <w:t>(1,569.7)</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60"/>
              <w:spacing w:after="0"/>
              <w:rPr>
                <w:sz w:val="20"/>
                <w:szCs w:val="20"/>
                <w:color w:val="auto"/>
              </w:rPr>
            </w:pPr>
            <w:r>
              <w:rPr>
                <w:rFonts w:ascii="Arial" w:cs="Arial" w:eastAsia="Arial" w:hAnsi="Arial"/>
                <w:sz w:val="18"/>
                <w:szCs w:val="18"/>
                <w:b w:val="1"/>
                <w:bCs w:val="1"/>
                <w:color w:val="auto"/>
              </w:rPr>
              <w:t>(22.1)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21"/>
              <w:spacing w:after="0"/>
              <w:rPr>
                <w:sz w:val="20"/>
                <w:szCs w:val="20"/>
                <w:color w:val="auto"/>
              </w:rPr>
            </w:pPr>
            <w:r>
              <w:rPr>
                <w:rFonts w:ascii="Arial" w:cs="Arial" w:eastAsia="Arial" w:hAnsi="Arial"/>
                <w:sz w:val="18"/>
                <w:szCs w:val="18"/>
                <w:b w:val="1"/>
                <w:bCs w:val="1"/>
                <w:color w:val="auto"/>
              </w:rPr>
              <w:t>(3,852.7)</w:t>
            </w:r>
          </w:p>
        </w:tc>
        <w:tc>
          <w:tcPr>
            <w:tcW w:w="460" w:type="dxa"/>
            <w:vAlign w:val="bottom"/>
          </w:tcPr>
          <w:p>
            <w:pPr>
              <w:jc w:val="right"/>
              <w:ind w:right="183"/>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(238.9)</w:t>
            </w:r>
          </w:p>
        </w:tc>
        <w:tc>
          <w:tcPr>
            <w:tcW w:w="100" w:type="dxa"/>
            <w:vAlign w:val="bottom"/>
          </w:tcPr>
          <w:p>
            <w:pPr>
              <w:spacing w:after="0"/>
              <w:rPr>
                <w:sz w:val="23"/>
                <w:szCs w:val="23"/>
                <w:color w:val="auto"/>
              </w:rPr>
            </w:pPr>
          </w:p>
        </w:tc>
        <w:tc>
          <w:tcPr>
            <w:tcW w:w="2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16"/>
              <w:spacing w:after="0"/>
              <w:rPr>
                <w:sz w:val="20"/>
                <w:szCs w:val="20"/>
                <w:color w:val="auto"/>
              </w:rPr>
            </w:pPr>
            <w:r>
              <w:rPr>
                <w:rFonts w:ascii="Arial" w:cs="Arial" w:eastAsia="Arial" w:hAnsi="Arial"/>
                <w:sz w:val="18"/>
                <w:szCs w:val="18"/>
                <w:b w:val="1"/>
                <w:bCs w:val="1"/>
                <w:color w:val="auto"/>
              </w:rPr>
              <w:t>(56.8)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b w:val="1"/>
                <w:bCs w:val="1"/>
                <w:color w:val="auto"/>
              </w:rPr>
              <w:t>(5,740.2)</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Arial" w:cs="Arial" w:eastAsia="Arial" w:hAnsi="Arial"/>
                <w:sz w:val="18"/>
                <w:szCs w:val="18"/>
                <w:color w:val="auto"/>
              </w:rPr>
              <w:t>Other comprehensive income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restart"/>
          </w:tcPr>
          <w:p>
            <w:pPr>
              <w:jc w:val="right"/>
              <w:ind w:right="118"/>
              <w:spacing w:after="0"/>
              <w:rPr>
                <w:sz w:val="20"/>
                <w:szCs w:val="20"/>
                <w:color w:val="auto"/>
              </w:rPr>
            </w:pPr>
            <w:r>
              <w:rPr>
                <w:rFonts w:ascii="Arial" w:cs="Arial" w:eastAsia="Arial" w:hAnsi="Arial"/>
                <w:sz w:val="18"/>
                <w:szCs w:val="18"/>
                <w:b w:val="1"/>
                <w:bCs w:val="1"/>
                <w:color w:val="auto"/>
              </w:rPr>
              <w:t>(192.3)</w:t>
            </w:r>
          </w:p>
        </w:tc>
        <w:tc>
          <w:tcPr>
            <w:tcW w:w="320" w:type="dxa"/>
            <w:vAlign w:val="bottom"/>
          </w:tcPr>
          <w:p>
            <w:pPr>
              <w:spacing w:after="0"/>
              <w:rPr>
                <w:sz w:val="19"/>
                <w:szCs w:val="19"/>
                <w:color w:val="auto"/>
              </w:rPr>
            </w:pPr>
          </w:p>
        </w:tc>
        <w:tc>
          <w:tcPr>
            <w:tcW w:w="1180" w:type="dxa"/>
            <w:vAlign w:val="bottom"/>
            <w:vMerge w:val="restart"/>
          </w:tcPr>
          <w:p>
            <w:pPr>
              <w:jc w:val="right"/>
              <w:ind w:right="220"/>
              <w:spacing w:after="0"/>
              <w:rPr>
                <w:sz w:val="20"/>
                <w:szCs w:val="20"/>
                <w:color w:val="auto"/>
              </w:rPr>
            </w:pPr>
            <w:r>
              <w:rPr>
                <w:rFonts w:ascii="Arial" w:cs="Arial" w:eastAsia="Arial" w:hAnsi="Arial"/>
                <w:sz w:val="18"/>
                <w:szCs w:val="18"/>
                <w:b w:val="1"/>
                <w:bCs w:val="1"/>
                <w:color w:val="auto"/>
              </w:rPr>
              <w:t>26.7</w:t>
            </w:r>
          </w:p>
        </w:tc>
        <w:tc>
          <w:tcPr>
            <w:tcW w:w="220" w:type="dxa"/>
            <w:vAlign w:val="bottom"/>
          </w:tcPr>
          <w:p>
            <w:pPr>
              <w:spacing w:after="0"/>
              <w:rPr>
                <w:sz w:val="19"/>
                <w:szCs w:val="19"/>
                <w:color w:val="auto"/>
              </w:rPr>
            </w:pPr>
          </w:p>
        </w:tc>
        <w:tc>
          <w:tcPr>
            <w:tcW w:w="1160" w:type="dxa"/>
            <w:vAlign w:val="bottom"/>
            <w:vMerge w:val="restart"/>
          </w:tcPr>
          <w:p>
            <w:pPr>
              <w:jc w:val="right"/>
              <w:ind w:right="181"/>
              <w:spacing w:after="0"/>
              <w:rPr>
                <w:sz w:val="20"/>
                <w:szCs w:val="20"/>
                <w:color w:val="auto"/>
              </w:rPr>
            </w:pPr>
            <w:r>
              <w:rPr>
                <w:rFonts w:ascii="Arial" w:cs="Arial" w:eastAsia="Arial" w:hAnsi="Arial"/>
                <w:sz w:val="18"/>
                <w:szCs w:val="18"/>
                <w:b w:val="1"/>
                <w:bCs w:val="1"/>
                <w:color w:val="auto"/>
              </w:rPr>
              <w:t>19.0</w:t>
            </w:r>
          </w:p>
        </w:tc>
        <w:tc>
          <w:tcPr>
            <w:tcW w:w="460" w:type="dxa"/>
            <w:vAlign w:val="bottom"/>
          </w:tcPr>
          <w:p>
            <w:pPr>
              <w:spacing w:after="0"/>
              <w:rPr>
                <w:sz w:val="19"/>
                <w:szCs w:val="19"/>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restart"/>
          </w:tcPr>
          <w:p>
            <w:pPr>
              <w:jc w:val="right"/>
              <w:ind w:right="116"/>
              <w:spacing w:after="0"/>
              <w:rPr>
                <w:sz w:val="20"/>
                <w:szCs w:val="20"/>
                <w:color w:val="auto"/>
              </w:rPr>
            </w:pPr>
            <w:r>
              <w:rPr>
                <w:rFonts w:ascii="Arial" w:cs="Arial" w:eastAsia="Arial" w:hAnsi="Arial"/>
                <w:sz w:val="18"/>
                <w:szCs w:val="18"/>
                <w:b w:val="1"/>
                <w:bCs w:val="1"/>
                <w:color w:val="auto"/>
              </w:rPr>
              <w:t>(27.2)</w:t>
            </w:r>
          </w:p>
        </w:tc>
        <w:tc>
          <w:tcPr>
            <w:tcW w:w="200" w:type="dxa"/>
            <w:vAlign w:val="bottom"/>
          </w:tcPr>
          <w:p>
            <w:pPr>
              <w:spacing w:after="0"/>
              <w:rPr>
                <w:sz w:val="19"/>
                <w:szCs w:val="19"/>
                <w:color w:val="auto"/>
              </w:rPr>
            </w:pPr>
          </w:p>
        </w:tc>
        <w:tc>
          <w:tcPr>
            <w:tcW w:w="1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(225.5)</w:t>
            </w:r>
          </w:p>
        </w:tc>
        <w:tc>
          <w:tcPr>
            <w:tcW w:w="0" w:type="dxa"/>
            <w:vAlign w:val="bottom"/>
          </w:tcPr>
          <w:p>
            <w:pPr>
              <w:spacing w:after="0"/>
              <w:rPr>
                <w:sz w:val="1"/>
                <w:szCs w:val="1"/>
                <w:color w:val="auto"/>
              </w:rPr>
            </w:pPr>
          </w:p>
        </w:tc>
      </w:tr>
      <w:tr>
        <w:trPr>
          <w:trHeight w:val="224"/>
        </w:trPr>
        <w:tc>
          <w:tcPr>
            <w:tcW w:w="2960" w:type="dxa"/>
            <w:vAlign w:val="bottom"/>
          </w:tcPr>
          <w:p>
            <w:pPr>
              <w:ind w:left="180"/>
              <w:spacing w:after="0"/>
              <w:rPr>
                <w:sz w:val="20"/>
                <w:szCs w:val="20"/>
                <w:color w:val="auto"/>
              </w:rPr>
            </w:pPr>
            <w:r>
              <w:rPr>
                <w:rFonts w:ascii="Arial" w:cs="Arial" w:eastAsia="Arial" w:hAnsi="Arial"/>
                <w:sz w:val="18"/>
                <w:szCs w:val="18"/>
                <w:color w:val="auto"/>
              </w:rPr>
              <w:t>(loss) before reclassifications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amount reclassified from</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136.8</w:t>
            </w:r>
          </w:p>
        </w:tc>
        <w:tc>
          <w:tcPr>
            <w:tcW w:w="46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84.0</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231.2</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60" w:type="dxa"/>
            <w:vAlign w:val="bottom"/>
          </w:tcPr>
          <w:p>
            <w:pPr>
              <w:ind w:left="180"/>
              <w:spacing w:after="0"/>
              <w:rPr>
                <w:sz w:val="20"/>
                <w:szCs w:val="20"/>
                <w:color w:val="auto"/>
              </w:rPr>
            </w:pPr>
            <w:r>
              <w:rPr>
                <w:rFonts w:ascii="Arial" w:cs="Arial" w:eastAsia="Arial" w:hAnsi="Arial"/>
                <w:sz w:val="18"/>
                <w:szCs w:val="18"/>
                <w:color w:val="auto"/>
              </w:rPr>
              <w:t>Net other comprehensive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restart"/>
          </w:tcPr>
          <w:p>
            <w:pPr>
              <w:jc w:val="right"/>
              <w:ind w:right="118"/>
              <w:spacing w:after="0"/>
              <w:rPr>
                <w:sz w:val="20"/>
                <w:szCs w:val="20"/>
                <w:color w:val="auto"/>
              </w:rPr>
            </w:pPr>
            <w:r>
              <w:rPr>
                <w:rFonts w:ascii="Arial" w:cs="Arial" w:eastAsia="Arial" w:hAnsi="Arial"/>
                <w:sz w:val="18"/>
                <w:szCs w:val="18"/>
                <w:b w:val="1"/>
                <w:bCs w:val="1"/>
                <w:color w:val="auto"/>
              </w:rPr>
              <w:t>(192.3)</w:t>
            </w:r>
          </w:p>
        </w:tc>
        <w:tc>
          <w:tcPr>
            <w:tcW w:w="320" w:type="dxa"/>
            <w:vAlign w:val="bottom"/>
          </w:tcPr>
          <w:p>
            <w:pPr>
              <w:spacing w:after="0"/>
              <w:rPr>
                <w:sz w:val="18"/>
                <w:szCs w:val="18"/>
                <w:color w:val="auto"/>
              </w:rPr>
            </w:pPr>
          </w:p>
        </w:tc>
        <w:tc>
          <w:tcPr>
            <w:tcW w:w="1180" w:type="dxa"/>
            <w:vAlign w:val="bottom"/>
            <w:vMerge w:val="restart"/>
          </w:tcPr>
          <w:p>
            <w:pPr>
              <w:jc w:val="right"/>
              <w:ind w:right="220"/>
              <w:spacing w:after="0"/>
              <w:rPr>
                <w:sz w:val="20"/>
                <w:szCs w:val="20"/>
                <w:color w:val="auto"/>
              </w:rPr>
            </w:pPr>
            <w:r>
              <w:rPr>
                <w:rFonts w:ascii="Arial" w:cs="Arial" w:eastAsia="Arial" w:hAnsi="Arial"/>
                <w:sz w:val="18"/>
                <w:szCs w:val="18"/>
                <w:b w:val="1"/>
                <w:bCs w:val="1"/>
                <w:color w:val="auto"/>
              </w:rPr>
              <w:t>28.7</w:t>
            </w:r>
          </w:p>
        </w:tc>
        <w:tc>
          <w:tcPr>
            <w:tcW w:w="220" w:type="dxa"/>
            <w:vAlign w:val="bottom"/>
          </w:tcPr>
          <w:p>
            <w:pPr>
              <w:spacing w:after="0"/>
              <w:rPr>
                <w:sz w:val="18"/>
                <w:szCs w:val="18"/>
                <w:color w:val="auto"/>
              </w:rPr>
            </w:pPr>
          </w:p>
        </w:tc>
        <w:tc>
          <w:tcPr>
            <w:tcW w:w="1160" w:type="dxa"/>
            <w:vAlign w:val="bottom"/>
            <w:vMerge w:val="restart"/>
          </w:tcPr>
          <w:p>
            <w:pPr>
              <w:jc w:val="right"/>
              <w:ind w:right="181"/>
              <w:spacing w:after="0"/>
              <w:rPr>
                <w:sz w:val="20"/>
                <w:szCs w:val="20"/>
                <w:color w:val="auto"/>
              </w:rPr>
            </w:pPr>
            <w:r>
              <w:rPr>
                <w:rFonts w:ascii="Arial" w:cs="Arial" w:eastAsia="Arial" w:hAnsi="Arial"/>
                <w:sz w:val="18"/>
                <w:szCs w:val="18"/>
                <w:b w:val="1"/>
                <w:bCs w:val="1"/>
                <w:color w:val="auto"/>
              </w:rPr>
              <w:t>155.8</w:t>
            </w:r>
          </w:p>
        </w:tc>
        <w:tc>
          <w:tcPr>
            <w:tcW w:w="460" w:type="dxa"/>
            <w:vAlign w:val="bottom"/>
          </w:tcPr>
          <w:p>
            <w:pPr>
              <w:spacing w:after="0"/>
              <w:rPr>
                <w:sz w:val="18"/>
                <w:szCs w:val="18"/>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(43.3)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restart"/>
          </w:tcPr>
          <w:p>
            <w:pPr>
              <w:jc w:val="right"/>
              <w:ind w:right="176"/>
              <w:spacing w:after="0"/>
              <w:rPr>
                <w:sz w:val="20"/>
                <w:szCs w:val="20"/>
                <w:color w:val="auto"/>
              </w:rPr>
            </w:pPr>
            <w:r>
              <w:rPr>
                <w:rFonts w:ascii="Arial" w:cs="Arial" w:eastAsia="Arial" w:hAnsi="Arial"/>
                <w:sz w:val="18"/>
                <w:szCs w:val="18"/>
                <w:b w:val="1"/>
                <w:bCs w:val="1"/>
                <w:color w:val="auto"/>
              </w:rPr>
              <w:t>56.8</w:t>
            </w:r>
          </w:p>
        </w:tc>
        <w:tc>
          <w:tcPr>
            <w:tcW w:w="200" w:type="dxa"/>
            <w:vAlign w:val="bottom"/>
          </w:tcPr>
          <w:p>
            <w:pPr>
              <w:spacing w:after="0"/>
              <w:rPr>
                <w:sz w:val="18"/>
                <w:szCs w:val="18"/>
                <w:color w:val="auto"/>
              </w:rPr>
            </w:pPr>
          </w:p>
        </w:tc>
        <w:tc>
          <w:tcPr>
            <w:tcW w:w="130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24"/>
        </w:trPr>
        <w:tc>
          <w:tcPr>
            <w:tcW w:w="2960" w:type="dxa"/>
            <w:vAlign w:val="bottom"/>
          </w:tcPr>
          <w:p>
            <w:pPr>
              <w:ind w:left="180"/>
              <w:spacing w:after="0"/>
              <w:rPr>
                <w:sz w:val="20"/>
                <w:szCs w:val="20"/>
                <w:color w:val="auto"/>
              </w:rPr>
            </w:pPr>
            <w:r>
              <w:rPr>
                <w:rFonts w:ascii="Arial" w:cs="Arial" w:eastAsia="Arial" w:hAnsi="Arial"/>
                <w:sz w:val="18"/>
                <w:szCs w:val="18"/>
                <w:color w:val="auto"/>
              </w:rPr>
              <w:t>(loss)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96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(1,762.0)</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b w:val="1"/>
                <w:bCs w:val="1"/>
                <w:color w:val="auto"/>
              </w:rPr>
              <w:t>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(3,696.9)</w:t>
            </w:r>
          </w:p>
        </w:tc>
        <w:tc>
          <w:tcPr>
            <w:tcW w:w="46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(282.2)</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(5,734.5)</w:t>
            </w:r>
          </w:p>
        </w:tc>
        <w:tc>
          <w:tcPr>
            <w:tcW w:w="0" w:type="dxa"/>
            <w:vAlign w:val="bottom"/>
          </w:tcPr>
          <w:p>
            <w:pPr>
              <w:spacing w:after="0"/>
              <w:rPr>
                <w:sz w:val="1"/>
                <w:szCs w:val="1"/>
                <w:color w:val="auto"/>
              </w:rPr>
            </w:pPr>
          </w:p>
        </w:tc>
      </w:tr>
      <w:tr>
        <w:trPr>
          <w:trHeight w:val="723"/>
        </w:trPr>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3"/>
                <w:szCs w:val="13"/>
                <w:b w:val="1"/>
                <w:bCs w:val="1"/>
                <w:color w:val="auto"/>
              </w:rPr>
              <w:t>Continuing Operations</w:t>
            </w: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
              <w:spacing w:after="0" w:line="140" w:lineRule="exact"/>
              <w:rPr>
                <w:sz w:val="20"/>
                <w:szCs w:val="20"/>
                <w:color w:val="auto"/>
              </w:rPr>
            </w:pPr>
            <w:r>
              <w:rPr>
                <w:rFonts w:ascii="Arial" w:cs="Arial" w:eastAsia="Arial" w:hAnsi="Arial"/>
                <w:sz w:val="13"/>
                <w:szCs w:val="13"/>
                <w:b w:val="1"/>
                <w:bCs w:val="1"/>
                <w:color w:val="auto"/>
                <w:w w:val="96"/>
              </w:rPr>
              <w:t>Defined Benefit</w:t>
            </w: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150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w w:val="99"/>
              </w:rPr>
              <w:t>Unrealized Net Gains</w:t>
            </w:r>
          </w:p>
        </w:tc>
        <w:tc>
          <w:tcPr>
            <w:tcW w:w="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Pension and</w:t>
            </w: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20" w:type="dxa"/>
            <w:vAlign w:val="bottom"/>
          </w:tcPr>
          <w:p>
            <w:pPr>
              <w:spacing w:after="0"/>
              <w:rPr>
                <w:sz w:val="11"/>
                <w:szCs w:val="11"/>
                <w:color w:val="auto"/>
              </w:rPr>
            </w:pPr>
          </w:p>
        </w:tc>
        <w:tc>
          <w:tcPr>
            <w:tcW w:w="1180" w:type="dxa"/>
            <w:vAlign w:val="bottom"/>
          </w:tcPr>
          <w:p>
            <w:pPr>
              <w:jc w:val="right"/>
              <w:ind w:right="340"/>
              <w:spacing w:after="0" w:line="135" w:lineRule="exact"/>
              <w:rPr>
                <w:sz w:val="20"/>
                <w:szCs w:val="20"/>
                <w:color w:val="auto"/>
              </w:rPr>
            </w:pPr>
            <w:r>
              <w:rPr>
                <w:rFonts w:ascii="Arial" w:cs="Arial" w:eastAsia="Arial" w:hAnsi="Arial"/>
                <w:sz w:val="13"/>
                <w:szCs w:val="13"/>
                <w:b w:val="1"/>
                <w:bCs w:val="1"/>
                <w:color w:val="auto"/>
              </w:rPr>
              <w:t>(Losses)</w:t>
            </w:r>
          </w:p>
        </w:tc>
        <w:tc>
          <w:tcPr>
            <w:tcW w:w="220" w:type="dxa"/>
            <w:vAlign w:val="bottom"/>
          </w:tcPr>
          <w:p>
            <w:pPr>
              <w:spacing w:after="0"/>
              <w:rPr>
                <w:sz w:val="11"/>
                <w:szCs w:val="11"/>
                <w:color w:val="auto"/>
              </w:rPr>
            </w:pPr>
          </w:p>
        </w:tc>
        <w:tc>
          <w:tcPr>
            <w:tcW w:w="1160" w:type="dxa"/>
            <w:vAlign w:val="bottom"/>
          </w:tcPr>
          <w:p>
            <w:pPr>
              <w:jc w:val="center"/>
              <w:ind w:right="1"/>
              <w:spacing w:after="0" w:line="135" w:lineRule="exact"/>
              <w:rPr>
                <w:sz w:val="20"/>
                <w:szCs w:val="20"/>
                <w:color w:val="auto"/>
              </w:rPr>
            </w:pPr>
            <w:r>
              <w:rPr>
                <w:rFonts w:ascii="Arial" w:cs="Arial" w:eastAsia="Arial" w:hAnsi="Arial"/>
                <w:sz w:val="13"/>
                <w:szCs w:val="13"/>
                <w:b w:val="1"/>
                <w:bCs w:val="1"/>
                <w:color w:val="auto"/>
                <w:w w:val="96"/>
              </w:rPr>
              <w:t>Retiree Health</w:t>
            </w:r>
          </w:p>
        </w:tc>
        <w:tc>
          <w:tcPr>
            <w:tcW w:w="14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020" w:type="dxa"/>
            <w:vAlign w:val="bottom"/>
          </w:tcPr>
          <w:p>
            <w:pPr>
              <w:jc w:val="right"/>
              <w:ind w:right="116"/>
              <w:spacing w:after="0" w:line="135" w:lineRule="exact"/>
              <w:rPr>
                <w:sz w:val="20"/>
                <w:szCs w:val="20"/>
                <w:color w:val="auto"/>
              </w:rPr>
            </w:pPr>
            <w:r>
              <w:rPr>
                <w:rFonts w:ascii="Arial" w:cs="Arial" w:eastAsia="Arial" w:hAnsi="Arial"/>
                <w:sz w:val="13"/>
                <w:szCs w:val="13"/>
                <w:b w:val="1"/>
                <w:bCs w:val="1"/>
                <w:color w:val="auto"/>
                <w:w w:val="97"/>
              </w:rPr>
              <w:t>Discontinued</w:t>
            </w:r>
          </w:p>
        </w:tc>
        <w:tc>
          <w:tcPr>
            <w:tcW w:w="15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29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6"/>
              </w:rPr>
              <w:t>Gains (Losses)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on Securities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7"/>
              </w:rPr>
              <w:t>Benefit Plans</w:t>
            </w:r>
          </w:p>
        </w:tc>
        <w:tc>
          <w:tcPr>
            <w:tcW w:w="148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rPr>
              <w:t>Cash Flow Hedges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Operations</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2960" w:type="dxa"/>
            <w:vAlign w:val="bottom"/>
          </w:tcPr>
          <w:p>
            <w:pPr>
              <w:ind w:left="40"/>
              <w:spacing w:after="0"/>
              <w:rPr>
                <w:sz w:val="20"/>
                <w:szCs w:val="20"/>
                <w:color w:val="auto"/>
              </w:rPr>
            </w:pPr>
            <w:r>
              <w:rPr>
                <w:rFonts w:ascii="Arial" w:cs="Arial" w:eastAsia="Arial" w:hAnsi="Arial"/>
                <w:sz w:val="18"/>
                <w:szCs w:val="18"/>
                <w:color w:val="auto"/>
              </w:rPr>
              <w:t xml:space="preserve">Balance at January 1, 2018 </w:t>
            </w:r>
            <w:r>
              <w:rPr>
                <w:rFonts w:ascii="Arial" w:cs="Arial" w:eastAsia="Arial" w:hAnsi="Arial"/>
                <w:sz w:val="21"/>
                <w:szCs w:val="21"/>
                <w:color w:val="auto"/>
                <w:vertAlign w:val="superscript"/>
              </w:rPr>
              <w:t>(2)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8"/>
              <w:spacing w:after="0"/>
              <w:rPr>
                <w:sz w:val="20"/>
                <w:szCs w:val="20"/>
                <w:color w:val="auto"/>
              </w:rPr>
            </w:pPr>
            <w:r>
              <w:rPr>
                <w:rFonts w:ascii="Arial" w:cs="Arial" w:eastAsia="Arial" w:hAnsi="Arial"/>
                <w:sz w:val="18"/>
                <w:szCs w:val="18"/>
                <w:color w:val="auto"/>
              </w:rPr>
              <w:t>(1,191.7)</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0"/>
              <w:spacing w:after="0"/>
              <w:rPr>
                <w:sz w:val="20"/>
                <w:szCs w:val="20"/>
                <w:color w:val="auto"/>
              </w:rPr>
            </w:pPr>
            <w:r>
              <w:rPr>
                <w:rFonts w:ascii="Arial" w:cs="Arial" w:eastAsia="Arial" w:hAnsi="Arial"/>
                <w:sz w:val="18"/>
                <w:szCs w:val="18"/>
                <w:color w:val="auto"/>
              </w:rPr>
              <w:t>113.5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(4,311.3)</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(5,694.9)</w:t>
            </w:r>
          </w:p>
        </w:tc>
        <w:tc>
          <w:tcPr>
            <w:tcW w:w="0" w:type="dxa"/>
            <w:vAlign w:val="bottom"/>
          </w:tcPr>
          <w:p>
            <w:pPr>
              <w:spacing w:after="0"/>
              <w:rPr>
                <w:sz w:val="1"/>
                <w:szCs w:val="1"/>
                <w:color w:val="auto"/>
              </w:rPr>
            </w:pPr>
          </w:p>
        </w:tc>
      </w:tr>
      <w:tr>
        <w:trPr>
          <w:trHeight w:val="162"/>
        </w:trPr>
        <w:tc>
          <w:tcPr>
            <w:tcW w:w="29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960" w:type="dxa"/>
            <w:vAlign w:val="bottom"/>
          </w:tcPr>
          <w:p>
            <w:pPr>
              <w:ind w:left="180"/>
              <w:spacing w:after="0"/>
              <w:rPr>
                <w:sz w:val="20"/>
                <w:szCs w:val="20"/>
                <w:color w:val="auto"/>
              </w:rPr>
            </w:pPr>
            <w:r>
              <w:rPr>
                <w:rFonts w:ascii="Arial" w:cs="Arial" w:eastAsia="Arial" w:hAnsi="Arial"/>
                <w:sz w:val="18"/>
                <w:szCs w:val="18"/>
                <w:color w:val="auto"/>
              </w:rPr>
              <w:t>Reclassification due to adoption of</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60" w:type="dxa"/>
            <w:vAlign w:val="bottom"/>
          </w:tcPr>
          <w:p>
            <w:pPr>
              <w:ind w:left="180"/>
              <w:spacing w:after="0" w:line="233" w:lineRule="exact"/>
              <w:rPr>
                <w:sz w:val="20"/>
                <w:szCs w:val="20"/>
                <w:color w:val="auto"/>
              </w:rPr>
            </w:pPr>
            <w:r>
              <w:rPr>
                <w:rFonts w:ascii="Arial" w:cs="Arial" w:eastAsia="Arial" w:hAnsi="Arial"/>
                <w:sz w:val="18"/>
                <w:szCs w:val="18"/>
                <w:color w:val="auto"/>
              </w:rPr>
              <w:t xml:space="preserve">new accounting standard </w:t>
            </w:r>
            <w:r>
              <w:rPr>
                <w:rFonts w:ascii="Arial" w:cs="Arial" w:eastAsia="Arial" w:hAnsi="Arial"/>
                <w:sz w:val="21"/>
                <w:szCs w:val="21"/>
                <w:color w:val="auto"/>
                <w:vertAlign w:val="superscript"/>
              </w:rPr>
              <w:t>(3)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80" w:type="dxa"/>
            <w:vAlign w:val="bottom"/>
          </w:tcPr>
          <w:p>
            <w:pPr>
              <w:jc w:val="right"/>
              <w:ind w:right="100"/>
              <w:spacing w:after="0"/>
              <w:rPr>
                <w:sz w:val="20"/>
                <w:szCs w:val="20"/>
                <w:color w:val="auto"/>
              </w:rPr>
            </w:pPr>
            <w:r>
              <w:rPr>
                <w:rFonts w:ascii="Arial" w:cs="Arial" w:eastAsia="Arial" w:hAnsi="Arial"/>
                <w:sz w:val="18"/>
                <w:szCs w:val="18"/>
                <w:color w:val="auto"/>
              </w:rPr>
              <w:t>(128.9)</w:t>
            </w:r>
          </w:p>
        </w:tc>
        <w:tc>
          <w:tcPr>
            <w:tcW w:w="220" w:type="dxa"/>
            <w:vAlign w:val="bottom"/>
          </w:tcPr>
          <w:p>
            <w:pPr>
              <w:spacing w:after="0"/>
              <w:rPr>
                <w:sz w:val="20"/>
                <w:szCs w:val="20"/>
                <w:color w:val="auto"/>
              </w:rPr>
            </w:pPr>
          </w:p>
        </w:tc>
        <w:tc>
          <w:tcPr>
            <w:tcW w:w="1160" w:type="dxa"/>
            <w:vAlign w:val="bottom"/>
          </w:tcPr>
          <w:p>
            <w:pPr>
              <w:jc w:val="right"/>
              <w:ind w:right="10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reclassifications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567.6</w:t>
            </w:r>
          </w:p>
        </w:tc>
        <w:tc>
          <w:tcPr>
            <w:tcW w:w="4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Arial" w:cs="Arial" w:eastAsia="Arial" w:hAnsi="Arial"/>
                <w:sz w:val="18"/>
                <w:szCs w:val="18"/>
                <w:color w:val="auto"/>
              </w:rPr>
              <w:t>Net amount reclassified from</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60" w:type="dxa"/>
            <w:vAlign w:val="bottom"/>
          </w:tcPr>
          <w:p>
            <w:pPr>
              <w:ind w:left="180"/>
              <w:spacing w:after="0" w:line="202" w:lineRule="exact"/>
              <w:rPr>
                <w:sz w:val="20"/>
                <w:szCs w:val="20"/>
                <w:color w:val="auto"/>
              </w:rPr>
            </w:pPr>
            <w:r>
              <w:rPr>
                <w:rFonts w:ascii="Arial" w:cs="Arial" w:eastAsia="Arial" w:hAnsi="Arial"/>
                <w:sz w:val="18"/>
                <w:szCs w:val="18"/>
                <w:color w:val="auto"/>
              </w:rPr>
              <w:t>accumulated other comprehensive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color w:val="auto"/>
              </w:rPr>
              <w:t>164.7</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5"/>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(392.9)</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732.3</w:t>
            </w: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r>
              <w:rPr>
                <w:rFonts w:ascii="Arial" w:cs="Arial" w:eastAsia="Arial" w:hAnsi="Arial"/>
                <w:sz w:val="21"/>
                <w:szCs w:val="21"/>
                <w:color w:val="auto"/>
                <w:vertAlign w:val="superscript"/>
              </w:rPr>
              <w:t>(4)</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(1,584.6)</w:t>
            </w:r>
          </w:p>
        </w:tc>
        <w:tc>
          <w:tcPr>
            <w:tcW w:w="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(3,579.0)</w:t>
            </w: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(5,448.5)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80" w:hanging="172"/>
        <w:spacing w:after="0" w:line="231"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2019 consists of $5.73 billion of accumulated other comprehensive loss attributable to controlling interest and $11.0 million of accumulated other comprehensive loss attributable to noncontrolling interest.</w:t>
      </w:r>
    </w:p>
    <w:p>
      <w:pPr>
        <w:spacing w:after="0" w:line="152" w:lineRule="exact"/>
        <w:rPr>
          <w:rFonts w:ascii="Arial" w:cs="Arial" w:eastAsia="Arial" w:hAnsi="Arial"/>
          <w:sz w:val="21"/>
          <w:szCs w:val="21"/>
          <w:color w:val="auto"/>
          <w:vertAlign w:val="superscript"/>
        </w:rPr>
      </w:pPr>
    </w:p>
    <w:p>
      <w:pPr>
        <w:ind w:left="180" w:hanging="172"/>
        <w:spacing w:after="0" w:line="231" w:lineRule="auto"/>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2018 consists of $5.72 billion of accumulated other comprehensive loss attributable to controlling interest and $23.7 million of accumulated other comprehensive income attributable to noncontrolling interest.</w:t>
      </w:r>
    </w:p>
    <w:p>
      <w:pPr>
        <w:spacing w:after="0" w:line="152" w:lineRule="exact"/>
        <w:rPr>
          <w:rFonts w:ascii="Arial" w:cs="Arial" w:eastAsia="Arial" w:hAnsi="Arial"/>
          <w:sz w:val="21"/>
          <w:szCs w:val="21"/>
          <w:color w:val="auto"/>
          <w:vertAlign w:val="superscript"/>
        </w:rPr>
      </w:pPr>
    </w:p>
    <w:p>
      <w:pPr>
        <w:ind w:left="180" w:hanging="172"/>
        <w:spacing w:after="0" w:line="272" w:lineRule="auto"/>
        <w:tabs>
          <w:tab w:leader="none" w:pos="175" w:val="left"/>
        </w:tabs>
        <w:numPr>
          <w:ilvl w:val="0"/>
          <w:numId w:val="15"/>
        </w:numPr>
        <w:rPr>
          <w:rFonts w:ascii="Arial" w:cs="Arial" w:eastAsia="Arial" w:hAnsi="Arial"/>
          <w:sz w:val="19"/>
          <w:szCs w:val="19"/>
          <w:color w:val="auto"/>
          <w:vertAlign w:val="superscript"/>
        </w:rPr>
      </w:pPr>
      <w:r>
        <w:rPr>
          <w:rFonts w:ascii="Arial" w:cs="Arial" w:eastAsia="Arial" w:hAnsi="Arial"/>
          <w:sz w:val="13"/>
          <w:szCs w:val="13"/>
          <w:color w:val="auto"/>
        </w:rPr>
        <w:t>This reclassification consists of $105.2 million of accumulated other comprehensive loss attributable to controlling interest and $23.7 million of accumulated other comprehensive loss attributable to noncontrolling interest.</w:t>
      </w:r>
    </w:p>
    <w:p>
      <w:pPr>
        <w:spacing w:after="0" w:line="123" w:lineRule="exact"/>
        <w:rPr>
          <w:rFonts w:ascii="Arial" w:cs="Arial" w:eastAsia="Arial" w:hAnsi="Arial"/>
          <w:sz w:val="19"/>
          <w:szCs w:val="19"/>
          <w:color w:val="auto"/>
          <w:vertAlign w:val="superscript"/>
        </w:rPr>
      </w:pPr>
    </w:p>
    <w:p>
      <w:pPr>
        <w:ind w:left="180" w:hanging="172"/>
        <w:spacing w:after="0" w:line="225" w:lineRule="auto"/>
        <w:tabs>
          <w:tab w:leader="none" w:pos="193"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Accumulated other comprehensive loss as of September 30, 2018 consists of $5.44 billion of accumulated other comprehensive loss attributable to controlling interest and $9.0 million of accumulated other comprehensive loss attributable noncontrolling interest.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2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38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(5.1)</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(17.1)</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63"/>
        </w:trPr>
        <w:tc>
          <w:tcPr>
            <w:tcW w:w="614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260" w:type="dxa"/>
            <w:vAlign w:val="bottom"/>
          </w:tcPr>
          <w:p>
            <w:pPr>
              <w:spacing w:after="0"/>
              <w:rPr>
                <w:sz w:val="22"/>
                <w:szCs w:val="22"/>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b w:val="1"/>
                <w:bCs w:val="1"/>
                <w:color w:val="auto"/>
              </w:rPr>
              <w:t>(0.5)</w:t>
            </w:r>
          </w:p>
        </w:tc>
        <w:tc>
          <w:tcPr>
            <w:tcW w:w="440" w:type="dxa"/>
            <w:vAlign w:val="bottom"/>
          </w:tcPr>
          <w:p>
            <w:pPr>
              <w:spacing w:after="0"/>
              <w:rPr>
                <w:sz w:val="22"/>
                <w:szCs w:val="22"/>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22"/>
                <w:szCs w:val="22"/>
                <w:color w:val="auto"/>
              </w:rPr>
            </w:pPr>
          </w:p>
        </w:tc>
        <w:tc>
          <w:tcPr>
            <w:tcW w:w="880" w:type="dxa"/>
            <w:vAlign w:val="bottom"/>
          </w:tcPr>
          <w:p>
            <w:pPr>
              <w:jc w:val="right"/>
              <w:ind w:right="117"/>
              <w:spacing w:after="0"/>
              <w:rPr>
                <w:sz w:val="20"/>
                <w:szCs w:val="20"/>
                <w:color w:val="auto"/>
              </w:rPr>
            </w:pPr>
            <w:r>
              <w:rPr>
                <w:rFonts w:ascii="Arial" w:cs="Arial" w:eastAsia="Arial" w:hAnsi="Arial"/>
                <w:sz w:val="18"/>
                <w:szCs w:val="18"/>
                <w:b w:val="1"/>
                <w:bCs w:val="1"/>
                <w:color w:val="auto"/>
              </w:rPr>
              <w:t>(7.4)</w:t>
            </w:r>
          </w:p>
        </w:tc>
        <w:tc>
          <w:tcPr>
            <w:tcW w:w="480" w:type="dxa"/>
            <w:vAlign w:val="bottom"/>
          </w:tcPr>
          <w:p>
            <w:pPr>
              <w:spacing w:after="0"/>
              <w:rPr>
                <w:sz w:val="22"/>
                <w:szCs w:val="22"/>
                <w:color w:val="auto"/>
              </w:rPr>
            </w:pPr>
          </w:p>
        </w:tc>
        <w:tc>
          <w:tcPr>
            <w:tcW w:w="1020" w:type="dxa"/>
            <w:vAlign w:val="bottom"/>
          </w:tcPr>
          <w:p>
            <w:pPr>
              <w:jc w:val="right"/>
              <w:ind w:right="13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7"/>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(17.4)</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(152.4)</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(42.2)</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2.7</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(0.8)</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b w:val="1"/>
                <w:bCs w:val="1"/>
                <w:color w:val="auto"/>
              </w:rPr>
              <w:t>11.4</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Benefit/(provision) for income taxes allocated to other comprehensive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(20.3)</w:t>
            </w:r>
          </w:p>
        </w:tc>
        <w:tc>
          <w:tcPr>
            <w:tcW w:w="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(146.4)</w:t>
            </w:r>
          </w:p>
        </w:tc>
        <w:tc>
          <w:tcPr>
            <w:tcW w:w="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(55.3)</w:t>
            </w:r>
          </w:p>
        </w:tc>
        <w:tc>
          <w:tcPr>
            <w:tcW w:w="4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2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items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92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Details about Accumulated Other Comprehensive Loss</w:t>
            </w:r>
          </w:p>
        </w:tc>
        <w:tc>
          <w:tcPr>
            <w:tcW w:w="200" w:type="dxa"/>
            <w:vAlign w:val="bottom"/>
          </w:tcPr>
          <w:p>
            <w:pPr>
              <w:spacing w:after="0"/>
              <w:rPr>
                <w:sz w:val="16"/>
                <w:szCs w:val="16"/>
                <w:color w:val="auto"/>
              </w:rPr>
            </w:pPr>
          </w:p>
        </w:tc>
        <w:tc>
          <w:tcPr>
            <w:tcW w:w="180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92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3220" w:type="dxa"/>
            <w:vAlign w:val="bottom"/>
            <w:gridSpan w:val="5"/>
            <w:vMerge w:val="restart"/>
          </w:tcPr>
          <w:p>
            <w:pPr>
              <w:jc w:val="right"/>
              <w:ind w:right="313"/>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3960" w:type="dxa"/>
            <w:vAlign w:val="bottom"/>
            <w:vMerge w:val="continue"/>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2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9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5"/>
                <w:szCs w:val="5"/>
                <w:color w:val="auto"/>
              </w:rPr>
            </w:pPr>
          </w:p>
        </w:tc>
        <w:tc>
          <w:tcPr>
            <w:tcW w:w="7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5"/>
                <w:szCs w:val="5"/>
                <w:color w:val="auto"/>
              </w:rPr>
            </w:pPr>
          </w:p>
        </w:tc>
        <w:tc>
          <w:tcPr>
            <w:tcW w:w="7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6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Components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jc w:val="right"/>
              <w:ind w:right="333"/>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retirement benefit items:</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Prior service benefits, net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b w:val="1"/>
                <w:bCs w:val="1"/>
                <w:color w:val="auto"/>
              </w:rPr>
              <w:t>(14.2)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5"/>
              <w:spacing w:after="0"/>
              <w:rPr>
                <w:sz w:val="20"/>
                <w:szCs w:val="20"/>
                <w:color w:val="auto"/>
              </w:rPr>
            </w:pPr>
            <w:r>
              <w:rPr>
                <w:rFonts w:ascii="Arial" w:cs="Arial" w:eastAsia="Arial" w:hAnsi="Arial"/>
                <w:sz w:val="18"/>
                <w:szCs w:val="18"/>
                <w:b w:val="1"/>
                <w:bCs w:val="1"/>
                <w:color w:val="auto"/>
              </w:rPr>
              <w:t>(42.7)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22"/>
                <w:szCs w:val="22"/>
                <w:color w:val="auto"/>
              </w:rPr>
            </w:pPr>
          </w:p>
        </w:tc>
        <w:tc>
          <w:tcPr>
            <w:tcW w:w="2420" w:type="dxa"/>
            <w:vAlign w:val="bottom"/>
            <w:gridSpan w:val="4"/>
          </w:tcPr>
          <w:p>
            <w:pPr>
              <w:spacing w:after="0"/>
              <w:rPr>
                <w:sz w:val="20"/>
                <w:szCs w:val="20"/>
                <w:color w:val="auto"/>
              </w:rPr>
            </w:pPr>
            <w:r>
              <w:rPr>
                <w:rFonts w:ascii="Arial" w:cs="Arial" w:eastAsia="Arial" w:hAnsi="Arial"/>
                <w:sz w:val="18"/>
                <w:szCs w:val="18"/>
                <w:color w:val="auto"/>
              </w:rPr>
              <w:t>Other–net, (income) expense</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losses, net</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71.3</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79.5</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214.9</w:t>
            </w:r>
          </w:p>
        </w:tc>
        <w:tc>
          <w:tcPr>
            <w:tcW w:w="2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265.2</w:t>
            </w:r>
          </w:p>
        </w:tc>
        <w:tc>
          <w:tcPr>
            <w:tcW w:w="180" w:type="dxa"/>
            <w:vAlign w:val="bottom"/>
            <w:shd w:val="clear" w:color="auto" w:fill="CCEEFF"/>
          </w:tcPr>
          <w:p>
            <w:pPr>
              <w:spacing w:after="0"/>
              <w:rPr>
                <w:sz w:val="23"/>
                <w:szCs w:val="23"/>
                <w:color w:val="auto"/>
              </w:rPr>
            </w:pPr>
          </w:p>
        </w:tc>
        <w:tc>
          <w:tcPr>
            <w:tcW w:w="2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Other–net, (income) expense</w:t>
            </w: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960" w:type="dxa"/>
            <w:vAlign w:val="bottom"/>
          </w:tcPr>
          <w:p>
            <w:pPr>
              <w:jc w:val="right"/>
              <w:ind w:right="53"/>
              <w:spacing w:after="0"/>
              <w:rPr>
                <w:sz w:val="20"/>
                <w:szCs w:val="20"/>
                <w:color w:val="auto"/>
              </w:rPr>
            </w:pPr>
            <w:r>
              <w:rPr>
                <w:rFonts w:ascii="Arial" w:cs="Arial" w:eastAsia="Arial" w:hAnsi="Arial"/>
                <w:sz w:val="18"/>
                <w:szCs w:val="18"/>
                <w:color w:val="auto"/>
              </w:rPr>
              <w:t>Total before tax</w:t>
            </w:r>
          </w:p>
        </w:tc>
        <w:tc>
          <w:tcPr>
            <w:tcW w:w="200" w:type="dxa"/>
            <w:vAlign w:val="bottom"/>
          </w:tcPr>
          <w:p>
            <w:pPr>
              <w:spacing w:after="0"/>
              <w:rPr>
                <w:sz w:val="22"/>
                <w:szCs w:val="22"/>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b w:val="1"/>
                <w:bCs w:val="1"/>
                <w:color w:val="auto"/>
              </w:rPr>
              <w:t>57.1</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22"/>
                <w:szCs w:val="22"/>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b w:val="1"/>
                <w:bCs w:val="1"/>
                <w:color w:val="auto"/>
              </w:rPr>
              <w:t>172.2</w:t>
            </w:r>
          </w:p>
        </w:tc>
        <w:tc>
          <w:tcPr>
            <w:tcW w:w="2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208.5</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Tax benefit</w:t>
            </w: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(12.0)</w:t>
            </w: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(35.4)</w:t>
            </w:r>
          </w:p>
        </w:tc>
        <w:tc>
          <w:tcPr>
            <w:tcW w:w="2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80" w:type="dxa"/>
            <w:vAlign w:val="bottom"/>
            <w:shd w:val="clear" w:color="auto" w:fill="CCEEFF"/>
          </w:tcPr>
          <w:p>
            <w:pPr>
              <w:spacing w:after="0"/>
              <w:rPr>
                <w:sz w:val="23"/>
                <w:szCs w:val="23"/>
                <w:color w:val="auto"/>
              </w:rPr>
            </w:pPr>
          </w:p>
        </w:tc>
        <w:tc>
          <w:tcPr>
            <w:tcW w:w="1880" w:type="dxa"/>
            <w:vAlign w:val="bottom"/>
            <w:gridSpan w:val="3"/>
            <w:shd w:val="clear" w:color="auto" w:fill="CCEEFF"/>
          </w:tcPr>
          <w:p>
            <w:pPr>
              <w:jc w:val="right"/>
              <w:ind w:right="637"/>
              <w:spacing w:after="0"/>
              <w:rPr>
                <w:sz w:val="20"/>
                <w:szCs w:val="20"/>
                <w:color w:val="auto"/>
              </w:rPr>
            </w:pPr>
            <w:r>
              <w:rPr>
                <w:rFonts w:ascii="Arial" w:cs="Arial" w:eastAsia="Arial" w:hAnsi="Arial"/>
                <w:sz w:val="18"/>
                <w:szCs w:val="18"/>
                <w:color w:val="auto"/>
              </w:rPr>
              <w:t>Income taxes</w:t>
            </w:r>
          </w:p>
        </w:tc>
        <w:tc>
          <w:tcPr>
            <w:tcW w:w="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3960" w:type="dxa"/>
            <w:vAlign w:val="bottom"/>
          </w:tcPr>
          <w:p>
            <w:pPr>
              <w:jc w:val="right"/>
              <w:ind w:right="53"/>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2"/>
                <w:szCs w:val="22"/>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b w:val="1"/>
                <w:bCs w:val="1"/>
                <w:color w:val="auto"/>
              </w:rPr>
              <w:t>45.1</w:t>
            </w:r>
          </w:p>
        </w:tc>
        <w:tc>
          <w:tcPr>
            <w:tcW w:w="280" w:type="dxa"/>
            <w:vAlign w:val="bottom"/>
          </w:tcPr>
          <w:p>
            <w:pPr>
              <w:spacing w:after="0"/>
              <w:rPr>
                <w:sz w:val="22"/>
                <w:szCs w:val="22"/>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22"/>
                <w:szCs w:val="22"/>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b w:val="1"/>
                <w:bCs w:val="1"/>
                <w:color w:val="auto"/>
              </w:rPr>
              <w:t>136.8</w:t>
            </w:r>
          </w:p>
        </w:tc>
        <w:tc>
          <w:tcPr>
            <w:tcW w:w="28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60" w:type="dxa"/>
            <w:vAlign w:val="bottom"/>
          </w:tcPr>
          <w:p>
            <w:pPr>
              <w:spacing w:after="0"/>
              <w:rPr>
                <w:sz w:val="24"/>
                <w:szCs w:val="24"/>
                <w:color w:val="auto"/>
              </w:rPr>
            </w:pPr>
          </w:p>
        </w:tc>
        <w:tc>
          <w:tcPr>
            <w:tcW w:w="3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20" w:type="dxa"/>
            <w:vAlign w:val="bottom"/>
            <w:gridSpan w:val="4"/>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 of tax</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2.8</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10.4</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Borders>
              <w:bottom w:val="single" w:sz="8" w:color="CCEEFF"/>
            </w:tcBorders>
          </w:tcPr>
          <w:p>
            <w:pPr>
              <w:spacing w:after="0"/>
              <w:rPr>
                <w:sz w:val="22"/>
                <w:szCs w:val="22"/>
                <w:color w:val="auto"/>
              </w:rPr>
            </w:pPr>
          </w:p>
        </w:tc>
        <w:tc>
          <w:tcPr>
            <w:tcW w:w="24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Other–net, (income) expense</w:t>
            </w:r>
          </w:p>
        </w:tc>
        <w:tc>
          <w:tcPr>
            <w:tcW w:w="8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from continuing operations</w:t>
            </w:r>
          </w:p>
        </w:tc>
        <w:tc>
          <w:tcPr>
            <w:tcW w:w="20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47.9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147.2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140.6</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Reclassifications from discontinued operations</w:t>
            </w:r>
          </w:p>
        </w:tc>
        <w:tc>
          <w:tcPr>
            <w:tcW w:w="200" w:type="dxa"/>
            <w:vAlign w:val="bottom"/>
          </w:tcPr>
          <w:p>
            <w:pPr>
              <w:spacing w:after="0"/>
              <w:rPr>
                <w:sz w:val="19"/>
                <w:szCs w:val="19"/>
                <w:color w:val="auto"/>
              </w:rPr>
            </w:pPr>
          </w:p>
        </w:tc>
        <w:tc>
          <w:tcPr>
            <w:tcW w:w="76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restart"/>
          </w:tcPr>
          <w:p>
            <w:pPr>
              <w:jc w:val="right"/>
              <w:ind w:right="75"/>
              <w:spacing w:after="0"/>
              <w:rPr>
                <w:sz w:val="20"/>
                <w:szCs w:val="20"/>
                <w:color w:val="auto"/>
              </w:rPr>
            </w:pPr>
            <w:r>
              <w:rPr>
                <w:rFonts w:ascii="Arial" w:cs="Arial" w:eastAsia="Arial" w:hAnsi="Arial"/>
                <w:sz w:val="18"/>
                <w:szCs w:val="18"/>
                <w:b w:val="1"/>
                <w:bCs w:val="1"/>
                <w:color w:val="auto"/>
              </w:rPr>
              <w:t>84.0</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4100" w:type="dxa"/>
            <w:vAlign w:val="bottom"/>
            <w:gridSpan w:val="7"/>
          </w:tcPr>
          <w:p>
            <w:pPr>
              <w:jc w:val="right"/>
              <w:ind w:right="13"/>
              <w:spacing w:after="0"/>
              <w:rPr>
                <w:sz w:val="20"/>
                <w:szCs w:val="20"/>
                <w:color w:val="auto"/>
              </w:rPr>
            </w:pPr>
            <w:r>
              <w:rPr>
                <w:rFonts w:ascii="Arial" w:cs="Arial" w:eastAsia="Arial" w:hAnsi="Arial"/>
                <w:sz w:val="18"/>
                <w:szCs w:val="18"/>
                <w:color w:val="auto"/>
              </w:rPr>
              <w:t>0.2  Net income from discontinued operations</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47.9</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49.9</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231.2</w:t>
            </w:r>
          </w:p>
        </w:tc>
        <w:tc>
          <w:tcPr>
            <w:tcW w:w="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140.8</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CCEEFF"/>
              <w:bottom w:val="single" w:sz="8" w:color="CCEEFF"/>
            </w:tcBorders>
            <w:shd w:val="clear" w:color="auto" w:fill="CCEEFF"/>
          </w:tcPr>
          <w:p>
            <w:pPr>
              <w:spacing w:after="0"/>
              <w:rPr>
                <w:sz w:val="24"/>
                <w:szCs w:val="24"/>
                <w:color w:val="auto"/>
              </w:rPr>
            </w:pPr>
          </w:p>
        </w:tc>
        <w:tc>
          <w:tcPr>
            <w:tcW w:w="1000" w:type="dxa"/>
            <w:vAlign w:val="bottom"/>
            <w:tcBorders>
              <w:top w:val="single" w:sz="8" w:color="CCEEFF"/>
              <w:bottom w:val="single" w:sz="8" w:color="CCEEFF"/>
            </w:tcBorders>
            <w:shd w:val="clear" w:color="auto" w:fill="CCEEFF"/>
          </w:tcPr>
          <w:p>
            <w:pPr>
              <w:spacing w:after="0"/>
              <w:rPr>
                <w:sz w:val="24"/>
                <w:szCs w:val="24"/>
                <w:color w:val="auto"/>
              </w:rPr>
            </w:pPr>
          </w:p>
        </w:tc>
        <w:tc>
          <w:tcPr>
            <w:tcW w:w="54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Note 13: Other–Net, (Income) Expense</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gridSpan w:val="4"/>
          </w:tcPr>
          <w:p>
            <w:pPr>
              <w:spacing w:after="0"/>
              <w:rPr>
                <w:sz w:val="20"/>
                <w:szCs w:val="20"/>
                <w:color w:val="auto"/>
              </w:rPr>
            </w:pPr>
            <w:r>
              <w:rPr>
                <w:rFonts w:ascii="Arial" w:cs="Arial" w:eastAsia="Arial" w:hAnsi="Arial"/>
                <w:sz w:val="18"/>
                <w:szCs w:val="18"/>
                <w:color w:val="auto"/>
              </w:rPr>
              <w:t>Other–net, (income) expense consisted of the following:</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4"/>
          </w:tcPr>
          <w:p>
            <w:pPr>
              <w:jc w:val="center"/>
              <w:ind w:left="135"/>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center"/>
              <w:ind w:left="135"/>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107.4</w:t>
            </w:r>
          </w:p>
        </w:tc>
        <w:tc>
          <w:tcPr>
            <w:tcW w:w="7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6"/>
              </w:rPr>
              <w:t>60.8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304.7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6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(67.2)</w:t>
            </w:r>
          </w:p>
        </w:tc>
        <w:tc>
          <w:tcPr>
            <w:tcW w:w="5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77"/>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Retirement benefit plans</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(157.9)</w:t>
            </w: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(13.0)</w:t>
            </w:r>
          </w:p>
        </w:tc>
        <w:tc>
          <w:tcPr>
            <w:tcW w:w="7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6"/>
              </w:rPr>
              <w:t>35.7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Other–net, (income) expense</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24.9</w:t>
            </w:r>
          </w:p>
        </w:tc>
        <w:tc>
          <w:tcPr>
            <w:tcW w:w="7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706"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right="2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of this Quarterly Report on Form 10-Q and Item 1A, “Risk Factors,” of Part I of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may cause our actual results, financial position, and cash generated from operations to differ materially from these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4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791"/>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5,476.6</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5,306.9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16,205.5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15,855.7</w:t>
            </w:r>
          </w:p>
        </w:tc>
        <w:tc>
          <w:tcPr>
            <w:tcW w:w="9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4,301.6</w:t>
            </w:r>
          </w:p>
        </w:tc>
        <w:tc>
          <w:tcPr>
            <w:tcW w:w="54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4,154.0</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00" w:type="dxa"/>
            <w:vAlign w:val="bottom"/>
          </w:tcPr>
          <w:p>
            <w:pPr>
              <w:spacing w:after="0"/>
              <w:rPr>
                <w:sz w:val="22"/>
                <w:szCs w:val="22"/>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b w:val="1"/>
                <w:bCs w:val="1"/>
                <w:color w:val="auto"/>
              </w:rPr>
              <w:t>12,766.9</w:t>
            </w:r>
          </w:p>
        </w:tc>
        <w:tc>
          <w:tcPr>
            <w:tcW w:w="340" w:type="dxa"/>
            <w:vAlign w:val="bottom"/>
          </w:tcPr>
          <w:p>
            <w:pPr>
              <w:spacing w:after="0"/>
              <w:rPr>
                <w:sz w:val="22"/>
                <w:szCs w:val="22"/>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12,303.9</w:t>
            </w:r>
          </w:p>
        </w:tc>
        <w:tc>
          <w:tcPr>
            <w:tcW w:w="900" w:type="dxa"/>
            <w:vAlign w:val="bottom"/>
          </w:tcPr>
          <w:p>
            <w:pPr>
              <w:jc w:val="center"/>
              <w:ind w:left="33"/>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78.5%</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2,793.2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2,738.1</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54"/>
              <w:spacing w:after="0"/>
              <w:rPr>
                <w:sz w:val="20"/>
                <w:szCs w:val="20"/>
                <w:color w:val="auto"/>
              </w:rPr>
            </w:pPr>
            <w:r>
              <w:rPr>
                <w:rFonts w:ascii="Arial" w:cs="Arial" w:eastAsia="Arial" w:hAnsi="Arial"/>
                <w:sz w:val="18"/>
                <w:szCs w:val="18"/>
                <w:b w:val="1"/>
                <w:bCs w:val="1"/>
                <w:color w:val="auto"/>
              </w:rPr>
              <w:t>8,529.3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7,940.9</w:t>
            </w:r>
          </w:p>
        </w:tc>
        <w:tc>
          <w:tcPr>
            <w:tcW w:w="900" w:type="dxa"/>
            <w:vAlign w:val="bottom"/>
          </w:tcPr>
          <w:p>
            <w:pPr>
              <w:jc w:val="center"/>
              <w:ind w:left="33"/>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77.7</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239.6</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(IPR&amp;D)</w:t>
            </w:r>
          </w:p>
        </w:tc>
        <w:tc>
          <w:tcPr>
            <w:tcW w:w="3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1,654.5</w:t>
            </w:r>
          </w:p>
        </w:tc>
        <w:tc>
          <w:tcPr>
            <w:tcW w:w="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(86)</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w:t>
            </w:r>
          </w:p>
        </w:tc>
        <w:tc>
          <w:tcPr>
            <w:tcW w:w="300" w:type="dxa"/>
            <w:vAlign w:val="bottom"/>
          </w:tcPr>
          <w:p>
            <w:pPr>
              <w:spacing w:after="0"/>
              <w:rPr>
                <w:sz w:val="19"/>
                <w:szCs w:val="19"/>
                <w:color w:val="auto"/>
              </w:rPr>
            </w:pPr>
          </w:p>
        </w:tc>
        <w:tc>
          <w:tcPr>
            <w:tcW w:w="106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8"/>
                <w:szCs w:val="18"/>
                <w:b w:val="1"/>
                <w:bCs w:val="1"/>
                <w:color w:val="auto"/>
              </w:rPr>
              <w:t>423.9</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special charges</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42.9</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74.2</w:t>
            </w:r>
          </w:p>
        </w:tc>
        <w:tc>
          <w:tcPr>
            <w:tcW w:w="90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1,253.9</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1,093.6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3,142.2</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2,029.2</w:t>
            </w:r>
          </w:p>
        </w:tc>
        <w:tc>
          <w:tcPr>
            <w:tcW w:w="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0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55.9</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tcPr>
          <w:p>
            <w:pPr>
              <w:spacing w:after="0"/>
              <w:rPr>
                <w:sz w:val="22"/>
                <w:szCs w:val="22"/>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b w:val="1"/>
                <w:bCs w:val="1"/>
                <w:color w:val="auto"/>
              </w:rPr>
              <w:t>3,680.5</w:t>
            </w:r>
          </w:p>
        </w:tc>
        <w:tc>
          <w:tcPr>
            <w:tcW w:w="340" w:type="dxa"/>
            <w:vAlign w:val="bottom"/>
          </w:tcPr>
          <w:p>
            <w:pPr>
              <w:spacing w:after="0"/>
              <w:rPr>
                <w:sz w:val="22"/>
                <w:szCs w:val="22"/>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77.8</w:t>
            </w:r>
          </w:p>
        </w:tc>
        <w:tc>
          <w:tcPr>
            <w:tcW w:w="90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1,253.9</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1,149.5</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6,822.7</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2,107.0</w:t>
            </w:r>
          </w:p>
        </w:tc>
        <w:tc>
          <w:tcPr>
            <w:tcW w:w="9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EPS from continuing operations</w:t>
            </w:r>
          </w:p>
        </w:tc>
        <w:tc>
          <w:tcPr>
            <w:tcW w:w="30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1.37</w:t>
            </w:r>
          </w:p>
        </w:tc>
        <w:tc>
          <w:tcPr>
            <w:tcW w:w="54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1.07</w:t>
            </w: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b w:val="1"/>
                <w:bCs w:val="1"/>
                <w:color w:val="auto"/>
              </w:rPr>
              <w:t>3.33</w:t>
            </w:r>
          </w:p>
        </w:tc>
        <w:tc>
          <w:tcPr>
            <w:tcW w:w="340" w:type="dxa"/>
            <w:vAlign w:val="bottom"/>
          </w:tcPr>
          <w:p>
            <w:pPr>
              <w:spacing w:after="0"/>
              <w:rPr>
                <w:sz w:val="22"/>
                <w:szCs w:val="22"/>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1.96</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EPS from discontinued operations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0.05</w:t>
            </w:r>
          </w:p>
        </w:tc>
        <w:tc>
          <w:tcPr>
            <w:tcW w:w="10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3.91</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0.07</w:t>
            </w: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EPS</w:t>
            </w:r>
          </w:p>
        </w:tc>
        <w:tc>
          <w:tcPr>
            <w:tcW w:w="300" w:type="dxa"/>
            <w:vAlign w:val="bottom"/>
          </w:tcPr>
          <w:p>
            <w:pPr>
              <w:spacing w:after="0"/>
              <w:rPr>
                <w:sz w:val="22"/>
                <w:szCs w:val="22"/>
                <w:color w:val="auto"/>
              </w:rPr>
            </w:pPr>
          </w:p>
        </w:tc>
        <w:tc>
          <w:tcPr>
            <w:tcW w:w="1060" w:type="dxa"/>
            <w:vAlign w:val="bottom"/>
          </w:tcPr>
          <w:p>
            <w:pPr>
              <w:jc w:val="right"/>
              <w:ind w:right="154"/>
              <w:spacing w:after="0"/>
              <w:rPr>
                <w:sz w:val="20"/>
                <w:szCs w:val="20"/>
                <w:color w:val="auto"/>
              </w:rPr>
            </w:pPr>
            <w:r>
              <w:rPr>
                <w:rFonts w:ascii="Arial" w:cs="Arial" w:eastAsia="Arial" w:hAnsi="Arial"/>
                <w:sz w:val="18"/>
                <w:szCs w:val="18"/>
                <w:b w:val="1"/>
                <w:bCs w:val="1"/>
                <w:color w:val="auto"/>
              </w:rPr>
              <w:t>1.37</w:t>
            </w:r>
          </w:p>
        </w:tc>
        <w:tc>
          <w:tcPr>
            <w:tcW w:w="540" w:type="dxa"/>
            <w:vAlign w:val="bottom"/>
          </w:tcPr>
          <w:p>
            <w:pPr>
              <w:spacing w:after="0"/>
              <w:rPr>
                <w:sz w:val="22"/>
                <w:szCs w:val="22"/>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300" w:type="dxa"/>
            <w:vAlign w:val="bottom"/>
          </w:tcPr>
          <w:p>
            <w:pPr>
              <w:spacing w:after="0"/>
              <w:rPr>
                <w:sz w:val="22"/>
                <w:szCs w:val="22"/>
                <w:color w:val="auto"/>
              </w:rPr>
            </w:pPr>
          </w:p>
        </w:tc>
        <w:tc>
          <w:tcPr>
            <w:tcW w:w="1100" w:type="dxa"/>
            <w:vAlign w:val="bottom"/>
          </w:tcPr>
          <w:p>
            <w:pPr>
              <w:jc w:val="right"/>
              <w:ind w:right="154"/>
              <w:spacing w:after="0"/>
              <w:rPr>
                <w:sz w:val="20"/>
                <w:szCs w:val="20"/>
                <w:color w:val="auto"/>
              </w:rPr>
            </w:pPr>
            <w:r>
              <w:rPr>
                <w:rFonts w:ascii="Arial" w:cs="Arial" w:eastAsia="Arial" w:hAnsi="Arial"/>
                <w:sz w:val="18"/>
                <w:szCs w:val="18"/>
                <w:b w:val="1"/>
                <w:bCs w:val="1"/>
                <w:color w:val="auto"/>
              </w:rPr>
              <w:t>7.24</w:t>
            </w:r>
          </w:p>
        </w:tc>
        <w:tc>
          <w:tcPr>
            <w:tcW w:w="340" w:type="dxa"/>
            <w:vAlign w:val="bottom"/>
          </w:tcPr>
          <w:p>
            <w:pPr>
              <w:spacing w:after="0"/>
              <w:rPr>
                <w:sz w:val="22"/>
                <w:szCs w:val="22"/>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2.03</w:t>
            </w:r>
          </w:p>
        </w:tc>
        <w:tc>
          <w:tcPr>
            <w:tcW w:w="90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for the three and nine months ended September 30, 2019 driven by increased volume, partially offset by lower realized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prices and the unfavorable impact of foreign exchange rates. Operating expenses increased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reflecting additional investments in recently launched products and late-stage assets. The increase in net income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2019 was primarily driven by higher gross margin and, to a lesser extent, lower tax expense and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special charges, partially offset by higher operating expenses and acquired IPR&amp;D charges. EPS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2019 also significantly benefited as a result of the retirement of shares in the Elanco Animal Health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(Elanco) exchange offer and other share repurchases. The increase in net income and EPS for the nine months ended September 30,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driven primarily by the gain recognized on the disposition of Elanco.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6" w:right="239" w:bottom="1440" w:gutter="0" w:footer="0" w:header="0"/>
        </w:sectPr>
      </w:pPr>
    </w:p>
    <w:bookmarkStart w:id="37" w:name="page38"/>
    <w:bookmarkEnd w:id="37"/>
    <w:p>
      <w:pPr>
        <w:ind w:right="140"/>
        <w:spacing w:after="0" w:line="262" w:lineRule="auto"/>
        <w:rPr>
          <w:sz w:val="20"/>
          <w:szCs w:val="20"/>
          <w:color w:val="auto"/>
        </w:rPr>
      </w:pPr>
      <w:r>
        <w:rPr>
          <w:rFonts w:ascii="Arial" w:cs="Arial" w:eastAsia="Arial" w:hAnsi="Arial"/>
          <w:sz w:val="18"/>
          <w:szCs w:val="18"/>
          <w:color w:val="auto"/>
        </w:rPr>
        <w:t>The following highlighted items also affect comparisons of our financial results for the three and nine months ended September 30, 2019 and 2018: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recognized acquired IPR&amp;D charges of $77.7 million and $239.6 million for the three and nine months ended September 30, 2019, respectively. The charge for the three months ended September 30, 2019 was related to collaborations with Centrexion Therapeutics Corporation (Centrexion) and AC Immune SA (AC Immune). The charges for the nine months ended September 30, 2019 also included charges related to collaborations with ImmuNext, Inc. (ImmuNext) and Avidity Biosciences, Inc (Avidity).</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ind w:left="660" w:right="28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recognized charges of $423.9 million for the nine months ended September 30, 2019, primarily associated with the accelerated vesting of Loxo Oncology, Inc. (Loxo) employee equity awards as a result of the closing of the acquisition of Loxo.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ind w:left="6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recognized acquired IPR&amp;D charges of $30.0 million and $1.65 billion for the three and nine months ended September 30, 2018, respectively. The charge for the three months ended September 30, 2018 was related to the collaboration with Anima Biotech (Anima). The charges for the nine months ended September 30, 2018 also included charges associated with the acquisitions of ARMO Biosciences, Inc. (ARMO) and AurKa Pharma, Inc. (AurKa), and in connection with the collaboration with Sigilon Therapeutics (Sigilon). The charges for ARMO and AurKa totaling $1.56 billion were not tax deductible.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6 to the consolidated condensed financial statements)</w:t>
      </w:r>
    </w:p>
    <w:p>
      <w:pPr>
        <w:spacing w:after="0" w:line="117" w:lineRule="exact"/>
        <w:rPr>
          <w:sz w:val="20"/>
          <w:szCs w:val="20"/>
          <w:color w:val="auto"/>
        </w:rPr>
      </w:pPr>
    </w:p>
    <w:p>
      <w:pPr>
        <w:ind w:left="660" w:right="120" w:hanging="328"/>
        <w:spacing w:after="0" w:line="28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recognized charges of $42.9 million and $74.2 million for the three and nine months ended September 30, 2018, primarily related to the sale of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brand and the associated Augusta, Georgia manufacturing site.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40 potential new drugs in human testing or under regulatory review and a larger number of projects in preclinical research.</w:t>
      </w:r>
    </w:p>
    <w:p>
      <w:pPr>
        <w:spacing w:after="0" w:line="1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condition described. The first quarter in which the NMEs initially were approved in any major geography for any indication is shown in parentheses:</w:t>
      </w:r>
    </w:p>
    <w:p>
      <w:pPr>
        <w:spacing w:after="0" w:line="126" w:lineRule="exact"/>
        <w:rPr>
          <w:sz w:val="20"/>
          <w:szCs w:val="20"/>
          <w:color w:val="auto"/>
        </w:rPr>
      </w:pPr>
    </w:p>
    <w:p>
      <w:pPr>
        <w:ind w:left="660" w:right="20"/>
        <w:spacing w:after="0" w:line="249" w:lineRule="auto"/>
        <w:rPr>
          <w:rFonts w:ascii="Arial" w:cs="Arial" w:eastAsia="Arial" w:hAnsi="Arial"/>
          <w:sz w:val="18"/>
          <w:szCs w:val="18"/>
          <w:color w:val="auto"/>
        </w:rPr>
      </w:pPr>
      <w:r>
        <w:rPr>
          <w:rFonts w:ascii="Arial" w:cs="Arial" w:eastAsia="Arial" w:hAnsi="Arial"/>
          <w:sz w:val="18"/>
          <w:szCs w:val="18"/>
          <w:b w:val="1"/>
          <w:bCs w:val="1"/>
          <w:color w:val="auto"/>
        </w:rPr>
        <w:t>Galcanezumab* (Emgality</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2018)</w:t>
      </w:r>
      <w:r>
        <w:rPr>
          <w:rFonts w:ascii="Arial" w:cs="Arial" w:eastAsia="Arial" w:hAnsi="Arial"/>
          <w:sz w:val="18"/>
          <w:szCs w:val="18"/>
          <w:color w:val="auto"/>
        </w:rPr>
        <w:t>—a once-monthly subcutaneously injected calcitonin gene-related peptide (CGRP)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treatment of migraine prevention. Refer to Item 1, "Legal Proceedings - Other Patent Matters" of Part II on our Quarterly Report on </w:t>
      </w:r>
      <w:hyperlink r:id="rId1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for discussion of the legal proceedings involving Teva Pharmaceuticals International GMBH and Teva Pharmaceuticals USA, Inc.</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(REYVOW</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2019)</w:t>
      </w:r>
      <w:r>
        <w:rPr>
          <w:rFonts w:ascii="Arial" w:cs="Arial" w:eastAsia="Arial" w:hAnsi="Arial"/>
          <w:sz w:val="18"/>
          <w:szCs w:val="18"/>
          <w:color w:val="auto"/>
        </w:rPr>
        <w:t>—an oral 5-HT1F agonist for the acute treatment of migraine.</w:t>
      </w:r>
    </w:p>
    <w:p>
      <w:pPr>
        <w:spacing w:after="0" w:line="137" w:lineRule="exact"/>
        <w:rPr>
          <w:sz w:val="20"/>
          <w:szCs w:val="20"/>
          <w:color w:val="auto"/>
        </w:rPr>
      </w:pPr>
    </w:p>
    <w:p>
      <w:pPr>
        <w:ind w:left="660" w:right="160"/>
        <w:spacing w:after="0" w:line="247" w:lineRule="auto"/>
        <w:rPr>
          <w:sz w:val="20"/>
          <w:szCs w:val="20"/>
          <w:color w:val="auto"/>
        </w:rPr>
      </w:pPr>
      <w:r>
        <w:rPr>
          <w:rFonts w:ascii="Arial" w:cs="Arial" w:eastAsia="Arial" w:hAnsi="Arial"/>
          <w:sz w:val="18"/>
          <w:szCs w:val="18"/>
          <w:b w:val="1"/>
          <w:bCs w:val="1"/>
          <w:color w:val="auto"/>
        </w:rPr>
        <w:t>Nasal glucagon* (Baqsimi</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2019)</w:t>
      </w:r>
      <w:r>
        <w:rPr>
          <w:rFonts w:ascii="Arial" w:cs="Arial" w:eastAsia="Arial" w:hAnsi="Arial"/>
          <w:sz w:val="18"/>
          <w:szCs w:val="18"/>
          <w:color w:val="auto"/>
        </w:rPr>
        <w:t>—a glucagon nasal powder formulation for the treatment of severe hypoglycemia in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diabetes ages four years and above.</w:t>
      </w:r>
    </w:p>
    <w:p>
      <w:pPr>
        <w:spacing w:after="0" w:line="155"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following NME has been submitted for regulatory review in at least one of the major geographies for potential use in the condition described. The first quarter in which the NME initially was submitted in any major geography for any indication is shown in parentheses:</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706" w:right="319" w:bottom="1440" w:gutter="0" w:footer="0" w:header="0"/>
        </w:sectPr>
      </w:pPr>
    </w:p>
    <w:bookmarkStart w:id="38" w:name="page39"/>
    <w:bookmarkEnd w:id="38"/>
    <w:p>
      <w:pPr>
        <w:ind w:left="660" w:right="160"/>
        <w:spacing w:after="0" w:line="287" w:lineRule="auto"/>
        <w:rPr>
          <w:sz w:val="20"/>
          <w:szCs w:val="20"/>
          <w:color w:val="auto"/>
        </w:rPr>
      </w:pPr>
      <w:r>
        <w:rPr>
          <w:rFonts w:ascii="Arial" w:cs="Arial" w:eastAsia="Arial" w:hAnsi="Arial"/>
          <w:sz w:val="18"/>
          <w:szCs w:val="18"/>
          <w:b w:val="1"/>
          <w:bCs w:val="1"/>
          <w:color w:val="auto"/>
        </w:rPr>
        <w:t>Flortaucipir** (Q3 2019)</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 In the United States (U.S.), flortaucipir is protected by compound patents (2029).</w:t>
      </w:r>
    </w:p>
    <w:p>
      <w:pPr>
        <w:spacing w:after="0" w:line="99" w:lineRule="exact"/>
        <w:rPr>
          <w:sz w:val="20"/>
          <w:szCs w:val="20"/>
          <w:color w:val="auto"/>
        </w:rPr>
      </w:pPr>
    </w:p>
    <w:p>
      <w:pPr>
        <w:jc w:val="both"/>
        <w:ind w:left="660" w:right="280"/>
        <w:spacing w:after="0" w:line="262" w:lineRule="auto"/>
        <w:rPr>
          <w:sz w:val="20"/>
          <w:szCs w:val="20"/>
          <w:color w:val="auto"/>
        </w:rPr>
      </w:pPr>
      <w:r>
        <w:rPr>
          <w:rFonts w:ascii="Arial" w:cs="Arial" w:eastAsia="Arial" w:hAnsi="Arial"/>
          <w:sz w:val="18"/>
          <w:szCs w:val="18"/>
          <w:b w:val="1"/>
          <w:bCs w:val="1"/>
          <w:color w:val="auto"/>
        </w:rPr>
        <w:t>Ultra-rapid Lispro* (Q1 2019)</w:t>
      </w:r>
      <w:r>
        <w:rPr>
          <w:rFonts w:ascii="Arial" w:cs="Arial" w:eastAsia="Arial" w:hAnsi="Arial"/>
          <w:sz w:val="18"/>
          <w:szCs w:val="18"/>
          <w:color w:val="auto"/>
        </w:rPr>
        <w:t>—an ultra-rapid insulin for the treatment of type 1 and type 2 diabetes. In the U.S., ultra-rapid lispro is</w:t>
      </w:r>
      <w:r>
        <w:rPr>
          <w:rFonts w:ascii="Arial" w:cs="Arial" w:eastAsia="Arial" w:hAnsi="Arial"/>
          <w:sz w:val="18"/>
          <w:szCs w:val="18"/>
          <w:b w:val="1"/>
          <w:bCs w:val="1"/>
          <w:color w:val="auto"/>
        </w:rPr>
        <w:t xml:space="preserve"> </w:t>
      </w:r>
      <w:r>
        <w:rPr>
          <w:rFonts w:ascii="Arial" w:cs="Arial" w:eastAsia="Arial" w:hAnsi="Arial"/>
          <w:sz w:val="18"/>
          <w:szCs w:val="18"/>
          <w:color w:val="auto"/>
        </w:rPr>
        <w:t>protected by formulation patents (2035 and 2036). In Europe, ultra-rapid lispro is protected by a formulation patent (2035). In Japan, ultra-rapid lispro is protected by a formulation patent (2035 and 2036, plus possible patent extensions) and data protection (4 years) expected upon approval.</w:t>
      </w:r>
    </w:p>
    <w:p>
      <w:pPr>
        <w:spacing w:after="0" w:line="14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conditions described below but have not yet been submitted for regulatory approval for any indication. The first quarter in which each NME and the diagnostic agent initially entered Phase III for any indication is shown in parentheses: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Mirikizumab* (Q2 2018)</w:t>
      </w:r>
      <w:r>
        <w:rPr>
          <w:rFonts w:ascii="Arial" w:cs="Arial" w:eastAsia="Arial" w:hAnsi="Arial"/>
          <w:sz w:val="18"/>
          <w:szCs w:val="18"/>
          <w:color w:val="auto"/>
        </w:rPr>
        <w:t>—a monoclonal antibody designed for the treatment of autoimmune diseases.</w:t>
      </w:r>
    </w:p>
    <w:p>
      <w:pPr>
        <w:spacing w:after="0" w:line="171" w:lineRule="exact"/>
        <w:rPr>
          <w:sz w:val="20"/>
          <w:szCs w:val="20"/>
          <w:color w:val="auto"/>
        </w:rPr>
      </w:pPr>
    </w:p>
    <w:p>
      <w:pPr>
        <w:ind w:left="660" w:right="360"/>
        <w:spacing w:after="0" w:line="287" w:lineRule="auto"/>
        <w:rPr>
          <w:sz w:val="20"/>
          <w:szCs w:val="20"/>
          <w:color w:val="auto"/>
        </w:rPr>
      </w:pPr>
      <w:r>
        <w:rPr>
          <w:rFonts w:ascii="Arial" w:cs="Arial" w:eastAsia="Arial" w:hAnsi="Arial"/>
          <w:sz w:val="18"/>
          <w:szCs w:val="18"/>
          <w:b w:val="1"/>
          <w:bCs w:val="1"/>
          <w:color w:val="auto"/>
        </w:rPr>
        <w:t>Pegilodecakin* (Q1 2017)</w:t>
      </w:r>
      <w:r>
        <w:rPr>
          <w:rFonts w:ascii="Arial" w:cs="Arial" w:eastAsia="Arial" w:hAnsi="Arial"/>
          <w:sz w:val="18"/>
          <w:szCs w:val="18"/>
          <w:color w:val="auto"/>
        </w:rPr>
        <w:t>—a PEGylated IL-10, which has demonstrated clinical benefit as a single agent, and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both chemotherapy and checkpoint inhibitor therapy, across several tumor types.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71" w:lineRule="exact"/>
        <w:rPr>
          <w:sz w:val="20"/>
          <w:szCs w:val="20"/>
          <w:color w:val="auto"/>
        </w:rPr>
      </w:pPr>
    </w:p>
    <w:p>
      <w:pPr>
        <w:ind w:left="660" w:right="38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 (Pfizer)).</w:t>
      </w:r>
    </w:p>
    <w:p>
      <w:pPr>
        <w:spacing w:after="0" w:line="99" w:lineRule="exact"/>
        <w:rPr>
          <w:sz w:val="20"/>
          <w:szCs w:val="20"/>
          <w:color w:val="auto"/>
        </w:rPr>
      </w:pPr>
    </w:p>
    <w:p>
      <w:pPr>
        <w:ind w:left="660" w:right="180"/>
        <w:spacing w:after="0" w:line="287" w:lineRule="auto"/>
        <w:rPr>
          <w:sz w:val="20"/>
          <w:szCs w:val="20"/>
          <w:color w:val="auto"/>
        </w:rPr>
      </w:pPr>
      <w:r>
        <w:rPr>
          <w:rFonts w:ascii="Arial" w:cs="Arial" w:eastAsia="Arial" w:hAnsi="Arial"/>
          <w:sz w:val="18"/>
          <w:szCs w:val="18"/>
          <w:b w:val="1"/>
          <w:bCs w:val="1"/>
          <w:color w:val="auto"/>
        </w:rPr>
        <w:t>Tirzepatide* (Q4 2018)</w:t>
      </w:r>
      <w:r>
        <w:rPr>
          <w:rFonts w:ascii="Arial" w:cs="Arial" w:eastAsia="Arial" w:hAnsi="Arial"/>
          <w:sz w:val="18"/>
          <w:szCs w:val="18"/>
          <w:color w:val="auto"/>
        </w:rPr>
        <w:t>—a long-acting, combination therapy of glucose-dependent insulinotropic polypeptide (GIP) and glucagon-like</w:t>
      </w:r>
      <w:r>
        <w:rPr>
          <w:rFonts w:ascii="Arial" w:cs="Arial" w:eastAsia="Arial" w:hAnsi="Arial"/>
          <w:sz w:val="18"/>
          <w:szCs w:val="18"/>
          <w:b w:val="1"/>
          <w:bCs w:val="1"/>
          <w:color w:val="auto"/>
        </w:rPr>
        <w:t xml:space="preserve"> </w:t>
      </w:r>
      <w:r>
        <w:rPr>
          <w:rFonts w:ascii="Arial" w:cs="Arial" w:eastAsia="Arial" w:hAnsi="Arial"/>
          <w:sz w:val="18"/>
          <w:szCs w:val="18"/>
          <w:color w:val="auto"/>
        </w:rPr>
        <w:t>peptide 1 for the treatment of type 2 diabetes.</w:t>
      </w:r>
    </w:p>
    <w:p>
      <w:pPr>
        <w:spacing w:after="0" w:line="67" w:lineRule="exact"/>
        <w:rPr>
          <w:sz w:val="20"/>
          <w:szCs w:val="20"/>
          <w:color w:val="auto"/>
        </w:rPr>
      </w:pPr>
    </w:p>
    <w:p>
      <w:pPr>
        <w:ind w:left="340" w:right="4080" w:hanging="8"/>
        <w:spacing w:after="0" w:line="375" w:lineRule="auto"/>
        <w:tabs>
          <w:tab w:leader="none" w:pos="6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reflects the status of the recently approved products, NMEs, and diagnostic agent set forth above, as well as certain other developments to our late-stage pipeline since January 1, 2019:</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4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16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22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4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Severe</w:t>
            </w:r>
          </w:p>
        </w:tc>
        <w:tc>
          <w:tcPr>
            <w:tcW w:w="126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 in the U.S. in third quarter of 2019. In</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Baqsimi</w:t>
            </w:r>
          </w:p>
        </w:tc>
        <w:tc>
          <w:tcPr>
            <w:tcW w:w="148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ind w:left="220"/>
              <w:spacing w:after="0" w:line="202" w:lineRule="exact"/>
              <w:rPr>
                <w:sz w:val="20"/>
                <w:szCs w:val="20"/>
                <w:color w:val="auto"/>
              </w:rPr>
            </w:pPr>
            <w:r>
              <w:rPr>
                <w:rFonts w:ascii="Arial" w:cs="Arial" w:eastAsia="Arial" w:hAnsi="Arial"/>
                <w:sz w:val="18"/>
                <w:szCs w:val="18"/>
                <w:color w:val="auto"/>
              </w:rPr>
              <w:t>Launched</w:t>
            </w:r>
          </w:p>
        </w:tc>
        <w:tc>
          <w:tcPr>
            <w:tcW w:w="1160" w:type="dxa"/>
            <w:vAlign w:val="bottom"/>
            <w:vMerge w:val="restart"/>
          </w:tcPr>
          <w:p>
            <w:pPr>
              <w:jc w:val="center"/>
              <w:ind w:left="90"/>
              <w:spacing w:after="0" w:line="202" w:lineRule="exact"/>
              <w:rPr>
                <w:sz w:val="20"/>
                <w:szCs w:val="20"/>
                <w:color w:val="auto"/>
              </w:rPr>
            </w:pPr>
            <w:r>
              <w:rPr>
                <w:rFonts w:ascii="Arial" w:cs="Arial" w:eastAsia="Arial" w:hAnsi="Arial"/>
                <w:sz w:val="18"/>
                <w:szCs w:val="18"/>
                <w:color w:val="auto"/>
              </w:rPr>
              <w:t>Submitted</w:t>
            </w:r>
          </w:p>
        </w:tc>
        <w:tc>
          <w:tcPr>
            <w:tcW w:w="22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restart"/>
          </w:tcPr>
          <w:p>
            <w:pPr>
              <w:ind w:left="240"/>
              <w:spacing w:after="0" w:line="202" w:lineRule="exact"/>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October 2019, the European regulatory authority</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260" w:type="dxa"/>
            <w:vAlign w:val="bottom"/>
            <w:tcBorders>
              <w:right w:val="single" w:sz="8" w:color="auto"/>
            </w:tcBorders>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issued a positive opinion recommending approval.</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4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Tirzepatide</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1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8"/>
              </w:rPr>
              <w:t>Phase III</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regulatory authorities in Europe and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Ultra-rapid Lispro</w:t>
            </w: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Type 1 and 2</w:t>
            </w:r>
          </w:p>
        </w:tc>
        <w:tc>
          <w:tcPr>
            <w:tcW w:w="1260" w:type="dxa"/>
            <w:vAlign w:val="bottom"/>
          </w:tcPr>
          <w:p>
            <w:pPr>
              <w:spacing w:after="0"/>
              <w:rPr>
                <w:sz w:val="17"/>
                <w:szCs w:val="17"/>
                <w:color w:val="auto"/>
              </w:rPr>
            </w:pPr>
          </w:p>
        </w:tc>
        <w:tc>
          <w:tcPr>
            <w:tcW w:w="1160" w:type="dxa"/>
            <w:vAlign w:val="bottom"/>
            <w:vMerge w:val="restart"/>
          </w:tcPr>
          <w:p>
            <w:pPr>
              <w:jc w:val="center"/>
              <w:ind w:left="90"/>
              <w:spacing w:after="0"/>
              <w:rPr>
                <w:sz w:val="20"/>
                <w:szCs w:val="20"/>
                <w:color w:val="auto"/>
              </w:rPr>
            </w:pPr>
            <w:r>
              <w:rPr>
                <w:rFonts w:ascii="Arial" w:cs="Arial" w:eastAsia="Arial" w:hAnsi="Arial"/>
                <w:sz w:val="18"/>
                <w:szCs w:val="18"/>
                <w:color w:val="auto"/>
              </w:rPr>
              <w:t>Submitted</w:t>
            </w:r>
          </w:p>
        </w:tc>
        <w:tc>
          <w:tcPr>
            <w:tcW w:w="2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Japan in first quarter of 2019. Submitted to the U.S.</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diabetes</w:t>
            </w:r>
          </w:p>
        </w:tc>
        <w:tc>
          <w:tcPr>
            <w:tcW w:w="12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Food and Drug Administration (FDA) in the third</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quarter of 2019.</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Crohn's Disease</w:t>
            </w:r>
          </w:p>
        </w:tc>
        <w:tc>
          <w:tcPr>
            <w:tcW w:w="1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8"/>
              </w:rPr>
              <w:t>Phase III</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began in third quarter of 2019.</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Mirikizumab</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1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8"/>
              </w:rPr>
              <w:t>Phase III</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Ulcerative colitis</w:t>
            </w:r>
          </w:p>
        </w:tc>
        <w:tc>
          <w:tcPr>
            <w:tcW w:w="1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8"/>
              </w:rPr>
              <w:t>Phase III</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European regulatory authorities in first</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Cluster headache</w:t>
            </w:r>
          </w:p>
        </w:tc>
        <w:tc>
          <w:tcPr>
            <w:tcW w:w="12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Launched</w:t>
            </w:r>
          </w:p>
        </w:tc>
        <w:tc>
          <w:tcPr>
            <w:tcW w:w="1160" w:type="dxa"/>
            <w:vAlign w:val="bottom"/>
          </w:tcPr>
          <w:p>
            <w:pPr>
              <w:jc w:val="center"/>
              <w:ind w:left="90"/>
              <w:spacing w:after="0" w:line="202" w:lineRule="exact"/>
              <w:rPr>
                <w:sz w:val="20"/>
                <w:szCs w:val="20"/>
                <w:color w:val="auto"/>
              </w:rPr>
            </w:pPr>
            <w:r>
              <w:rPr>
                <w:rFonts w:ascii="Arial" w:cs="Arial" w:eastAsia="Arial" w:hAnsi="Arial"/>
                <w:sz w:val="18"/>
                <w:szCs w:val="18"/>
                <w:color w:val="auto"/>
              </w:rPr>
              <w:t>Submitted</w:t>
            </w:r>
          </w:p>
        </w:tc>
        <w:tc>
          <w:tcPr>
            <w:tcW w:w="2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ind w:left="240"/>
              <w:spacing w:after="0" w:line="202" w:lineRule="exact"/>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2019. Approved and launched in the U.S. in</w:t>
            </w: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Emgality</w:t>
            </w:r>
          </w:p>
        </w:tc>
        <w:tc>
          <w:tcPr>
            <w:tcW w:w="148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second quarter of 2019.</w:t>
            </w:r>
          </w:p>
        </w:tc>
        <w:tc>
          <w:tcPr>
            <w:tcW w:w="0" w:type="dxa"/>
            <w:vAlign w:val="bottom"/>
          </w:tcPr>
          <w:p>
            <w:pPr>
              <w:spacing w:after="0"/>
              <w:rPr>
                <w:sz w:val="1"/>
                <w:szCs w:val="1"/>
                <w:color w:val="auto"/>
              </w:rPr>
            </w:pPr>
          </w:p>
        </w:tc>
      </w:tr>
      <w:tr>
        <w:trPr>
          <w:trHeight w:val="222"/>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Migraine</w:t>
            </w:r>
          </w:p>
        </w:tc>
        <w:tc>
          <w:tcPr>
            <w:tcW w:w="2420" w:type="dxa"/>
            <w:vAlign w:val="bottom"/>
            <w:gridSpan w:val="2"/>
            <w:vMerge w:val="restart"/>
          </w:tcPr>
          <w:p>
            <w:pPr>
              <w:ind w:left="900"/>
              <w:spacing w:after="0"/>
              <w:rPr>
                <w:sz w:val="20"/>
                <w:szCs w:val="20"/>
                <w:color w:val="auto"/>
              </w:rPr>
            </w:pPr>
            <w:r>
              <w:rPr>
                <w:rFonts w:ascii="Arial" w:cs="Arial" w:eastAsia="Arial" w:hAnsi="Arial"/>
                <w:sz w:val="18"/>
                <w:szCs w:val="18"/>
                <w:color w:val="auto"/>
              </w:rPr>
              <w:t>Launched</w:t>
            </w:r>
          </w:p>
        </w:tc>
        <w:tc>
          <w:tcPr>
            <w:tcW w:w="2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 in Europe in the first quarter of 2019.</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prevention</w:t>
            </w:r>
          </w:p>
        </w:tc>
        <w:tc>
          <w:tcPr>
            <w:tcW w:w="2420" w:type="dxa"/>
            <w:vAlign w:val="bottom"/>
            <w:gridSpan w:val="2"/>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4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2"/>
          </w:tcPr>
          <w:p>
            <w:pPr>
              <w:jc w:val="right"/>
              <w:ind w:right="1090"/>
              <w:spacing w:after="0"/>
              <w:rPr>
                <w:sz w:val="20"/>
                <w:szCs w:val="20"/>
                <w:color w:val="auto"/>
              </w:rPr>
            </w:pPr>
            <w:r>
              <w:rPr>
                <w:rFonts w:ascii="Arial" w:cs="Arial" w:eastAsia="Arial" w:hAnsi="Arial"/>
                <w:sz w:val="18"/>
                <w:szCs w:val="18"/>
                <w:color w:val="auto"/>
              </w:rPr>
              <w:t>39</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38" w:right="219" w:bottom="1440" w:gutter="0" w:footer="0" w:header="0"/>
        </w:sectPr>
      </w:pPr>
    </w:p>
    <w:bookmarkStart w:id="39" w:name="page40"/>
    <w:bookmarkEnd w:id="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4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3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4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Alzheimer's</w:t>
            </w:r>
          </w:p>
        </w:tc>
        <w:tc>
          <w:tcPr>
            <w:tcW w:w="126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Flortaucipir</w:t>
            </w: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disease</w:t>
            </w:r>
          </w:p>
        </w:tc>
        <w:tc>
          <w:tcPr>
            <w:tcW w:w="12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Submitted</w:t>
            </w:r>
          </w:p>
        </w:tc>
        <w:tc>
          <w:tcPr>
            <w:tcW w:w="2620" w:type="dxa"/>
            <w:vAlign w:val="bottom"/>
            <w:tcBorders>
              <w:right w:val="single" w:sz="8" w:color="auto"/>
            </w:tcBorders>
            <w:gridSpan w:val="2"/>
          </w:tcPr>
          <w:p>
            <w:pPr>
              <w:ind w:left="940"/>
              <w:spacing w:after="0" w:line="202" w:lineRule="exact"/>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Submitted to the FDA in the third quarter of 2019.</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diagnostic</w:t>
            </w:r>
          </w:p>
        </w:tc>
        <w:tc>
          <w:tcPr>
            <w:tcW w:w="12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by the FDA in October 2019. Recommended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REYVOW</w:t>
            </w: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Acute treatment</w:t>
            </w:r>
          </w:p>
        </w:tc>
        <w:tc>
          <w:tcPr>
            <w:tcW w:w="12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Approved</w:t>
            </w:r>
          </w:p>
        </w:tc>
        <w:tc>
          <w:tcPr>
            <w:tcW w:w="2620" w:type="dxa"/>
            <w:vAlign w:val="bottom"/>
            <w:tcBorders>
              <w:right w:val="single" w:sz="8" w:color="auto"/>
            </w:tcBorders>
            <w:gridSpan w:val="2"/>
            <w:vMerge w:val="restart"/>
          </w:tcPr>
          <w:p>
            <w:pPr>
              <w:ind w:left="940"/>
              <w:spacing w:after="0"/>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controlled substance classification is under review by</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of migraine</w:t>
            </w:r>
          </w:p>
        </w:tc>
        <w:tc>
          <w:tcPr>
            <w:tcW w:w="1260" w:type="dxa"/>
            <w:vAlign w:val="bottom"/>
            <w:tcBorders>
              <w:right w:val="single" w:sz="8" w:color="auto"/>
            </w:tcBorders>
            <w:vMerge w:val="continue"/>
          </w:tcPr>
          <w:p>
            <w:pPr>
              <w:spacing w:after="0"/>
              <w:rPr>
                <w:sz w:val="9"/>
                <w:szCs w:val="9"/>
                <w:color w:val="auto"/>
              </w:rPr>
            </w:pPr>
          </w:p>
        </w:tc>
        <w:tc>
          <w:tcPr>
            <w:tcW w:w="2620" w:type="dxa"/>
            <w:vAlign w:val="bottom"/>
            <w:tcBorders>
              <w:right w:val="single" w:sz="8" w:color="auto"/>
            </w:tcBorders>
            <w:gridSpan w:val="2"/>
            <w:vMerge w:val="continue"/>
          </w:tcPr>
          <w:p>
            <w:pPr>
              <w:spacing w:after="0"/>
              <w:rPr>
                <w:sz w:val="9"/>
                <w:szCs w:val="9"/>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the Drug Enforcement Administration and is expected</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within 90 days of the FDA approval.</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26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the third quarter of 2018 and January 2019,</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announced multiple Phase III trials met several</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primary endpoints. In April 2019, announced the</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Osteoarthritis</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results of the long-term Phase III study in which the</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5mg dose met two of the three co-primary endpoints</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12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and the 2.5mg dose did not meet any of the three co-</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primary endpoints. In partnership with Pfizer, we are</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pursuing U.S. submission by the first quarter of 2020,</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followed by submission in Europe and Japan.</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48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the first quarter of 2019, announced Phase III trial</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met primary endpoint for the 10mg dose and did not</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meet primary endpoint on the 5mg dose. In the third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2019, announced results from a Phase 3</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Chronic low back</w:t>
            </w:r>
          </w:p>
        </w:tc>
        <w:tc>
          <w:tcPr>
            <w:tcW w:w="1260" w:type="dxa"/>
            <w:vAlign w:val="bottom"/>
          </w:tcPr>
          <w:p>
            <w:pPr>
              <w:spacing w:after="0"/>
              <w:rPr>
                <w:sz w:val="17"/>
                <w:szCs w:val="17"/>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study evaluating long-term safety and efficacy in</w:t>
            </w: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pain</w:t>
            </w:r>
          </w:p>
        </w:tc>
        <w:tc>
          <w:tcPr>
            <w:tcW w:w="12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Japan. In partnership with Pfizer, announced in the</w:t>
            </w:r>
          </w:p>
        </w:tc>
        <w:tc>
          <w:tcPr>
            <w:tcW w:w="0" w:type="dxa"/>
            <w:vAlign w:val="bottom"/>
          </w:tcPr>
          <w:p>
            <w:pPr>
              <w:spacing w:after="0"/>
              <w:rPr>
                <w:sz w:val="1"/>
                <w:szCs w:val="1"/>
                <w:color w:val="auto"/>
              </w:rPr>
            </w:pPr>
          </w:p>
        </w:tc>
      </w:tr>
      <w:tr>
        <w:trPr>
          <w:trHeight w:val="94"/>
        </w:trPr>
        <w:tc>
          <w:tcPr>
            <w:tcW w:w="164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third quarter of 2019 that we are not planning</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regulatory submission. We will maintain an open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dialogue with regulatory authorities on potential future</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regulatory pathways.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the first quarter of 2019, announced confirmatory</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did not meet primary endpoint. As this</w:t>
            </w: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Lartruvo</w:t>
            </w:r>
            <w:r>
              <w:rPr>
                <w:rFonts w:ascii="Arial" w:cs="Arial" w:eastAsia="Arial" w:hAnsi="Arial"/>
                <w:sz w:val="21"/>
                <w:szCs w:val="21"/>
                <w:b w:val="1"/>
                <w:bCs w:val="1"/>
                <w:color w:val="auto"/>
                <w:vertAlign w:val="superscript"/>
              </w:rPr>
              <w:t>®</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Soft tissue</w:t>
            </w:r>
          </w:p>
        </w:tc>
        <w:tc>
          <w:tcPr>
            <w:tcW w:w="12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Withdrawn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Withdrawing</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Not</w:t>
            </w: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trial did not confirm clinical benefit, we suspended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7"/>
                <w:szCs w:val="17"/>
                <w:color w:val="auto"/>
              </w:rPr>
              <w:t>sarcoma</w:t>
            </w:r>
          </w:p>
        </w:tc>
        <w:tc>
          <w:tcPr>
            <w:tcW w:w="126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7"/>
                <w:szCs w:val="17"/>
                <w:color w:val="auto"/>
              </w:rPr>
              <w:t>Submitting</w:t>
            </w:r>
          </w:p>
        </w:tc>
        <w:tc>
          <w:tcPr>
            <w:tcW w:w="444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7"/>
                <w:szCs w:val="17"/>
                <w:color w:val="auto"/>
              </w:rPr>
              <w:t>promotion globally and withdrew in the U.S. in the third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2019. For countries in Europe, we have</w:t>
            </w:r>
          </w:p>
        </w:tc>
        <w:tc>
          <w:tcPr>
            <w:tcW w:w="0" w:type="dxa"/>
            <w:vAlign w:val="bottom"/>
          </w:tcPr>
          <w:p>
            <w:pPr>
              <w:spacing w:after="0"/>
              <w:rPr>
                <w:sz w:val="1"/>
                <w:szCs w:val="1"/>
                <w:color w:val="auto"/>
              </w:rPr>
            </w:pPr>
          </w:p>
        </w:tc>
      </w:tr>
      <w:tr>
        <w:trPr>
          <w:trHeight w:val="224"/>
        </w:trPr>
        <w:tc>
          <w:tcPr>
            <w:tcW w:w="1640" w:type="dxa"/>
            <w:vAlign w:val="bottom"/>
            <w:tcBorders>
              <w:left w:val="single" w:sz="8" w:color="auto"/>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withdrawn or are in the process of withdrawing.</w:t>
            </w:r>
          </w:p>
        </w:tc>
        <w:tc>
          <w:tcPr>
            <w:tcW w:w="0" w:type="dxa"/>
            <w:vAlign w:val="bottom"/>
          </w:tcPr>
          <w:p>
            <w:pPr>
              <w:spacing w:after="0"/>
              <w:rPr>
                <w:sz w:val="1"/>
                <w:szCs w:val="1"/>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Pancreatic</w:t>
            </w: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October 2019, announced phase III trial did not</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Pegilodecakin</w:t>
            </w:r>
          </w:p>
        </w:tc>
        <w:tc>
          <w:tcPr>
            <w:tcW w:w="1480" w:type="dxa"/>
            <w:vAlign w:val="bottom"/>
            <w:tcBorders>
              <w:right w:val="single" w:sz="8" w:color="auto"/>
            </w:tcBorders>
            <w:vMerge w:val="continue"/>
          </w:tcPr>
          <w:p>
            <w:pPr>
              <w:spacing w:after="0"/>
              <w:rPr>
                <w:sz w:val="8"/>
                <w:szCs w:val="8"/>
                <w:color w:val="auto"/>
              </w:rPr>
            </w:pPr>
          </w:p>
        </w:tc>
        <w:tc>
          <w:tcPr>
            <w:tcW w:w="1260" w:type="dxa"/>
            <w:vAlign w:val="bottom"/>
          </w:tcPr>
          <w:p>
            <w:pPr>
              <w:spacing w:after="0"/>
              <w:rPr>
                <w:sz w:val="8"/>
                <w:szCs w:val="8"/>
                <w:color w:val="auto"/>
              </w:rPr>
            </w:pPr>
          </w:p>
        </w:tc>
        <w:tc>
          <w:tcPr>
            <w:tcW w:w="1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8"/>
              </w:rPr>
              <w:t>Phase III</w:t>
            </w:r>
          </w:p>
        </w:tc>
        <w:tc>
          <w:tcPr>
            <w:tcW w:w="124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meet primary endpoint of overall survival. Phase II</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26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trials for other indications are ongoing.</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bottom w:val="single" w:sz="8" w:color="auto"/>
              <w:right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4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to the developments discussed above, we intend to submit a new drug application to the FDA based on currently-available data from Phase II clinical trials for selpercatinib, also known as LOXO-292, an oral RET inhibitor granted Breakthrough Therapy designation by the FDA. The Breakthrough Therapy designation is intended to expedite the development and review of drugs for serious or life threatening conditions where preliminary clinical evidence demonstrates that the drug may have substantial improvement on at least one clinically significant endpoint over available therapy. The submission to the FDA is expected to occur by the end of 2019.</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40"/>
          </w:cols>
          <w:pgMar w:left="240" w:top="822" w:right="21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Elanco</w:t>
      </w:r>
    </w:p>
    <w:p>
      <w:pPr>
        <w:spacing w:after="0" w:line="13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As a result, we recognized a gain on the disposition of approximately $3.7 billion in the first quarter of 2019. See Note 5 to the consolidated condensed financial statements for further discussion.</w:t>
      </w:r>
    </w:p>
    <w:p>
      <w:pPr>
        <w:spacing w:after="0" w:line="9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a result of the disposition, we now operate as a single segment. See Note 1 to the consolidated condensed financial statements for further discussion.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w:t>
      </w:r>
    </w:p>
    <w:p>
      <w:pPr>
        <w:spacing w:after="0" w:line="115"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Our compound patent protection for Cialis</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(tadalafil) and Adcirca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(tadalafil) expired in major European markets and the U.S. in November 2017; however, in the U.S., we were granted pediatric exclusivity through May 2018. Pursuant to a settlement agreement related to our unit dose patent in the U.S., generic tadalafil entered the U.S. market in September 2018. We have faced and remain exposed to generic competition following the loss of exclusivity, which has rapidly and severely eroded revenue and is likely to continue to erode revenue.</w:t>
      </w:r>
    </w:p>
    <w:p>
      <w:pPr>
        <w:spacing w:after="0" w:line="9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Our formulation patents for Forteo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December 2018, and our use patents expired in August 2019 in major European markets and the U.S. Both the formulation patent and the use patent expired in August 2019 in Japan. While it is difficult to estimate the severity of the impact and timing of generic and/or biosimilar competition, we expect a rapid and severe decline in revenue in the U.S. as a result of generic competition. Outside the U.S., we expect a decline in revenue following a recent biosimilar launch; however the decline may not be rapid and severe. In the aggregate, we expect that the decline in revenue will have a material adverse effect on our consolidated results of operations and cash flows.</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we expect to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are aware that several companies have received approval to market generic versions of pemetrexed in major European markets (including Germany France, and the Netherlands) and that additional generic competitors may choose to launch at risk. Although we will continue to seek to remove any such products, generic product entry is resulting in some loss in revenue. We expect that further entry of generic competition for Alimta following the loss of effective patent protection will cause a rapid and severe decline in revenue for the product, which will, in the aggregate, have a material adverse effect on our consolidated results of operations and cash flows. See Note 11 to the consolidated condensed financial statements for a more detailed account of the legal proceedings currently pending in the U.S., Europe, and Japan regarding our Alimta patents.</w:t>
      </w:r>
    </w:p>
    <w:p>
      <w:pPr>
        <w:spacing w:after="0" w:line="10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competitor launched a similar version of insulin lispro in certain European markets in 2017 and in the U.S. in the second quarter of 2018. While it is difficult to estimate the severity of the impact of insulin lispro products entering the market, we do not expect and have not experienced a rapid and severe decline in revenue; however, we expect additional pricing pressure and some loss of market share that would continue over time. Additionally, in the second quarter of 2019, we launched our own insulin lispro authorized generic.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 While there is uncertainty in the future movements in foreign exchange rates, fluctuations in these rates could negatively impact our future consolidated results of operations and cash flows.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42"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related to Medicaid prescription drug coverage and manufacturer drug rebates, proposals that would require biopharmaceutical manufacturers to disclose proprietary drug pricing information, and state -level proposals related to prescription drug prices and reducing the cost of pharmaceuticals purchased by government health care programs. California and several other states have enacted legislation related to prescription drug pricing transparency, and it is unclear the effect this legislation will have on our business. The Bipartisan Budget Act, enacted in February 2018, requires manufacturers of brand-name drugs, biologics, and biosimilars to pay a 70 percent discount in the Medicare Part D Coverage Gap, up from the previous 50 percent discount. This increase in coverage gap discounts became effective at the beginning of 2019. In May 2018, the White House released "American Patients First: The Trump Administration Blueprint to Lower Drug Prices and Reduce Out-of-Pocket Costs" (Blueprint). The Administration’s corresponding request for information included more than 30 proposed policy changes. We believe the effect of certain of these proposals would be positive for our business while others would have negative consequences to our business. The effect of these proposals, and those that extend beyond the Blueprint, will depend on the details and timing of the final legislation, regulation, or guidance and could lead to a wide range of outcomes. Some of these outcomes could have a material adverse effect on our consolidated results of operations and cash flows. In April 2019, the White House signed into law targeted amendments to the Medicaid Drug Rebate Program statute. We do not believe this will have a material impact to our business. In September 2019, the White House signed into law the Fair and Accurate Medicaid Pricing Act. We are currently reviewing the new statute, the impact of which is uncertain at this time. Several states passed importation legislation, including Colorado, Florida, Maine, and Vermont. Specifically, the state of Florida is working with the Administration to implement an importation program from Canada as early as 2020. We are currently reviewing the state legislation, as well as corresponding proposed federal rulemaking and guidance recently announced by the Department of Health and Human Services and the FDA, the impact of which is uncertain at this time.</w:t>
      </w:r>
    </w:p>
    <w:p>
      <w:pPr>
        <w:spacing w:after="0" w:line="10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pharmacy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Value-based agreements are another tool which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These downward pricing pressures could continue to negatively affect future consolidated results of operations and cash flows. In addition to formulary placement, changes in insurance designs continue to drive greater consumer cost sharing through high deductible plans and higher co-insurance or co-pays (including co-pay accumulator and maximizer programs). We continue to invest in patient affordability solutions (resulting in lower revenue) in an effort to assist patients in affording their medicines.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88" w:right="239" w:bottom="1440" w:gutter="0" w:footer="0" w:header="0"/>
        </w:sectPr>
      </w:pPr>
    </w:p>
    <w:bookmarkStart w:id="42" w:name="page43"/>
    <w:bookmarkEnd w:id="42"/>
    <w:p>
      <w:pPr>
        <w:ind w:right="140"/>
        <w:spacing w:after="0" w:line="251"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2022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are subject to income taxes in the U.S. and numerous foreign jurisdictions. Changes in tax laws, regulations, administrative practices, and interpretations could adversely affect our future effective tax rates. In 2017, the U.S. enacted the Tax Cuts and Jobs Act (2017 Tax Act) significantly revising U.S. tax law, and other countries are actively considering or enacting tax law changes. Further, organizations such as the Organisation for Economic Co-operation and Development and the European Commission, are active regarding tax-related matters, which could influence international tax policy in countries in which we operate. While outcomes of these initiatives continue to develop and remain uncertain, modifications to key elements of the U.S. or international tax framework could have a material adverse effect on our consolidated results of operations and cash flows.</w:t>
      </w:r>
    </w:p>
    <w:p>
      <w:pPr>
        <w:spacing w:after="0" w:line="9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Subsequent to the enactment of the 2017 Tax Act, several items of additional guidance have been issued, including Notices, Proposed Regulations, and Final Regulations. We expect that additional guidance will be issued by the end of 2019 which could materially affect the assumptions and estimates used to record our U.S. federal and state income tax expense resulting from the 2017 Tax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strategically invest in external research and technologies that we believe to complement and strengthen our own efforts. These investments can take many forms, including licensing arrangements, collaborations, and acquisitions. We view our business development activity as an important way to achieve our strategies, as we seek to bolster our pipeline and enhance shareholder value. We continue to evaluate business development transactions that have the potential to strengthen our business.</w:t>
      </w:r>
    </w:p>
    <w:p>
      <w:pPr>
        <w:spacing w:after="0" w:line="2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February 2019, we acquired all shares of Loxo for a purchase price of $6.92 billion, net of cash acquired. Under the terms of the agreement, we acquired a pipeline of investigational medicines, including selpercatinib (LOXO-292), an oral RET inhibitor that has been granted Breakthrough Therapy designation by the FDA, and LOXO-305, an oral BTK inhibitor. See Note 3 to the consolidated condensed financial statements for further discussion regarding our recent acquisitions of businesses and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Information regarding contingencies relating to certain legal proceedings can be found in Item 1. "Legal Proceedings" of Part II of this Quarterly Report on Form 10-Q and is incorporated here by reference.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0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r>
      <w:tr>
        <w:trPr>
          <w:trHeight w:val="196"/>
        </w:trPr>
        <w:tc>
          <w:tcPr>
            <w:tcW w:w="4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3,060.2</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3,070.5</w:t>
            </w:r>
          </w:p>
        </w:tc>
        <w:tc>
          <w:tcPr>
            <w:tcW w:w="10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9,203.5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9,108.5</w:t>
            </w:r>
          </w:p>
        </w:tc>
        <w:tc>
          <w:tcPr>
            <w:tcW w:w="10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1</w:t>
            </w:r>
          </w:p>
        </w:tc>
      </w:tr>
      <w:tr>
        <w:trPr>
          <w:trHeight w:val="26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2,416.4</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2,236.4</w:t>
            </w:r>
          </w:p>
        </w:tc>
        <w:tc>
          <w:tcPr>
            <w:tcW w:w="10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8</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7,002.1</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6,747.3</w:t>
            </w:r>
          </w:p>
        </w:tc>
        <w:tc>
          <w:tcPr>
            <w:tcW w:w="10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4</w:t>
            </w:r>
          </w:p>
        </w:tc>
      </w:tr>
      <w:tr>
        <w:trPr>
          <w:trHeight w:val="277"/>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5,476.6</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5,306.9</w:t>
            </w:r>
          </w:p>
        </w:tc>
        <w:tc>
          <w:tcPr>
            <w:tcW w:w="10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16,205.5</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6"/>
              </w:rPr>
              <w:t>15,855.7</w:t>
            </w:r>
          </w:p>
        </w:tc>
        <w:tc>
          <w:tcPr>
            <w:tcW w:w="102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0"/>
        </w:trPr>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6"/>
                <w:szCs w:val="16"/>
                <w:color w:val="auto"/>
              </w:rPr>
            </w:pPr>
          </w:p>
        </w:tc>
      </w:tr>
      <w:tr>
        <w:trPr>
          <w:trHeight w:val="276"/>
        </w:trPr>
        <w:tc>
          <w:tcPr>
            <w:tcW w:w="2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vs. 2018</w:t>
            </w:r>
          </w:p>
        </w:tc>
        <w:tc>
          <w:tcPr>
            <w:tcW w:w="1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 vs. 2018</w:t>
            </w:r>
          </w:p>
        </w:tc>
        <w:tc>
          <w:tcPr>
            <w:tcW w:w="1320" w:type="dxa"/>
            <w:vAlign w:val="bottom"/>
            <w:tcBorders>
              <w:bottom w:val="single" w:sz="8" w:color="auto"/>
            </w:tcBorders>
          </w:tcPr>
          <w:p>
            <w:pPr>
              <w:spacing w:after="0"/>
              <w:rPr>
                <w:sz w:val="24"/>
                <w:szCs w:val="24"/>
                <w:color w:val="auto"/>
              </w:rPr>
            </w:pPr>
          </w:p>
        </w:tc>
      </w:tr>
      <w:tr>
        <w:trPr>
          <w:trHeight w:val="264"/>
        </w:trPr>
        <w:tc>
          <w:tcPr>
            <w:tcW w:w="28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U.S.</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Outside U.S.</w:t>
            </w:r>
          </w:p>
        </w:tc>
        <w:tc>
          <w:tcPr>
            <w:tcW w:w="16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U.S.</w:t>
            </w: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70"/>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12 %</w:t>
            </w:r>
          </w:p>
        </w:tc>
        <w:tc>
          <w:tcPr>
            <w:tcW w:w="16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8 %</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6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560" w:type="dxa"/>
            <w:vAlign w:val="bottom"/>
          </w:tcPr>
          <w:p>
            <w:pPr>
              <w:jc w:val="right"/>
              <w:ind w:right="259"/>
              <w:spacing w:after="0"/>
              <w:rPr>
                <w:sz w:val="20"/>
                <w:szCs w:val="20"/>
                <w:color w:val="auto"/>
              </w:rPr>
            </w:pPr>
            <w:r>
              <w:rPr>
                <w:rFonts w:ascii="Arial" w:cs="Arial" w:eastAsia="Arial" w:hAnsi="Arial"/>
                <w:sz w:val="18"/>
                <w:szCs w:val="18"/>
                <w:color w:val="auto"/>
              </w:rPr>
              <w:t>(2)</w:t>
            </w:r>
          </w:p>
        </w:tc>
        <w:tc>
          <w:tcPr>
            <w:tcW w:w="1600" w:type="dxa"/>
            <w:vAlign w:val="bottom"/>
          </w:tcPr>
          <w:p>
            <w:pPr>
              <w:jc w:val="right"/>
              <w:ind w:right="394"/>
              <w:spacing w:after="0"/>
              <w:rPr>
                <w:sz w:val="20"/>
                <w:szCs w:val="20"/>
                <w:color w:val="auto"/>
              </w:rPr>
            </w:pPr>
            <w:r>
              <w:rPr>
                <w:rFonts w:ascii="Arial" w:cs="Arial" w:eastAsia="Arial" w:hAnsi="Arial"/>
                <w:sz w:val="18"/>
                <w:szCs w:val="18"/>
                <w:color w:val="auto"/>
              </w:rPr>
              <w:t>(4)</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1540" w:type="dxa"/>
            <w:vAlign w:val="bottom"/>
          </w:tcPr>
          <w:p>
            <w:pPr>
              <w:jc w:val="right"/>
              <w:ind w:right="239"/>
              <w:spacing w:after="0"/>
              <w:rPr>
                <w:sz w:val="20"/>
                <w:szCs w:val="20"/>
                <w:color w:val="auto"/>
              </w:rPr>
            </w:pPr>
            <w:r>
              <w:rPr>
                <w:rFonts w:ascii="Arial" w:cs="Arial" w:eastAsia="Arial" w:hAnsi="Arial"/>
                <w:sz w:val="18"/>
                <w:szCs w:val="18"/>
                <w:color w:val="auto"/>
              </w:rPr>
              <w:t>(2)</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w:t>
            </w:r>
          </w:p>
        </w:tc>
      </w:tr>
      <w:tr>
        <w:trPr>
          <w:trHeight w:val="27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8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(4)</w:t>
            </w: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w:t>
            </w:r>
          </w:p>
        </w:tc>
      </w:tr>
      <w:tr>
        <w:trPr>
          <w:trHeight w:val="277"/>
        </w:trPr>
        <w:tc>
          <w:tcPr>
            <w:tcW w:w="282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rPr>
              <w:t>8 %</w:t>
            </w: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3 %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4 %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the U.S. for the three and nine months ended September 30, 2019, the volume increase was primarily driven by Trulicity</w:t>
      </w:r>
      <w:r>
        <w:rPr>
          <w:rFonts w:ascii="Arial" w:cs="Arial" w:eastAsia="Arial" w:hAnsi="Arial"/>
          <w:sz w:val="21"/>
          <w:szCs w:val="21"/>
          <w:color w:val="auto"/>
          <w:vertAlign w:val="superscript"/>
        </w:rPr>
        <w:t>®</w:t>
      </w:r>
      <w:r>
        <w:rPr>
          <w:rFonts w:ascii="Arial" w:cs="Arial" w:eastAsia="Arial" w:hAnsi="Arial"/>
          <w:sz w:val="18"/>
          <w:szCs w:val="18"/>
          <w:color w:val="auto"/>
        </w:rPr>
        <w:t>, Taltz</w:t>
      </w:r>
      <w:r>
        <w:rPr>
          <w:rFonts w:ascii="Arial" w:cs="Arial" w:eastAsia="Arial" w:hAnsi="Arial"/>
          <w:sz w:val="21"/>
          <w:szCs w:val="21"/>
          <w:color w:val="auto"/>
          <w:vertAlign w:val="superscript"/>
        </w:rPr>
        <w:t>®</w:t>
      </w:r>
      <w:r>
        <w:rPr>
          <w:rFonts w:ascii="Arial" w:cs="Arial" w:eastAsia="Arial" w:hAnsi="Arial"/>
          <w:sz w:val="18"/>
          <w:szCs w:val="18"/>
          <w:color w:val="auto"/>
        </w:rPr>
        <w:t>, Emgality, Jardiance</w:t>
      </w:r>
      <w:r>
        <w:rPr>
          <w:rFonts w:ascii="Arial" w:cs="Arial" w:eastAsia="Arial" w:hAnsi="Arial"/>
          <w:sz w:val="21"/>
          <w:szCs w:val="21"/>
          <w:color w:val="auto"/>
          <w:vertAlign w:val="superscript"/>
        </w:rPr>
        <w:t>®</w:t>
      </w:r>
      <w:r>
        <w:rPr>
          <w:rFonts w:ascii="Arial" w:cs="Arial" w:eastAsia="Arial" w:hAnsi="Arial"/>
          <w:sz w:val="18"/>
          <w:szCs w:val="18"/>
          <w:color w:val="auto"/>
        </w:rPr>
        <w:t>, Verzenio</w:t>
      </w:r>
      <w:r>
        <w:rPr>
          <w:rFonts w:ascii="Arial" w:cs="Arial" w:eastAsia="Arial" w:hAnsi="Arial"/>
          <w:sz w:val="21"/>
          <w:szCs w:val="21"/>
          <w:color w:val="auto"/>
          <w:vertAlign w:val="superscript"/>
        </w:rPr>
        <w:t>®</w:t>
      </w:r>
      <w:r>
        <w:rPr>
          <w:rFonts w:ascii="Arial" w:cs="Arial" w:eastAsia="Arial" w:hAnsi="Arial"/>
          <w:sz w:val="18"/>
          <w:szCs w:val="18"/>
          <w:color w:val="auto"/>
        </w:rPr>
        <w:t>, and Basaglar</w:t>
      </w:r>
      <w:r>
        <w:rPr>
          <w:rFonts w:ascii="Arial" w:cs="Arial" w:eastAsia="Arial" w:hAnsi="Arial"/>
          <w:sz w:val="21"/>
          <w:szCs w:val="21"/>
          <w:color w:val="auto"/>
          <w:vertAlign w:val="superscript"/>
        </w:rPr>
        <w:t>®</w:t>
      </w:r>
      <w:r>
        <w:rPr>
          <w:rFonts w:ascii="Arial" w:cs="Arial" w:eastAsia="Arial" w:hAnsi="Arial"/>
          <w:sz w:val="18"/>
          <w:szCs w:val="18"/>
          <w:color w:val="auto"/>
        </w:rPr>
        <w:t>, partially offset by decreased volume for products that have lost exclusivity, including Cialis, as well as the impact from the withdrawal of Lartruvo. The decrease in realized prices for the three and nine months ended September 30, 2019 was primarily due to increased coverage gap funding requirements in Medicare Part D. The decrease in realized prices for the three months ended September 30, 2019 was also due to higher contracted rebates.</w:t>
      </w:r>
    </w:p>
    <w:p>
      <w:pPr>
        <w:spacing w:after="0" w:line="10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Outside the U.S. for the three and nine months ended September 30, 2019, the volume increase was primarily driven by Trulicity, Olumiant</w:t>
      </w:r>
      <w:r>
        <w:rPr>
          <w:rFonts w:ascii="Arial" w:cs="Arial" w:eastAsia="Arial" w:hAnsi="Arial"/>
          <w:sz w:val="21"/>
          <w:szCs w:val="21"/>
          <w:color w:val="auto"/>
          <w:vertAlign w:val="superscript"/>
        </w:rPr>
        <w:t>®</w:t>
      </w:r>
      <w:r>
        <w:rPr>
          <w:rFonts w:ascii="Arial" w:cs="Arial" w:eastAsia="Arial" w:hAnsi="Arial"/>
          <w:sz w:val="18"/>
          <w:szCs w:val="18"/>
          <w:color w:val="auto"/>
        </w:rPr>
        <w:t>, Jardiance, Taltz, and Verzenio, partially offset by the unfavorable impact of foreign exchange rates and, to a lesser extent, lower realized prices.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7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summarizes our revenue activity by product: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4"/>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480" w:type="dxa"/>
            <w:vAlign w:val="bottom"/>
          </w:tcPr>
          <w:p>
            <w:pPr>
              <w:spacing w:after="0"/>
              <w:rPr>
                <w:sz w:val="22"/>
                <w:szCs w:val="22"/>
                <w:color w:val="auto"/>
              </w:rPr>
            </w:pPr>
          </w:p>
        </w:tc>
      </w:tr>
      <w:tr>
        <w:trPr>
          <w:trHeight w:val="27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755.5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256.0</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1,011.5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816.2</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24</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Humalog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356.2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292.6</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648.9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664.6</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282.4</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225.9</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508.2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520.5</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(2)</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175.1</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195.7</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370.7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390.8</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(5)</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250.6</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89.4</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263.9</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29</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218.2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103.6</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321.8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322.1</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202.4</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60.8</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263.2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201.2</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31</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140.6</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100.1</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240.7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166.9</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44</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82.5</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157.5</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198.4</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21</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30.9</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153.4</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184.3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467.1</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(61)</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10.3</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168.3</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178.6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172.0</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4</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Verzenio</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124.8</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32.4</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157.2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84.5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86</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(4)</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60.1</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95.4</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135.7</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15</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113.8</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14.8</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128.6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159.5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(19)</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Olumiant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12.1</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102.5</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114.6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55.6</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Zyprexa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94.2</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105.4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109.9</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(4)</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Strattera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8.7</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43.3</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98.7</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(47)</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Emgality</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45.8</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1.9</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products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179.0</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228.6</w:t>
            </w: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407.6</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479.3</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(15)</w:t>
            </w:r>
          </w:p>
        </w:tc>
      </w:tr>
      <w:tr>
        <w:trPr>
          <w:trHeight w:val="277"/>
        </w:trPr>
        <w:tc>
          <w:tcPr>
            <w:tcW w:w="412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3,060.2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2,416.4</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5,476.6</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5,306.9</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3</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7"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9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xml:space="preserve"> and Synjardy</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6"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4"/>
          </w:tcPr>
          <w:p>
            <w:pPr>
              <w:ind w:left="560"/>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40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4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1460" w:type="dxa"/>
            <w:vAlign w:val="bottom"/>
          </w:tcPr>
          <w:p>
            <w:pPr>
              <w:spacing w:after="0"/>
              <w:rPr>
                <w:sz w:val="22"/>
                <w:szCs w:val="22"/>
                <w:color w:val="auto"/>
              </w:rPr>
            </w:pPr>
          </w:p>
        </w:tc>
      </w:tr>
      <w:tr>
        <w:trPr>
          <w:trHeight w:val="270"/>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Outside U.S.</w:t>
            </w:r>
          </w:p>
        </w:tc>
        <w:tc>
          <w:tcPr>
            <w:tcW w:w="6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2,213.2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706.5</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2,919.7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2,274.3</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28</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 xml:space="preserve">Humalog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1,201.0</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856.3</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2,057.3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2,226.1</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(8)</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905.8</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679.3</w:t>
            </w: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1,585.1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1,576.0</w:t>
            </w:r>
          </w:p>
        </w:tc>
        <w:tc>
          <w:tcPr>
            <w:tcW w:w="146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473.8</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570.6</w:t>
            </w:r>
          </w:p>
        </w:tc>
        <w:tc>
          <w:tcPr>
            <w:tcW w:w="6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1,044.4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1,138.5</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(8)</w:t>
            </w:r>
          </w:p>
        </w:tc>
      </w:tr>
      <w:tr>
        <w:trPr>
          <w:trHeight w:val="27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699.6</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246.7</w:t>
            </w: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630.4</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50</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639.6</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302.5</w:t>
            </w:r>
          </w:p>
        </w:tc>
        <w:tc>
          <w:tcPr>
            <w:tcW w:w="6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942.1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994.0</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r>
      <w:tr>
        <w:trPr>
          <w:trHeight w:val="27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632.8</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172.6</w:t>
            </w: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805.4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569.0</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42</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209.3</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483.4</w:t>
            </w:r>
          </w:p>
        </w:tc>
        <w:tc>
          <w:tcPr>
            <w:tcW w:w="6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692.7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1,501.2</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(54)</w:t>
            </w:r>
          </w:p>
        </w:tc>
      </w:tr>
      <w:tr>
        <w:trPr>
          <w:trHeight w:val="27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247.4</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432.7</w:t>
            </w: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600.8</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13</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408.4</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267.9</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676.2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465.1</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45</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38.7</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491.2</w:t>
            </w: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529.9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523.5</w:t>
            </w:r>
          </w:p>
        </w:tc>
        <w:tc>
          <w:tcPr>
            <w:tcW w:w="146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w:t>
            </w:r>
          </w:p>
        </w:tc>
      </w:tr>
      <w:tr>
        <w:trPr>
          <w:trHeight w:val="270"/>
        </w:trPr>
        <w:tc>
          <w:tcPr>
            <w:tcW w:w="4080" w:type="dxa"/>
            <w:vAlign w:val="bottom"/>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(4)</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171.9</w:t>
            </w:r>
          </w:p>
        </w:tc>
        <w:tc>
          <w:tcPr>
            <w:tcW w:w="30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269.5</w:t>
            </w:r>
          </w:p>
        </w:tc>
        <w:tc>
          <w:tcPr>
            <w:tcW w:w="60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441.4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418.5</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5</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364.1</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42.3</w:t>
            </w: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406.4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475.5</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(15)</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Verzenio</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323.5</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77.0</w:t>
            </w:r>
          </w:p>
        </w:tc>
        <w:tc>
          <w:tcPr>
            <w:tcW w:w="6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400.6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171.9</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7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29.8</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287.2</w:t>
            </w: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317.0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360.4</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(12)</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Olumiant</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29.2</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269.9</w:t>
            </w:r>
          </w:p>
        </w:tc>
        <w:tc>
          <w:tcPr>
            <w:tcW w:w="6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299.1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132.5</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7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31.4</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169.4</w:t>
            </w: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343.5</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(42)</w:t>
            </w:r>
          </w:p>
        </w:tc>
      </w:tr>
      <w:tr>
        <w:trPr>
          <w:trHeight w:val="263"/>
        </w:trPr>
        <w:tc>
          <w:tcPr>
            <w:tcW w:w="4080" w:type="dxa"/>
            <w:vAlign w:val="bottom"/>
          </w:tcPr>
          <w:p>
            <w:pPr>
              <w:ind w:left="40"/>
              <w:spacing w:after="0"/>
              <w:rPr>
                <w:sz w:val="20"/>
                <w:szCs w:val="20"/>
                <w:color w:val="auto"/>
              </w:rPr>
            </w:pPr>
            <w:r>
              <w:rPr>
                <w:rFonts w:ascii="Arial" w:cs="Arial" w:eastAsia="Arial" w:hAnsi="Arial"/>
                <w:sz w:val="18"/>
                <w:szCs w:val="18"/>
                <w:color w:val="auto"/>
              </w:rPr>
              <w:t>Emgality</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91.8</w:t>
            </w:r>
          </w:p>
        </w:tc>
        <w:tc>
          <w:tcPr>
            <w:tcW w:w="30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4.5</w:t>
            </w:r>
          </w:p>
        </w:tc>
        <w:tc>
          <w:tcPr>
            <w:tcW w:w="6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96.3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Pr>
          <w:p>
            <w:pPr>
              <w:jc w:val="center"/>
              <w:ind w:left="51"/>
              <w:spacing w:after="0"/>
              <w:rPr>
                <w:sz w:val="20"/>
                <w:szCs w:val="20"/>
                <w:color w:val="auto"/>
              </w:rPr>
            </w:pPr>
            <w:r>
              <w:rPr>
                <w:rFonts w:ascii="Arial" w:cs="Arial" w:eastAsia="Arial" w:hAnsi="Arial"/>
                <w:sz w:val="18"/>
                <w:szCs w:val="18"/>
                <w:color w:val="auto"/>
                <w:w w:val="99"/>
              </w:rPr>
              <w:t>NM</w:t>
            </w: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products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492.2</w:t>
            </w: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672.6</w:t>
            </w:r>
          </w:p>
        </w:tc>
        <w:tc>
          <w:tcPr>
            <w:tcW w:w="6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1,164.7</w:t>
            </w: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1,454.5</w:t>
            </w:r>
          </w:p>
        </w:tc>
        <w:tc>
          <w:tcPr>
            <w:tcW w:w="1460" w:type="dxa"/>
            <w:vAlign w:val="bottom"/>
            <w:shd w:val="clear" w:color="auto" w:fill="CCEEFF"/>
          </w:tcPr>
          <w:p>
            <w:pPr>
              <w:jc w:val="center"/>
              <w:ind w:left="51"/>
              <w:spacing w:after="0"/>
              <w:rPr>
                <w:sz w:val="20"/>
                <w:szCs w:val="20"/>
                <w:color w:val="auto"/>
              </w:rPr>
            </w:pPr>
            <w:r>
              <w:rPr>
                <w:rFonts w:ascii="Arial" w:cs="Arial" w:eastAsia="Arial" w:hAnsi="Arial"/>
                <w:sz w:val="18"/>
                <w:szCs w:val="18"/>
                <w:color w:val="auto"/>
                <w:w w:val="99"/>
              </w:rPr>
              <w:t>(20)</w:t>
            </w:r>
          </w:p>
        </w:tc>
      </w:tr>
      <w:tr>
        <w:trPr>
          <w:trHeight w:val="277"/>
        </w:trPr>
        <w:tc>
          <w:tcPr>
            <w:tcW w:w="40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9,203.5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7,002.1</w:t>
            </w:r>
          </w:p>
        </w:tc>
        <w:tc>
          <w:tcPr>
            <w:tcW w:w="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16,205.5</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15,855.7</w:t>
            </w:r>
          </w:p>
        </w:tc>
        <w:tc>
          <w:tcPr>
            <w:tcW w:w="1460" w:type="dxa"/>
            <w:vAlign w:val="bottom"/>
          </w:tcPr>
          <w:p>
            <w:pPr>
              <w:jc w:val="center"/>
              <w:ind w:left="31"/>
              <w:spacing w:after="0"/>
              <w:rPr>
                <w:sz w:val="20"/>
                <w:szCs w:val="20"/>
                <w:color w:val="auto"/>
              </w:rPr>
            </w:pPr>
            <w:r>
              <w:rPr>
                <w:rFonts w:ascii="Arial" w:cs="Arial" w:eastAsia="Arial" w:hAnsi="Arial"/>
                <w:sz w:val="18"/>
                <w:szCs w:val="18"/>
                <w:color w:val="auto"/>
                <w:w w:val="99"/>
              </w:rPr>
              <w:t>2</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7"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Humalog revenue includes Insulin Lispro.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 and Synjardy.</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23"/>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p>
    <w:p>
      <w:pPr>
        <w:spacing w:after="0" w:line="9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Revenue of Trulicity, a treatment for type 2 diabetes, increased 17 percent and 24 percent in the U.S. during the three and nine months ended September 30, 2019, respectively, primarily driven by increased demand, partially offset by lower realized prices resulting from the following negative price dynamics: higher contracted rebates, changes in segment mix, and increased coverage gap funding requirements in Medicare Part D. We expect these negative price dynamics to moderate by the end of 2019 and into 2020. Revenue outside the U.S. increased 50 percent and 45 percent during the three and nine months ended September 30, 2019, respectively, primarily driven by increased volume.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856" w:right="299" w:bottom="1440" w:gutter="0" w:footer="0" w:header="0"/>
        </w:sectPr>
      </w:pPr>
    </w:p>
    <w:bookmarkStart w:id="46" w:name="page47"/>
    <w:bookmarkEnd w:id="46"/>
    <w:p>
      <w:pPr>
        <w:spacing w:after="0" w:line="251" w:lineRule="auto"/>
        <w:rPr>
          <w:sz w:val="20"/>
          <w:szCs w:val="20"/>
          <w:color w:val="auto"/>
        </w:rPr>
      </w:pPr>
      <w:r>
        <w:rPr>
          <w:rFonts w:ascii="Arial" w:cs="Arial" w:eastAsia="Arial" w:hAnsi="Arial"/>
          <w:sz w:val="18"/>
          <w:szCs w:val="18"/>
          <w:color w:val="auto"/>
        </w:rPr>
        <w:t>Revenue of Humalog, our injectable human insulin analog for the treatment of diabetes, decreased 3 percent in the U.S. during the three months ended September 30, 2019, driven by decreased demand and lower realized prices. Revenue decreased 10 percent during the nine months ended September 30, 2019 driven by lower realized prices and decreased demand. Revenue outside the U.S. decreased 2 percent and 4 percent during the three and nine months ended September 30, 2019, respectively. The decrease during the three months ended September 30, 2019 was driven by the unfavorable impact of foreign exchange rates, partially offset by higher realized prices. The decrease during the nine months ended September 30, 2019 was primarily driven by the unfavorable impact of foreign exchange rates, partially offset by increased volume. A competitor launched a similar version of insulin lispro in certain European markets in 2017 and in the U.S. in the second quarter of 2018. While it is difficult to estimate the severity of the impact of similar insulin lispro products entering the market, we do not expect and have not experienced a rapid and severe decline in revenue. However, due to the impact of competition and due to pricing pressure in the U.S. and some international markets, we expect some price declines and loss of market share to continue over time. Additionally, in the second quarter of 2019, we launched our own insulin lispro authorized generic.</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Alimta, a treatment for various cancers, decreased 2 percent in the U.S. during the three months ended September 30, 2019, driven by lower realized prices and the impact of buying patterns, partially offset by increased demand. Revenue increased 11 percent in the U.S. during the nine months ended September 30, 2019, driven by increased demand. Revenue outside the U.S. decreased 3 percent in the three months ended September 30, 2019, primarily driven by lower realized prices and, to a lesser extent, the unfavorable impact of foreign exchange rates, partially offset by increased volume. Revenue decreased 11 percent in the nine months ended September 30, 2019, driven by decreased volume resulting from the entry of generic pemetrexed in Germany and the unfavorable impact of foreign exchange rates and lower realized prices. We have faced and remain exposed to generic entry in multiple countries, which has eroded revenue and is likely to continue to erode revenue from current levels.</w:t>
      </w:r>
    </w:p>
    <w:p>
      <w:pPr>
        <w:spacing w:after="0" w:line="9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4 percent and 11 percent in the U.S. during the three and nine months ended September 30, 2019, respectively, primarily due to decreased demand. The decrease in demand during the three months ended September 30, 2019 was partially offset by higher realized prices. Revenue outside the U.S. decreased 6 percent during the three months ended September 30, 2019, driven by decreased volume and, to a lesser extent, the unfavorable impact of foreign exchange rates. Revenue decreased 6 percent during the nine months ended September 30, 2019 driven by the unfavorable impact of foreign exchange rates and decreased volume. Our formulation patents for Forteo expired in December 2018, and our use patents expired in August 2019 in major European markets and the U.S. Both the formulation patent and the use patent expired in August 2019 in Japan. While it is difficult to estimate the severity of the impact and timing of generic and/or biosimilar competition, we expect a rapid and severe decline in revenue in the U.S. as a result of generic competition. Outside the U.S., we expect a decline in revenue following a recent biosimilar launch; however the decline may not be rapid and severe.</w:t>
      </w:r>
    </w:p>
    <w:p>
      <w:pPr>
        <w:spacing w:after="0" w:line="104"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Revenue of Taltz, a treatment for moderate-to-severe plaque psoriasis and active psoriatic arthritis, increased 19 percent and 41 percent in the U.S. during the three and nine months ended September 30, 2019, respectively, driven by increased demand, partially offset by lower realized prices primarily due to changes in estimates for rebates and discounts. Revenue outside the U.S. increased 68 percent and 83 percent during the three and nine months ended September 30, 2019, respectively, primarily driven by increased volume from recent launches.</w:t>
      </w:r>
    </w:p>
    <w:p>
      <w:pPr>
        <w:spacing w:after="0" w:line="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Humulin, an injectable human insulin for the treatment of diabetes, increased 1 percent in the U.S. during the three months ended September 30, 2019, driven by higher realized prices, partially offset by decreased volume. Revenue decreased 6 percent in the U.S. during the nine months ended September 30, 2019, driven primarily by lower realized prices due to changes in estimates to rebates and discounts, changes in segment mix, and increased coverage gap funding in Medicare Part D. Revenue outside the U.S. decreased 1 percent during the three months ended September 30, 2019, due to the unfavorable impact of foreign exchange rates, partially offset by higher realized prices and increased volume. Revenue decreased 4 percent during the nine months ended September 30, 2019, respectively, due to the unfavorable impact of foreign exchange rates, partially offset by increased volume.</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of Basaglar, a long-acting human insulin analog for the treatment of diabetes, increased 29 percent and 44 percent in the U.S. during the three and nine months ended September 30, 2019, respectively, primarily driven by increased demand and higher realized prices. Revenue outside the U.S. increased 39 percent and 34 percent during the three and nine months ended September 30, 2019, respectively, primarily driven by increased volume. See Note 4 to the consolidated condensed financial statements for information regarding our collaboration with Boehringer Ingelheim involving Basaglar.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06" w:right="259" w:bottom="1440" w:gutter="0" w:footer="0" w:header="0"/>
        </w:sectPr>
      </w:pPr>
    </w:p>
    <w:bookmarkStart w:id="47" w:name="page48"/>
    <w:bookmarkEnd w:id="47"/>
    <w:p>
      <w:pPr>
        <w:spacing w:after="0" w:line="252" w:lineRule="auto"/>
        <w:rPr>
          <w:sz w:val="20"/>
          <w:szCs w:val="20"/>
          <w:color w:val="auto"/>
        </w:rPr>
      </w:pPr>
      <w:r>
        <w:rPr>
          <w:rFonts w:ascii="Arial" w:cs="Arial" w:eastAsia="Arial" w:hAnsi="Arial"/>
          <w:sz w:val="18"/>
          <w:szCs w:val="18"/>
          <w:color w:val="auto"/>
        </w:rPr>
        <w:t>Revenue of Cialis, a treatment for erectile dysfunction and benign prostatic hyperplasia, decreased 90 percent and 78 percent in the U.S. during the three and nine months ended September 30, 2019, respectively, driven by decreased demand due to generic competition. Revenue outside the U.S. decreased 10 percent during the three months ended September 30, 2019 driven by decreased demand due to generic competition and, to a lesser extent, lower realized prices and the unfavorable impact of foreign exchange rates. Revenue decreased 11 percent during the nine months ended September 30, 2019 driven by the unfavorable impact of foreign exchange rates, decreased demand due to generic competition and, to a lesser extent, lower realized prices. We have faced and remain exposed to generic competition following the loss of exclusivity, which has eroded revenue and is likely to continue to rapidly and severely erode revenue from current levels. See "Executive Overview - Other Matters - Patent Matters" for more information.</w:t>
      </w:r>
    </w:p>
    <w:p>
      <w:pPr>
        <w:spacing w:after="0" w:line="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of Cyramza, a treatment for various cancers, increased 23 percent and 17 percent in the U.S. during the three and nine months ended September 30, 2019, respectively, driven by increased demand and, to a lesser extent, higher realized prices. Revenue outside the U.S. increased 20 percent and 11 percent during the three and nine months ended September 30, 2019, driven by increased volume. The increase in revenue during the nine months ended September 30, 2019 was partially offset by the unfavorable impact of foreign exchange rates and higher realized prices.</w:t>
      </w:r>
    </w:p>
    <w:p>
      <w:pPr>
        <w:spacing w:after="0" w:line="20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 of Jardiance, a treatment for type 2 diabetes and to reduce the risk of cardiovascular death in adult patients with type 2 diabetes and established cardiovascular disease, increased 35 percent and 43 percent in the U.S. during the three and nine months ended September 30, 2019, respectively, driven by increased demand. Revenue outside the U.S. increased 60 percent and 49 percent during the three and nine months ended September 30, 2019, respectively, driven by increased volume, partially offset by the unfavorable impact of foreign exchange rates. See Note 4 to the consolidated condensed financial statements for information regarding our collaboration with Boehringer Ingelheim involving Jardiance.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Gross margin as a percent of revenue increased 0.2 percentage points to 78.5 percent and increased 1.2 percentage points to 78.8 percent for the three and nine months ended September 30, 2019, respectively. The increase in gross margin percent for the three months ended September 30, 2019 was primarily due to the favorable effect of foreign exchange rates on international inventories sold, lower intangibles amortization expense, and greater manufacturing efficiencies, partially offset by unfavorable product mix primarily as a result of the loss of patent exclusivity for Cialis, and the impact of lower realized prices on revenue. The increase in gross margin percent for the nine months ended September 30, 2019 was primarily due to the favorable effect of foreign exchange rates on international inventories sold and lower intangibles amortization expense, partially offset by unfavorable product mix primarily as a result of the loss of patent exclusivity for Cialis, the impact of lower realized prices on revenue, and charges resulting from the suspension of promotion of Lartruvo.</w:t>
      </w:r>
    </w:p>
    <w:p>
      <w:pPr>
        <w:spacing w:after="0" w:line="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Research and development expenses increased 8 percent to $1.38 billion and 10 percent to $4.01 billion for the three and nine months ended September 30, 2019, respectively, driven by higher development expenses for late-stage assets.</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Marketing, selling, and administrative expenses decreased 3 percent to $1.41 billion for the three months ended September 30, 2019, as lower spending on late life-cycle products, lower litigation charges, and ongoing cost containment measures were partially offset by increased expenses for recently launched products. Marketing, selling, and administrative expenses increased 5 percent to $4.52 billion for the nine months ended September 30, 2019, respectively, primarily due to increased marketing expenses to support the recent U.S. launch of Emgality, as well as other recent product launches.</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recognized $ 77.7 million and $239.6 million of acquired IPR&amp;D charges for the three and nine months ended September 30, 2019, respectively. The charge for the three months ended September 30, 2019 was related to the collaborations with Centrexion and AC Immune. The nine months ended September 30, 2019 also included charges related to collaborations with ImmuNext and Avidity. We recognized $30.0 million and $1.65 billion of acquired IPR&amp;D charges for the three and nine months ended September 30, 2018, respectively. The charge for the three months ended September 30, 2018 was related to the collaboration with Anima. The nine months ended September 30, 2018 also included charges related to the acquisitions of ARMO and AurKa, as well as the collaboration with Sigilon. See Note 3 to the consolidated condensed financial statements for additional information.</w:t>
      </w:r>
    </w:p>
    <w:p>
      <w:pPr>
        <w:spacing w:after="0" w:line="9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There were no asset impairment, restructuring, and other special charges recognized during the three months ended September 30, 2019. We recognized asset impairment, restructuring, and other special charges of $423.9 million for the nine months ended September 30, 2019, which included $400.7 million related to the acquisition 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06" w:right="259" w:bottom="1440" w:gutter="0" w:footer="0" w:header="0"/>
        </w:sectPr>
      </w:pPr>
    </w:p>
    <w:bookmarkStart w:id="48" w:name="page49"/>
    <w:bookmarkEnd w:id="48"/>
    <w:p>
      <w:pPr>
        <w:spacing w:after="0" w:line="254" w:lineRule="auto"/>
        <w:rPr>
          <w:sz w:val="20"/>
          <w:szCs w:val="20"/>
          <w:color w:val="auto"/>
        </w:rPr>
      </w:pPr>
      <w:r>
        <w:rPr>
          <w:rFonts w:ascii="Arial" w:cs="Arial" w:eastAsia="Arial" w:hAnsi="Arial"/>
          <w:sz w:val="18"/>
          <w:szCs w:val="18"/>
          <w:color w:val="auto"/>
        </w:rPr>
        <w:t>Loxo, substantially all of which is associated with the accelerated vesting of Loxo employee equity awards. We recognized asset impairment, restructuring, and other special charges of $42.9 million and $74.2 million during the three and nine months ended September 30, 2018, respectively, primarily due to asset impairments, exit costs, and other charges related to the sale of the Posilac (rbST) brand and the associated Augusta, Georgia manufacturing site, partially offset with a gain recognized associated with a pension curtailment.</w:t>
      </w:r>
    </w:p>
    <w:p>
      <w:pPr>
        <w:spacing w:after="0" w:line="96"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Other–net, (income) expense was expense of $24.9 million and income of $28.7 million for the three and nine months ended September 30, 2019, respectively, compared with expense of $1.9 million and income of $114.2 million for the three and nine months ended September 30, 2018, respectively. See Note 13 to the consolidated condensed financial statements for additional information.</w:t>
      </w:r>
    </w:p>
    <w:p>
      <w:pPr>
        <w:spacing w:after="0" w:line="9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effective tax rate was 10.8 percent for the three months ended September 30, 2019, driven by a net discrete tax benefit related to the settlement of certain tax matters as a result of statute of limitations expirations. The effective tax rate for the nine months ended September 30, 2019 was 12.8 percent, reflecting the non-deductibility of accelerated vesting of Loxo employee equity awards as part of the closing of the acquisition of Loxo, tax expenses associated with the suspension of promotion of Lartruvo, as well as net discrete tax benefits resulting from the settlement of certain tax matters as a result of statute of limitations expirations and the resolution of certain global income tax audits. The effective tax rate for the three months ended September 30, 2018 was 18.5 percent, reflecting a net discrete tax detriment related to tax expenses for U.S. tax reform and the Elanco separation. The effective tax rate for the nine months ended September 30, 2018 was 26.2 percent, as it also reflected these tax charges, as well as the non-deductible acquired IPR&amp;D charges totaling $1.56 billion related to the acquisitions of ARMO and AurKa.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Cash and cash equivalents decreased to $ 1.56 billion as of September 30, 2019, compared with $7.32 billion as of December 31, 2018. Refer to the consolidated condensed statements of cash flows for additional information on the significant sources and uses of cash for the nine months ended September 30, 2019 and 2018.</w:t>
      </w:r>
    </w:p>
    <w:p>
      <w:pPr>
        <w:spacing w:after="0" w:line="9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$1.91 billion and $2.09 billion as of September 30, 2019 and December 31, 2018, respectively. See Note 7 to the consolidated condensed financial statements for additional information.</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Total debt increased to $15.23 billion as of September 30, 2019, compared with $10.30 billion as of December 31, 2018. The increase primarily related to the net proceeds of $4.45 billion from the issuance of senior notes in February 2019. The proceeds from these notes were used to fund the acquisition of Loxo and for general corporate purposes. See Note 7 to the consolidated condensed financial statements for additional information.</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commenced a tender offer to purchase for cash approximately $2.00 billion aggregate principal amount of certain of our outstanding series of notes, subject to certain specified conditions, including the completion of an offering of debt securities. We plan to use the proceeds of such offering, together with cash on hand, to pay the consideration for any tendered notes that we accept for purchase. Holders of the notes subject to the tender offer are not obligated to tender their notes to us pursuant to the tender offer. Accordingly, there can be no assurance that any of the notes will be tendered and accepted for purchase in the tender offer.</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September 30, 2019, we had a total of $5.42 billion of committed bank credit facilities, $5.00 billion of which is available to support our commercial paper program. In January 2019, we entered into a $4.00 billion credit facility to support our commercial paper program, which was terminated upon closing of the February 2019 debt offering. We believe that amounts accessible through existing commercial paper markets should be adequate to fund short-term borrowing needs.</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the nine months ended September 30, 2019, we repurchased $4.10 billion of shares under our $8.00 billion share repurchase program authorized in June 2018. As of September 30, 2019, we had $1.80 billion remaining under this program.</w:t>
      </w:r>
    </w:p>
    <w:p>
      <w:pPr>
        <w:spacing w:after="0" w:line="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under our share repurchase program, and capital expenditures.</w:t>
      </w:r>
    </w:p>
    <w:p>
      <w:pPr>
        <w:spacing w:after="0" w:line="88"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On March 11, 2019, we completed the disposition of our remaining 80.2 percent ownership of Elanco common stock through a tax-free exchange offer, which resulted in a reduction in shares of our common stock outstanding by approximately 65 million as of that date.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0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"Executive Overview - Other Matters - Foreign Currency Exchange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Full-year 2019 EPS is now anticipated to be in the range of $8.59 to $8.69. We still expect 2019 revenue of between $22.0 billion and $22.5 billion. Revenue growth is expected to be driven by volume from Trulicity, Taltz, Basaglar, Jardiance, Verzenio, Cyramza, Olumiant, and Emgality. Revenue growth is also expected to benefit from the recent launch of Baqsimi. Revenue growth is expected to be partially offset by lower revenue for Cialis and other products that have lost patent exclusivity. Revenue growth is also expected to be partially offset by the negative impact of foreign exchange rates, a mid-single digit net price decline in the U.S. driven primarily by rebates and legislated increases to Medicare Part D cost sharing, patient affordability programs, price declines in some international markets, and the impact of the product withdrawal of Lartruvo.</w:t>
      </w:r>
    </w:p>
    <w:p>
      <w:pPr>
        <w:spacing w:after="0" w:line="9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Gross margin as a percent of revenue is still expected to be approximately 79.0 percent. Research and development expenses are still expected to be in the range of $5.5 billion to $5.7 billion. Marketing, selling, and administrative expenses are still expected to be in the range of $5.9 billion to $6.1 billion. Other—net, (income) expense is now expected to be between income of $50 million and expense of $100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2019 tax rate is now expected to be in the range of 13 percent to 14 percent.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 The information contained in, or that can be accessed through, our website is not a part of, or incorporated by reference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60" w:hanging="652"/>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jc w:val="both"/>
        <w:ind w:left="660" w:right="48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Joshua L. Smiley, senior vice president and chief financial officer, evaluated our disclosure controls and procedures as of September 30, 2019, and concluded that they were effective.</w:t>
      </w:r>
    </w:p>
    <w:p>
      <w:pPr>
        <w:spacing w:after="0" w:line="75" w:lineRule="exact"/>
        <w:rPr>
          <w:rFonts w:ascii="Arial" w:cs="Arial" w:eastAsia="Arial" w:hAnsi="Arial"/>
          <w:sz w:val="18"/>
          <w:szCs w:val="18"/>
          <w:color w:val="auto"/>
        </w:rPr>
      </w:pPr>
    </w:p>
    <w:p>
      <w:pPr>
        <w:ind w:left="660" w:right="320" w:hanging="652"/>
        <w:spacing w:after="0" w:line="28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third quarter of 2019,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06" w:right="259" w:bottom="1440" w:gutter="0" w:footer="0" w:header="0"/>
        </w:sectPr>
      </w:pPr>
    </w:p>
    <w:bookmarkStart w:id="50" w:name="page51"/>
    <w:bookmarkEnd w:id="50"/>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Consolidated Condensed Financial Statements for information on various legal proceedings, including but not limited to:</w:t>
      </w:r>
    </w:p>
    <w:p>
      <w:pPr>
        <w:spacing w:after="0" w:line="144"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 liability litigation involving Cymbalta;</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litigation in Brazil regarding the Cosmopolis facility;</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proceedings involving Adocia; and</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insulin pricing litigation and investigations.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the Legal Proceedings disclosures in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2018 (Part I, Item 3) and our Quarterly Report on Form 10-Q for the quarter ended </w:t>
      </w:r>
      <w:hyperlink r:id="rId12">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3">
        <w:r>
          <w:rPr>
            <w:rFonts w:ascii="Arial" w:cs="Arial" w:eastAsia="Arial" w:hAnsi="Arial"/>
            <w:sz w:val="18"/>
            <w:szCs w:val="18"/>
            <w:u w:val="single" w:color="auto"/>
            <w:color w:val="0000EE"/>
          </w:rPr>
          <w:t>June 30,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(See Part II, Item 1).</w:t>
      </w:r>
    </w:p>
    <w:p>
      <w:pPr>
        <w:spacing w:after="0" w:line="12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139" w:lineRule="exact"/>
        <w:rPr>
          <w:rFonts w:ascii="Arial" w:cs="Arial" w:eastAsia="Arial" w:hAnsi="Arial"/>
          <w:sz w:val="18"/>
          <w:szCs w:val="18"/>
          <w:color w:val="auto"/>
        </w:rPr>
      </w:pPr>
    </w:p>
    <w:p>
      <w:pPr>
        <w:ind w:right="20"/>
        <w:spacing w:after="0" w:line="251" w:lineRule="auto"/>
        <w:rPr>
          <w:sz w:val="20"/>
          <w:szCs w:val="20"/>
          <w:color w:val="auto"/>
        </w:rPr>
      </w:pPr>
      <w:r>
        <w:rPr>
          <w:rFonts w:ascii="Arial" w:cs="Arial" w:eastAsia="Arial" w:hAnsi="Arial"/>
          <w:sz w:val="18"/>
          <w:szCs w:val="18"/>
          <w:color w:val="auto"/>
        </w:rPr>
        <w:t>We are named as a defendant in approximately 250 Axiron personal injury/product liability lawsuits in the U.S. involving approximately 250 plaintiffs. In some of the cases, other manufacturers of testosterone are named as co-defendants. Nearly all of these lawsuits have been consolidated in a federal multi-district litigation in the U.S. District Court for the Northern District of Illinois. A small number of lawsuits have been filed in state courts. The cases generally allege cardiovascular and related injuries. We have reached agreement on a settlement framework that provides for a comprehensive resolution of nearly all of these personal injury claims alleging cardiovascular and related injuries from Axiron treatment. While we are in the process of settling these cases, there can be no assurances, however, that a final settlement of all cases will be reached. We have also been engaged in litigation with Medical Mutual of Ohio (“MMO”), which filed a class action complaint against multiple manufacturers of testosterone products, including us, in the U.S. District Court for the Northern District of Illinois, on behalf of third-party payers who paid for those products and is seeking damages under the Federal Racketeer Influenced and Corrupt Organizations Act. MMO's motion for class certification was denied, and in February 2019, the District Court granted summary judgment in favor of defendants, dismissing MMO's lawsuit with prejudice. MMO’s appeal of this dismissal is currently pending before the U.S. Court of Appeals for the Seventh Circuit, and an oral argument is scheduled for November 2019. We continue to believe all of these lawsuits are without merit and are defending against them vigorously.</w:t>
      </w:r>
    </w:p>
    <w:p>
      <w:pPr>
        <w:spacing w:after="0" w:line="31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Other Patent Matters</w:t>
      </w:r>
    </w:p>
    <w:p>
      <w:pPr>
        <w:spacing w:after="0" w:line="139" w:lineRule="exact"/>
        <w:rPr>
          <w:rFonts w:ascii="Arial" w:cs="Arial" w:eastAsia="Arial" w:hAnsi="Arial"/>
          <w:sz w:val="18"/>
          <w:szCs w:val="18"/>
          <w:color w:val="auto"/>
        </w:rPr>
      </w:pPr>
    </w:p>
    <w:p>
      <w:pPr>
        <w:ind w:right="240"/>
        <w:spacing w:after="0" w:line="253" w:lineRule="auto"/>
        <w:rPr>
          <w:sz w:val="20"/>
          <w:szCs w:val="20"/>
          <w:color w:val="auto"/>
        </w:rPr>
      </w:pPr>
      <w:r>
        <w:rPr>
          <w:rFonts w:ascii="Arial" w:cs="Arial" w:eastAsia="Arial" w:hAnsi="Arial"/>
          <w:sz w:val="18"/>
          <w:szCs w:val="18"/>
          <w:color w:val="auto"/>
        </w:rPr>
        <w:t>We have been named as a defendant in litigation filed by Genentech, Inc. (Genentech) in the U.S. District Court for the Southern District of California seeking a ruling that Genentech’s patent would be infringed by our continued sales of Taltz. We believe this lawsuit is without merit and are defending against it vigorously. Separately, the U.S. Patent and Trademark Office (USPTO) has granted our request to initiate a post grant review to examine the validity of Genentech’s patent asserted against us in the litigation. We expect USPTO’s decision on the merits in the fourth quarter of 2020.</w:t>
      </w:r>
    </w:p>
    <w:p>
      <w:pPr>
        <w:spacing w:after="0" w:line="13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355" w:lineRule="exact"/>
        <w:rPr>
          <w:rFonts w:ascii="Arial" w:cs="Arial" w:eastAsia="Arial" w:hAnsi="Arial"/>
          <w:sz w:val="18"/>
          <w:szCs w:val="18"/>
          <w:color w:val="auto"/>
        </w:rPr>
      </w:pPr>
    </w:p>
    <w:p>
      <w:pPr>
        <w:ind w:right="240"/>
        <w:spacing w:after="0" w:line="254" w:lineRule="auto"/>
        <w:rPr>
          <w:sz w:val="20"/>
          <w:szCs w:val="20"/>
          <w:color w:val="auto"/>
        </w:rPr>
      </w:pPr>
      <w:r>
        <w:rPr>
          <w:rFonts w:ascii="Arial" w:cs="Arial" w:eastAsia="Arial" w:hAnsi="Arial"/>
          <w:sz w:val="18"/>
          <w:szCs w:val="18"/>
          <w:color w:val="auto"/>
        </w:rPr>
        <w:t>We are named as a defendant in a lawsuit in the U.S. District Court for the Eastern District of Texas seeking damages under the federal anti-kickback statute and state and federal false claims acts for certain patient support programs related to our products Humalog, Humulin, and Forteo. In September 2019, the U.S. District Court granted the Department of Justice's motion to dismiss the relator’s second amended complaint.</w:t>
      </w:r>
    </w:p>
    <w:p>
      <w:pPr>
        <w:spacing w:after="0" w:line="96" w:lineRule="exact"/>
        <w:rPr>
          <w:rFonts w:ascii="Arial" w:cs="Arial" w:eastAsia="Arial" w:hAnsi="Arial"/>
          <w:sz w:val="18"/>
          <w:szCs w:val="18"/>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9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Item 1A of our Annual Report on </w:t>
      </w:r>
      <w:hyperlink r:id="rId1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There have been no material changes from the risk factors previously disclosed in our Annual Report.</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576"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September 30,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40" w:type="dxa"/>
            <w:vAlign w:val="bottom"/>
          </w:tcPr>
          <w:p>
            <w:pPr>
              <w:spacing w:after="0"/>
              <w:rPr>
                <w:sz w:val="14"/>
                <w:szCs w:val="14"/>
                <w:color w:val="auto"/>
              </w:rPr>
            </w:pPr>
          </w:p>
        </w:tc>
        <w:tc>
          <w:tcPr>
            <w:tcW w:w="2180" w:type="dxa"/>
            <w:vAlign w:val="bottom"/>
          </w:tcPr>
          <w:p>
            <w:pPr>
              <w:jc w:val="center"/>
              <w:ind w:right="20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340" w:type="dxa"/>
            <w:vAlign w:val="bottom"/>
          </w:tcPr>
          <w:p>
            <w:pPr>
              <w:spacing w:after="0"/>
              <w:rPr>
                <w:sz w:val="14"/>
                <w:szCs w:val="14"/>
                <w:color w:val="auto"/>
              </w:rPr>
            </w:pPr>
          </w:p>
        </w:tc>
        <w:tc>
          <w:tcPr>
            <w:tcW w:w="218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4"/>
                <w:szCs w:val="14"/>
                <w:color w:val="auto"/>
              </w:rPr>
            </w:pP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July 2019</w:t>
            </w:r>
          </w:p>
        </w:tc>
        <w:tc>
          <w:tcPr>
            <w:tcW w:w="1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109.51</w:t>
            </w:r>
          </w:p>
        </w:tc>
        <w:tc>
          <w:tcPr>
            <w:tcW w:w="23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267</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2,370.8</w:t>
            </w: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August 2019</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4,195</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111.39</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4,195</w:t>
            </w:r>
          </w:p>
        </w:tc>
        <w:tc>
          <w:tcPr>
            <w:tcW w:w="340" w:type="dxa"/>
            <w:vAlign w:val="bottom"/>
          </w:tcPr>
          <w:p>
            <w:pPr>
              <w:spacing w:after="0"/>
              <w:rPr>
                <w:sz w:val="22"/>
                <w:szCs w:val="22"/>
                <w:color w:val="auto"/>
              </w:rPr>
            </w:pP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1,903.5</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2019</w:t>
            </w:r>
          </w:p>
        </w:tc>
        <w:tc>
          <w:tcPr>
            <w:tcW w:w="1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929</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111.43</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929</w:t>
            </w:r>
          </w:p>
        </w:tc>
        <w:tc>
          <w:tcPr>
            <w:tcW w:w="34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1,800.0</w:t>
            </w: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5,391</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111.30</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5,391</w:t>
            </w: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r>
    </w:tbl>
    <w:p>
      <w:pPr>
        <w:spacing w:after="0" w:line="10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During the three months ended September 30, 2019, we repurchased $600.0 million of shares under the $8.00 billion share repurchase program authorized in June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420"/>
          </w:cols>
          <w:pgMar w:left="240" w:top="576"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David A. Ricks, Chairman, President, and Chief Executive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Joshua L. Smiley, Senior Vice President and Chief Financial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576"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Index to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pacing w:after="0" w:line="63" w:lineRule="exact"/>
        <w:rPr>
          <w:sz w:val="20"/>
          <w:szCs w:val="20"/>
          <w:color w:val="auto"/>
        </w:rPr>
      </w:pPr>
    </w:p>
    <w:p>
      <w:pPr>
        <w:ind w:left="2540" w:right="380" w:hanging="2511"/>
        <w:spacing w:after="0" w:line="246" w:lineRule="auto"/>
        <w:tabs>
          <w:tab w:leader="none" w:pos="2520" w:val="left"/>
        </w:tabs>
        <w:rPr>
          <w:rFonts w:ascii="Arial" w:cs="Arial" w:eastAsia="Arial" w:hAnsi="Arial"/>
          <w:sz w:val="18"/>
          <w:szCs w:val="18"/>
          <w:u w:val="single" w:color="auto"/>
          <w:color w:val="0000FF"/>
        </w:rPr>
      </w:pPr>
      <w:r>
        <w:rPr>
          <w:rFonts w:ascii="Arial" w:cs="Arial" w:eastAsia="Arial" w:hAnsi="Arial"/>
          <w:sz w:val="18"/>
          <w:szCs w:val="18"/>
          <w:color w:val="auto"/>
        </w:rPr>
        <w:t>EXHIBIT 3.1</w:t>
      </w:r>
      <w:r>
        <w:rPr>
          <w:sz w:val="20"/>
          <w:szCs w:val="20"/>
          <w:color w:val="auto"/>
        </w:rPr>
        <w:tab/>
      </w:r>
      <w:hyperlink r:id="rId56">
        <w:r>
          <w:rPr>
            <w:rFonts w:ascii="Arial" w:cs="Arial" w:eastAsia="Arial" w:hAnsi="Arial"/>
            <w:sz w:val="18"/>
            <w:szCs w:val="18"/>
            <w:u w:val="single" w:color="auto"/>
            <w:color w:val="0000FF"/>
          </w:rPr>
          <w:t>Amended Articles of Incorporation are incorporated by reference to Exhibit 3.1 to the Company's Report on</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Form 10-K for the year ended December 31, 2013</w:t>
        </w:r>
      </w:hyperlink>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color w:val="auto"/>
              </w:rPr>
              <w:t>EXHIBIT 3.2</w:t>
            </w:r>
          </w:p>
        </w:tc>
        <w:tc>
          <w:tcPr>
            <w:tcW w:w="8400" w:type="dxa"/>
            <w:vAlign w:val="bottom"/>
            <w:tcBorders>
              <w:bottom w:val="single" w:sz="8" w:color="0000FF"/>
            </w:tcBorders>
            <w:gridSpan w:val="5"/>
          </w:tcPr>
          <w:p>
            <w:pPr>
              <w:spacing w:after="0"/>
              <w:rPr>
                <w:rFonts w:ascii="Arial" w:cs="Arial" w:eastAsia="Arial" w:hAnsi="Arial"/>
                <w:sz w:val="18"/>
                <w:szCs w:val="18"/>
                <w:color w:val="0000FF"/>
                <w:w w:val="99"/>
              </w:rPr>
            </w:pPr>
            <w:hyperlink r:id="rId57">
              <w:r>
                <w:rPr>
                  <w:rFonts w:ascii="Arial" w:cs="Arial" w:eastAsia="Arial" w:hAnsi="Arial"/>
                  <w:sz w:val="18"/>
                  <w:szCs w:val="18"/>
                  <w:color w:val="0000FF"/>
                  <w:w w:val="99"/>
                </w:rPr>
                <w:t>Bylaws, as amended, are incorporated by reference to Exhibit 99.1 to the Company's Report on Form 8-K</w:t>
              </w:r>
            </w:hyperlink>
          </w:p>
        </w:tc>
      </w:tr>
      <w:tr>
        <w:trPr>
          <w:trHeight w:val="183"/>
        </w:trPr>
        <w:tc>
          <w:tcPr>
            <w:tcW w:w="2500" w:type="dxa"/>
            <w:vAlign w:val="bottom"/>
          </w:tcPr>
          <w:p>
            <w:pPr>
              <w:spacing w:after="0"/>
              <w:rPr>
                <w:sz w:val="15"/>
                <w:szCs w:val="15"/>
                <w:color w:val="auto"/>
              </w:rPr>
            </w:pPr>
          </w:p>
        </w:tc>
        <w:tc>
          <w:tcPr>
            <w:tcW w:w="234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dated on December 18, 2018</w:t>
              </w:r>
            </w:hyperlink>
          </w:p>
        </w:tc>
        <w:tc>
          <w:tcPr>
            <w:tcW w:w="6060" w:type="dxa"/>
            <w:vAlign w:val="bottom"/>
            <w:gridSpan w:val="3"/>
          </w:tcPr>
          <w:p>
            <w:pPr>
              <w:spacing w:after="0"/>
              <w:rPr>
                <w:sz w:val="15"/>
                <w:szCs w:val="15"/>
                <w:color w:val="auto"/>
              </w:rPr>
            </w:pPr>
          </w:p>
        </w:tc>
      </w:tr>
      <w:tr>
        <w:trPr>
          <w:trHeight w:val="561"/>
        </w:trPr>
        <w:tc>
          <w:tcPr>
            <w:tcW w:w="2500" w:type="dxa"/>
            <w:vAlign w:val="bottom"/>
          </w:tcPr>
          <w:p>
            <w:pPr>
              <w:spacing w:after="0"/>
              <w:rPr>
                <w:sz w:val="20"/>
                <w:szCs w:val="20"/>
                <w:color w:val="auto"/>
              </w:rPr>
            </w:pPr>
            <w:r>
              <w:rPr>
                <w:rFonts w:ascii="Arial" w:cs="Arial" w:eastAsia="Arial" w:hAnsi="Arial"/>
                <w:sz w:val="18"/>
                <w:szCs w:val="18"/>
                <w:color w:val="auto"/>
              </w:rPr>
              <w:t>EXHIBIT 31.1</w:t>
            </w:r>
          </w:p>
        </w:tc>
        <w:tc>
          <w:tcPr>
            <w:tcW w:w="8400" w:type="dxa"/>
            <w:vAlign w:val="bottom"/>
            <w:gridSpan w:val="5"/>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Rule 13a-14(a) Certification of David A. Ricks, Chairman, President, and Chief Executive Officer</w:t>
              </w:r>
            </w:hyperlink>
          </w:p>
        </w:tc>
      </w:tr>
      <w:tr>
        <w:trPr>
          <w:trHeight w:val="20"/>
        </w:trPr>
        <w:tc>
          <w:tcPr>
            <w:tcW w:w="250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61"/>
        </w:trPr>
        <w:tc>
          <w:tcPr>
            <w:tcW w:w="2500" w:type="dxa"/>
            <w:vAlign w:val="bottom"/>
          </w:tcPr>
          <w:p>
            <w:pPr>
              <w:spacing w:after="0"/>
              <w:rPr>
                <w:sz w:val="20"/>
                <w:szCs w:val="20"/>
                <w:color w:val="auto"/>
              </w:rPr>
            </w:pPr>
            <w:r>
              <w:rPr>
                <w:rFonts w:ascii="Arial" w:cs="Arial" w:eastAsia="Arial" w:hAnsi="Arial"/>
                <w:sz w:val="18"/>
                <w:szCs w:val="18"/>
                <w:color w:val="auto"/>
              </w:rPr>
              <w:t>EXHIBIT 31.2</w:t>
            </w:r>
          </w:p>
        </w:tc>
        <w:tc>
          <w:tcPr>
            <w:tcW w:w="782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56">
              <w:r>
                <w:rPr>
                  <w:rFonts w:ascii="Arial" w:cs="Arial" w:eastAsia="Arial" w:hAnsi="Arial"/>
                  <w:sz w:val="18"/>
                  <w:szCs w:val="18"/>
                  <w:color w:val="0000FF"/>
                  <w:w w:val="99"/>
                </w:rPr>
                <w:t>Rule 13a-14(a) Certification of Joshua L. Smiley, Senior Vice President and Chief Financial Officer</w:t>
              </w:r>
            </w:hyperlink>
          </w:p>
        </w:tc>
        <w:tc>
          <w:tcPr>
            <w:tcW w:w="580" w:type="dxa"/>
            <w:vAlign w:val="bottom"/>
          </w:tcPr>
          <w:p>
            <w:pPr>
              <w:spacing w:after="0"/>
              <w:rPr>
                <w:sz w:val="24"/>
                <w:szCs w:val="24"/>
                <w:color w:val="auto"/>
              </w:rPr>
            </w:pPr>
          </w:p>
        </w:tc>
      </w:tr>
      <w:tr>
        <w:trPr>
          <w:trHeight w:val="561"/>
        </w:trPr>
        <w:tc>
          <w:tcPr>
            <w:tcW w:w="2500" w:type="dxa"/>
            <w:vAlign w:val="bottom"/>
          </w:tcPr>
          <w:p>
            <w:pPr>
              <w:spacing w:after="0"/>
              <w:rPr>
                <w:sz w:val="20"/>
                <w:szCs w:val="20"/>
                <w:color w:val="auto"/>
              </w:rPr>
            </w:pPr>
            <w:r>
              <w:rPr>
                <w:rFonts w:ascii="Arial" w:cs="Arial" w:eastAsia="Arial" w:hAnsi="Arial"/>
                <w:sz w:val="18"/>
                <w:szCs w:val="18"/>
                <w:color w:val="auto"/>
              </w:rPr>
              <w:t>EXHIBIT 32.</w:t>
            </w:r>
          </w:p>
        </w:tc>
        <w:tc>
          <w:tcPr>
            <w:tcW w:w="2060" w:type="dxa"/>
            <w:vAlign w:val="bottom"/>
            <w:tcBorders>
              <w:bottom w:val="single" w:sz="8" w:color="0000FF"/>
            </w:tcBorders>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Section 1350 Certification</w:t>
              </w:r>
            </w:hyperlink>
          </w:p>
        </w:tc>
        <w:tc>
          <w:tcPr>
            <w:tcW w:w="6340" w:type="dxa"/>
            <w:vAlign w:val="bottom"/>
            <w:gridSpan w:val="4"/>
          </w:tcPr>
          <w:p>
            <w:pPr>
              <w:spacing w:after="0"/>
              <w:rPr>
                <w:sz w:val="24"/>
                <w:szCs w:val="24"/>
                <w:color w:val="auto"/>
              </w:rPr>
            </w:pPr>
          </w:p>
        </w:tc>
      </w:tr>
      <w:tr>
        <w:trPr>
          <w:trHeight w:val="601"/>
        </w:trPr>
        <w:tc>
          <w:tcPr>
            <w:tcW w:w="2500" w:type="dxa"/>
            <w:vAlign w:val="bottom"/>
          </w:tcPr>
          <w:p>
            <w:pPr>
              <w:spacing w:after="0"/>
              <w:rPr>
                <w:sz w:val="20"/>
                <w:szCs w:val="20"/>
                <w:color w:val="auto"/>
              </w:rPr>
            </w:pPr>
            <w:r>
              <w:rPr>
                <w:rFonts w:ascii="Arial" w:cs="Arial" w:eastAsia="Arial" w:hAnsi="Arial"/>
                <w:sz w:val="18"/>
                <w:szCs w:val="18"/>
                <w:color w:val="auto"/>
              </w:rPr>
              <w:t>EXHIBIT 101.</w:t>
            </w:r>
          </w:p>
        </w:tc>
        <w:tc>
          <w:tcPr>
            <w:tcW w:w="8400" w:type="dxa"/>
            <w:vAlign w:val="bottom"/>
            <w:gridSpan w:val="5"/>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581"/>
        </w:trPr>
        <w:tc>
          <w:tcPr>
            <w:tcW w:w="2500" w:type="dxa"/>
            <w:vAlign w:val="bottom"/>
          </w:tcPr>
          <w:p>
            <w:pPr>
              <w:spacing w:after="0"/>
              <w:rPr>
                <w:sz w:val="20"/>
                <w:szCs w:val="20"/>
                <w:color w:val="auto"/>
              </w:rPr>
            </w:pPr>
            <w:r>
              <w:rPr>
                <w:rFonts w:ascii="Arial" w:cs="Arial" w:eastAsia="Arial" w:hAnsi="Arial"/>
                <w:sz w:val="18"/>
                <w:szCs w:val="18"/>
                <w:color w:val="auto"/>
              </w:rPr>
              <w:t>EXHIBIT 104.</w:t>
            </w:r>
          </w:p>
        </w:tc>
        <w:tc>
          <w:tcPr>
            <w:tcW w:w="840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59"/>
        </w:trPr>
        <w:tc>
          <w:tcPr>
            <w:tcW w:w="2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60" w:type="dxa"/>
            <w:vAlign w:val="bottom"/>
            <w:gridSpan w:val="3"/>
          </w:tcPr>
          <w:p>
            <w:pPr>
              <w:ind w:left="360"/>
              <w:spacing w:after="0"/>
              <w:rPr>
                <w:sz w:val="20"/>
                <w:szCs w:val="20"/>
                <w:color w:val="auto"/>
              </w:rPr>
            </w:pPr>
            <w:r>
              <w:rPr>
                <w:rFonts w:ascii="Arial" w:cs="Arial" w:eastAsia="Arial" w:hAnsi="Arial"/>
                <w:sz w:val="18"/>
                <w:szCs w:val="18"/>
                <w:b w:val="1"/>
                <w:bCs w:val="1"/>
                <w:color w:val="auto"/>
              </w:rPr>
              <w:t>Signatures</w:t>
            </w:r>
          </w:p>
        </w:tc>
      </w:tr>
    </w:tbl>
    <w:p>
      <w:pPr>
        <w:spacing w:after="0" w:line="242" w:lineRule="exact"/>
        <w:rPr>
          <w:sz w:val="20"/>
          <w:szCs w:val="20"/>
          <w:color w:val="auto"/>
        </w:rPr>
      </w:pPr>
    </w:p>
    <w:p>
      <w:pPr>
        <w:ind w:right="160"/>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October 25, 2019</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ind w:left="120"/>
              <w:spacing w:after="0"/>
              <w:rPr>
                <w:sz w:val="20"/>
                <w:szCs w:val="20"/>
                <w:color w:val="auto"/>
              </w:rPr>
            </w:pPr>
            <w:r>
              <w:rPr>
                <w:rFonts w:ascii="Arial" w:cs="Arial" w:eastAsia="Arial" w:hAnsi="Arial"/>
                <w:sz w:val="18"/>
                <w:szCs w:val="18"/>
                <w:color w:val="auto"/>
              </w:rPr>
              <w:t>October 25, 2019</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20"/>
          </w:cols>
          <w:pgMar w:left="240" w:top="5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25, 2019</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41"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certify that:</w:t>
      </w:r>
    </w:p>
    <w:p>
      <w:pPr>
        <w:spacing w:after="0" w:line="17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October 25, 2019</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00"/>
          </w:cols>
          <w:pgMar w:left="240" w:top="841"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Quarterly Report on Form 10-Q for the quarter ended September 30, 2019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October 25, 2019</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October 25, 2019</w:t>
      </w:r>
      <w:r>
        <w:rPr>
          <w:sz w:val="20"/>
          <w:szCs w:val="20"/>
          <w:color w:val="auto"/>
        </w:rPr>
        <w:tab/>
      </w:r>
      <w:r>
        <w:rPr>
          <w:rFonts w:ascii="Arial" w:cs="Arial" w:eastAsia="Arial" w:hAnsi="Arial"/>
          <w:sz w:val="17"/>
          <w:szCs w:val="17"/>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360"/>
      </w:cols>
      <w:pgMar w:left="240" w:top="76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10" Type="http://schemas.openxmlformats.org/officeDocument/2006/relationships/hyperlink" Target="http://www.sec.gov/Archives/edgar/data/59478/000005947819000082/lly-20181231x10xk.htm" TargetMode="External"/><Relationship Id="rId11" Type="http://schemas.openxmlformats.org/officeDocument/2006/relationships/hyperlink" Target="http://www.sec.gov/Archives/edgar/data/59478/000005947819000274/a20198-kfor201810xkrec.htm" TargetMode="External"/><Relationship Id="rId12" Type="http://schemas.openxmlformats.org/officeDocument/2006/relationships/hyperlink" Target="http://www.sec.gov/Archives/edgar/data/59478/000005947819000174/lly-3312019x10q.htm" TargetMode="External"/><Relationship Id="rId13" Type="http://schemas.openxmlformats.org/officeDocument/2006/relationships/hyperlink" Target="http://www.sec.gov/Archives/edgar/data/59478/000005947819000232/lly-6302019x10q.htm" TargetMode="External"/><Relationship Id="rId56" Type="http://schemas.openxmlformats.org/officeDocument/2006/relationships/hyperlink" Target="http://www.sec.gov/Archives/edgar/data/59478/000005947814000078/lly-20131231x10kexhibit31.htm" TargetMode="External"/><Relationship Id="rId57" Type="http://schemas.openxmlformats.org/officeDocument/2006/relationships/hyperlink" Target="http://www.sec.gov/Archives/edgar/data/59478/000005947818000292/elilillyandcompanybylaw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2019-12-28T04:24:50Z</dcterms:created>
  <dcterms:modified xsi:type="dcterms:W3CDTF">2019-12-28T04:24:50Z</dcterms:modified>
</cp:coreProperties>
</file>