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42"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7 1/8% Notes due 2025</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LLY25</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620"/>
        <w:spacing w:after="0" w:line="26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24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4960" w:type="dxa"/>
            <w:vAlign w:val="bottom"/>
          </w:tcPr>
          <w:p>
            <w:pPr>
              <w:spacing w:after="0"/>
              <w:rPr>
                <w:sz w:val="19"/>
                <w:szCs w:val="19"/>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1" w:lineRule="exact"/>
        <w:rPr>
          <w:sz w:val="24"/>
          <w:szCs w:val="24"/>
          <w:color w:val="auto"/>
        </w:rPr>
      </w:pPr>
    </w:p>
    <w:p>
      <w:pPr>
        <w:ind w:right="24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April 26, 2022:</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950,159,559</w:t>
            </w:r>
          </w:p>
        </w:tc>
        <w:tc>
          <w:tcPr>
            <w:tcW w:w="20" w:type="dxa"/>
            <w:vAlign w:val="bottom"/>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4"/>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0000FF"/>
                <w:w w:val="99"/>
              </w:rPr>
              <w:t>Consolidated Condensed Statements of Comprehensive Income</w:t>
            </w: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2"/>
          </w:tcPr>
          <w:p>
            <w:pPr>
              <w:spacing w:after="0"/>
              <w:rPr>
                <w:sz w:val="20"/>
                <w:szCs w:val="20"/>
                <w:color w:val="auto"/>
              </w:rPr>
            </w:pPr>
            <w:r>
              <w:rPr>
                <w:rFonts w:ascii="Arial" w:cs="Arial" w:eastAsia="Arial" w:hAnsi="Arial"/>
                <w:sz w:val="18"/>
                <w:szCs w:val="18"/>
                <w:color w:val="0000FF"/>
                <w:w w:val="99"/>
              </w:rPr>
              <w:t>Consolidated Condensed Balance Sheets</w:t>
            </w:r>
          </w:p>
        </w:tc>
        <w:tc>
          <w:tcPr>
            <w:tcW w:w="1800" w:type="dxa"/>
            <w:vAlign w:val="bottom"/>
            <w:gridSpan w:val="6"/>
          </w:tcPr>
          <w:p>
            <w:pPr>
              <w:spacing w:after="0"/>
              <w:rPr>
                <w:sz w:val="18"/>
                <w:szCs w:val="18"/>
                <w:color w:val="auto"/>
              </w:rPr>
            </w:pP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Equity</w:t>
            </w:r>
          </w:p>
        </w:tc>
        <w:tc>
          <w:tcPr>
            <w:tcW w:w="358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5"/>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314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7"/>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4"/>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10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8"/>
                <w:szCs w:val="18"/>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9"/>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6"/>
          </w:tcPr>
          <w:p>
            <w:pPr>
              <w:spacing w:after="0"/>
              <w:rPr>
                <w:sz w:val="20"/>
                <w:szCs w:val="20"/>
                <w:color w:val="auto"/>
              </w:rPr>
            </w:pPr>
            <w:r>
              <w:rPr>
                <w:rFonts w:ascii="Arial" w:cs="Arial" w:eastAsia="Arial" w:hAnsi="Arial"/>
                <w:sz w:val="18"/>
                <w:szCs w:val="18"/>
                <w:color w:val="0000FF"/>
              </w:rPr>
              <w:t>Revenue</w:t>
            </w:r>
          </w:p>
        </w:tc>
        <w:tc>
          <w:tcPr>
            <w:tcW w:w="5740" w:type="dxa"/>
            <w:vAlign w:val="bottom"/>
            <w:gridSpan w:val="14"/>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Gross Margin, Costs, and Expenses</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280" w:type="dxa"/>
            <w:vAlign w:val="bottom"/>
          </w:tcPr>
          <w:p>
            <w:pPr>
              <w:spacing w:after="0"/>
              <w:rPr>
                <w:sz w:val="18"/>
                <w:szCs w:val="18"/>
                <w:color w:val="auto"/>
              </w:rPr>
            </w:pPr>
          </w:p>
        </w:tc>
        <w:tc>
          <w:tcPr>
            <w:tcW w:w="4440" w:type="dxa"/>
            <w:vAlign w:val="bottom"/>
            <w:gridSpan w:val="10"/>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8"/>
                <w:szCs w:val="18"/>
                <w:color w:val="auto"/>
              </w:rPr>
            </w:pPr>
          </w:p>
        </w:tc>
        <w:tc>
          <w:tcPr>
            <w:tcW w:w="4720" w:type="dxa"/>
            <w:vAlign w:val="bottom"/>
            <w:gridSpan w:val="11"/>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8"/>
                <w:szCs w:val="18"/>
                <w:color w:val="auto"/>
              </w:rPr>
            </w:pPr>
          </w:p>
        </w:tc>
        <w:tc>
          <w:tcPr>
            <w:tcW w:w="2000" w:type="dxa"/>
            <w:vAlign w:val="bottom"/>
            <w:gridSpan w:val="8"/>
          </w:tcPr>
          <w:p>
            <w:pPr>
              <w:spacing w:after="0"/>
              <w:rPr>
                <w:sz w:val="20"/>
                <w:szCs w:val="20"/>
                <w:color w:val="auto"/>
              </w:rPr>
            </w:pPr>
            <w:r>
              <w:rPr>
                <w:rFonts w:ascii="Arial" w:cs="Arial" w:eastAsia="Arial" w:hAnsi="Arial"/>
                <w:sz w:val="18"/>
                <w:szCs w:val="18"/>
                <w:color w:val="0000FF"/>
                <w:w w:val="99"/>
              </w:rPr>
              <w:t>Controls and Procedures</w:t>
            </w:r>
          </w:p>
        </w:tc>
        <w:tc>
          <w:tcPr>
            <w:tcW w:w="5520" w:type="dxa"/>
            <w:vAlign w:val="bottom"/>
            <w:gridSpan w:val="13"/>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46</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47</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6"/>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47</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8"/>
                <w:szCs w:val="18"/>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860" w:type="dxa"/>
            <w:vAlign w:val="bottom"/>
            <w:gridSpan w:val="14"/>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3"/>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20" w:type="dxa"/>
            <w:vAlign w:val="bottom"/>
            <w:gridSpan w:val="16"/>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16"/>
          </w:tcPr>
          <w:p>
            <w:pPr>
              <w:spacing w:after="0"/>
              <w:rPr>
                <w:sz w:val="18"/>
                <w:szCs w:val="18"/>
                <w:color w:val="auto"/>
              </w:rPr>
            </w:pPr>
          </w:p>
        </w:tc>
        <w:tc>
          <w:tcPr>
            <w:tcW w:w="2660" w:type="dxa"/>
            <w:vAlign w:val="bottom"/>
            <w:gridSpan w:val="3"/>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48</w:t>
            </w:r>
          </w:p>
        </w:tc>
        <w:tc>
          <w:tcPr>
            <w:tcW w:w="140" w:type="dxa"/>
            <w:vAlign w:val="bottom"/>
          </w:tcPr>
          <w:p>
            <w:pPr>
              <w:spacing w:after="0"/>
              <w:rPr>
                <w:sz w:val="24"/>
                <w:szCs w:val="24"/>
                <w:color w:val="auto"/>
              </w:rPr>
            </w:pPr>
          </w:p>
        </w:tc>
      </w:tr>
      <w:tr>
        <w:trPr>
          <w:trHeight w:val="888"/>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xml:space="preserve">This Quarterly Report on Form 10-Q </w:t>
      </w:r>
      <w:r>
        <w:rPr>
          <w:rFonts w:ascii="Arial" w:cs="Arial" w:eastAsia="Arial" w:hAnsi="Arial"/>
          <w:sz w:val="17"/>
          <w:szCs w:val="17"/>
          <w:color w:val="auto"/>
        </w:rPr>
        <w:t>and our other publicly available documents include forward-looking statements within the meaning of</w:t>
      </w:r>
      <w:r>
        <w:rPr>
          <w:rFonts w:ascii="Arial" w:cs="Arial" w:eastAsia="Arial" w:hAnsi="Arial"/>
          <w:sz w:val="18"/>
          <w:szCs w:val="18"/>
          <w:color w:val="auto"/>
        </w:rPr>
        <w:t xml:space="preserve"> </w:t>
      </w:r>
      <w:r>
        <w:rPr>
          <w:rFonts w:ascii="Arial" w:cs="Arial" w:eastAsia="Arial" w:hAnsi="Arial"/>
          <w:sz w:val="17"/>
          <w:szCs w:val="17"/>
          <w:color w:val="auto"/>
        </w:rPr>
        <w:t>Section 27A of the Securities Act of 1933 and Section 21E of the Securities Exchange Act of 1934 (Exchange Act), and are subject to the safe harbor created thereby under the Private Securities Litigation Reform Act of 1995. In particular, information appearing under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20" w:lineRule="exact"/>
        <w:rPr>
          <w:sz w:val="20"/>
          <w:szCs w:val="20"/>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or any future pandemic, epidemic, or similar public health threat and the global response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related to our efforts to develop, manufacture, and distribute potential treatments for COVID-19;</w:t>
      </w:r>
    </w:p>
    <w:p>
      <w:pPr>
        <w:spacing w:after="0" w:line="63" w:lineRule="exact"/>
        <w:rPr>
          <w:rFonts w:ascii="Arial" w:cs="Arial" w:eastAsia="Arial" w:hAnsi="Arial"/>
          <w:sz w:val="18"/>
          <w:szCs w:val="18"/>
          <w:color w:val="auto"/>
        </w:rPr>
      </w:pPr>
    </w:p>
    <w:p>
      <w:pPr>
        <w:ind w:left="340" w:right="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outcome of acquisitions and business development transactions and related integration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and/or biosimilar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 package exclusivity;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breaches, or operating failures;</w:t>
      </w:r>
    </w:p>
    <w:p>
      <w:pPr>
        <w:spacing w:after="0" w:line="63" w:lineRule="exact"/>
        <w:rPr>
          <w:rFonts w:ascii="Arial" w:cs="Arial" w:eastAsia="Arial" w:hAnsi="Arial"/>
          <w:sz w:val="18"/>
          <w:szCs w:val="18"/>
          <w:color w:val="auto"/>
        </w:rPr>
      </w:pPr>
    </w:p>
    <w:p>
      <w:pPr>
        <w:ind w:left="340" w:right="4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340" w:right="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1" w:lineRule="exact"/>
        <w:rPr>
          <w:rFonts w:ascii="Arial" w:cs="Arial" w:eastAsia="Arial" w:hAnsi="Arial"/>
          <w:sz w:val="18"/>
          <w:szCs w:val="18"/>
          <w:color w:val="auto"/>
        </w:rPr>
      </w:pPr>
    </w:p>
    <w:p>
      <w:pPr>
        <w:ind w:left="340" w:right="2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demand, labor shortages, third-party performance, or regulatory actions relating to our facilities;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340" w:right="32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access to pharmaceuticals;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changes in interest rates, and inflation;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340" w:right="3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trade disruptions, global disputes, unrest, war, or other costs, uncertainties and risks related to engaging in business in foreign jurisdictions;</w:t>
      </w:r>
    </w:p>
    <w:p>
      <w:pPr>
        <w:spacing w:after="0" w:line="1" w:lineRule="exact"/>
        <w:rPr>
          <w:rFonts w:ascii="Arial" w:cs="Arial" w:eastAsia="Arial" w:hAnsi="Arial"/>
          <w:sz w:val="18"/>
          <w:szCs w:val="18"/>
          <w:color w:val="auto"/>
        </w:rPr>
      </w:pPr>
    </w:p>
    <w:p>
      <w:pPr>
        <w:ind w:left="340" w:right="6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3" w:name="page4"/>
    <w:bookmarkEnd w:id="3"/>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particularly under the caption "Risk Factors." Investors should understand that it is not possible to predict or identify all such factors and should not consider the risks described above and under Part I, Item 1A, "Risk Factors"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be a complete statement of all potential risks and uncertainties.</w:t>
      </w:r>
    </w:p>
    <w:p>
      <w:pPr>
        <w:spacing w:after="0" w:line="7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3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2021</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7,810.0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6,805.6</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2,072.1</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b w:val="1"/>
                <w:bCs w:val="1"/>
                <w:color w:val="auto"/>
              </w:rPr>
              <w:t>1,610.1</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1,672.1</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1,557.9</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1,576.0</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and development milestones (Note 3)</w:t>
            </w:r>
          </w:p>
        </w:tc>
        <w:tc>
          <w:tcPr>
            <w:tcW w:w="4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b w:val="1"/>
                <w:bCs w:val="1"/>
                <w:color w:val="auto"/>
              </w:rPr>
              <w:t>165.6</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312.0</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5)</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29"/>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350.7</w:t>
            </w: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r>
      <w:tr>
        <w:trPr>
          <w:trHeight w:val="223"/>
        </w:trPr>
        <w:tc>
          <w:tcPr>
            <w:tcW w:w="73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5,756.4</w:t>
            </w:r>
          </w:p>
        </w:tc>
        <w:tc>
          <w:tcPr>
            <w:tcW w:w="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5,329.2</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b w:val="1"/>
                <w:bCs w:val="1"/>
                <w:color w:val="auto"/>
              </w:rPr>
              <w:t>2,053.6</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1,476.4</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7)</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150.7</w:t>
            </w:r>
          </w:p>
        </w:tc>
        <w:tc>
          <w:tcPr>
            <w:tcW w:w="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7"/>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1,902.9</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1,355.3</w:t>
            </w:r>
          </w:p>
        </w:tc>
      </w:tr>
      <w:tr>
        <w:trPr>
          <w:trHeight w:val="243"/>
        </w:trPr>
        <w:tc>
          <w:tcPr>
            <w:tcW w:w="7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6"/>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2.11</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0"/>
        </w:trPr>
        <w:tc>
          <w:tcPr>
            <w:tcW w:w="738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b w:val="1"/>
                <w:bCs w:val="1"/>
                <w:color w:val="auto"/>
              </w:rPr>
              <w:t>2.10</w:t>
            </w:r>
          </w:p>
        </w:tc>
        <w:tc>
          <w:tcPr>
            <w:tcW w:w="5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w:t>
            </w:r>
          </w:p>
        </w:tc>
      </w:tr>
      <w:tr>
        <w:trPr>
          <w:trHeight w:val="243"/>
        </w:trPr>
        <w:tc>
          <w:tcPr>
            <w:tcW w:w="7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903.7</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w:t>
            </w:r>
          </w:p>
        </w:tc>
      </w:tr>
      <w:tr>
        <w:trPr>
          <w:trHeight w:val="247"/>
        </w:trPr>
        <w:tc>
          <w:tcPr>
            <w:tcW w:w="7380" w:type="dxa"/>
            <w:vAlign w:val="bottom"/>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906.4</w:t>
            </w: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w:t>
            </w:r>
          </w:p>
        </w:tc>
      </w:tr>
    </w:tbl>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1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7"/>
                <w:szCs w:val="17"/>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1,902.9</w:t>
            </w:r>
          </w:p>
        </w:tc>
        <w:tc>
          <w:tcPr>
            <w:tcW w:w="12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 (Note 10)</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117.8</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2,020.7</w:t>
            </w:r>
          </w:p>
        </w:tc>
        <w:tc>
          <w:tcPr>
            <w:tcW w:w="12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(Note 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2,459.2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Short-term investments (Note 6)</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109.1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$22.0 (2022)</w:t>
            </w:r>
            <w:r>
              <w:rPr>
                <w:rFonts w:ascii="Arial" w:cs="Arial" w:eastAsia="Arial" w:hAnsi="Arial"/>
                <w:sz w:val="18"/>
                <w:szCs w:val="18"/>
                <w:color w:val="auto"/>
              </w:rPr>
              <w:t xml:space="preserve"> and $22.5 (2021)</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6,322.5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6,672.8</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1,483.2</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1,454.4</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3,893.0</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3,886.0</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2,697.7</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16,964.7</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18,452.4</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Investments (Note 6)</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2,727.3</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3,212.6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3,892.0</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7,482.4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7,691.9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2,464.9</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2,489.3</w:t>
            </w:r>
          </w:p>
        </w:tc>
        <w:tc>
          <w:tcPr>
            <w:tcW w:w="0" w:type="dxa"/>
            <w:vAlign w:val="bottom"/>
          </w:tcPr>
          <w:p>
            <w:pPr>
              <w:spacing w:after="0"/>
              <w:rPr>
                <w:sz w:val="1"/>
                <w:szCs w:val="1"/>
                <w:color w:val="auto"/>
              </w:rPr>
            </w:pPr>
          </w:p>
        </w:tc>
      </w:tr>
      <w:tr>
        <w:trPr>
          <w:trHeight w:val="176"/>
        </w:trPr>
        <w:tc>
          <w:tcPr>
            <w:tcW w:w="7400" w:type="dxa"/>
            <w:vAlign w:val="bottom"/>
          </w:tcPr>
          <w:p>
            <w:pPr>
              <w:ind w:left="20"/>
              <w:spacing w:after="0" w:line="176"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$10,138.3 (2022)</w:t>
            </w:r>
            <w:r>
              <w:rPr>
                <w:rFonts w:ascii="Arial" w:cs="Arial" w:eastAsia="Arial" w:hAnsi="Arial"/>
                <w:sz w:val="18"/>
                <w:szCs w:val="18"/>
                <w:color w:val="auto"/>
              </w:rPr>
              <w:t xml:space="preserve"> and $9,976.7</w:t>
            </w:r>
          </w:p>
        </w:tc>
        <w:tc>
          <w:tcPr>
            <w:tcW w:w="280" w:type="dxa"/>
            <w:vAlign w:val="bottom"/>
          </w:tcPr>
          <w:p>
            <w:pPr>
              <w:spacing w:after="0"/>
              <w:rPr>
                <w:sz w:val="15"/>
                <w:szCs w:val="15"/>
                <w:color w:val="auto"/>
              </w:rPr>
            </w:pPr>
          </w:p>
        </w:tc>
        <w:tc>
          <w:tcPr>
            <w:tcW w:w="16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9,102.7</w:t>
            </w:r>
          </w:p>
        </w:tc>
        <w:tc>
          <w:tcPr>
            <w:tcW w:w="26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8,985.1</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4,285.3</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4,082.7</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46,919.3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48,806.0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1,355.9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1,433.3</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1,670.6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693.1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Sales rebates and discounts</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6,768.7</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6,845.8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payable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598.3</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2,536.7</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3,027.5</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13,386.0</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15,052.7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Other Liabilities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15,152.9</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15,346.4</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retirement benefits (Note 8)</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1,940.3</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1,954.1</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Long-term income taxes payable</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3,978.1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3,920.0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1,286.1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1,713.9</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1,644.3</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24,071.3</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24,598.5</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9)</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Eli Lilly and Company Shareholders' Equity</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594.1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6,656.3</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6,833.4</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9,369.4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8,958.5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trust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Accumulated other comprehensive loss (Note 10)</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(4,225.3)</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(4,343.1)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common stock in treasury</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9,330.8</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8,979.2</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131.2</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9,462.0</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9,154.8</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46,919.3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48,806.0</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 w:name="page8"/>
    <w:bookmarkEnd w:id="7"/>
    <w:p>
      <w:pPr>
        <w:jc w:val="center"/>
        <w:ind w:right="8"/>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27"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37" w:lineRule="exact"/>
        <w:rPr>
          <w:sz w:val="20"/>
          <w:szCs w:val="20"/>
          <w:color w:val="auto"/>
        </w:rPr>
      </w:pPr>
    </w:p>
    <w:tbl>
      <w:tblPr>
        <w:tblLayout w:type="fixed"/>
        <w:tblInd w:w="12"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2"/>
                <w:szCs w:val="22"/>
                <w:color w:val="auto"/>
              </w:rPr>
            </w:pPr>
          </w:p>
        </w:tc>
        <w:tc>
          <w:tcPr>
            <w:tcW w:w="1680" w:type="dxa"/>
            <w:vAlign w:val="bottom"/>
            <w:gridSpan w:val="2"/>
          </w:tcPr>
          <w:p>
            <w:pPr>
              <w:ind w:left="440"/>
              <w:spacing w:after="0"/>
              <w:rPr>
                <w:sz w:val="20"/>
                <w:szCs w:val="20"/>
                <w:color w:val="auto"/>
              </w:rPr>
            </w:pPr>
            <w:r>
              <w:rPr>
                <w:rFonts w:ascii="Arial" w:cs="Arial" w:eastAsia="Arial" w:hAnsi="Arial"/>
                <w:sz w:val="11"/>
                <w:szCs w:val="11"/>
                <w:b w:val="1"/>
                <w:bCs w:val="1"/>
                <w:color w:val="auto"/>
              </w:rPr>
              <w:t>Common Stock</w:t>
            </w:r>
          </w:p>
        </w:tc>
        <w:tc>
          <w:tcPr>
            <w:tcW w:w="800" w:type="dxa"/>
            <w:vAlign w:val="bottom"/>
          </w:tcPr>
          <w:p>
            <w:pPr>
              <w:jc w:val="center"/>
              <w:ind w:left="148"/>
              <w:spacing w:after="0"/>
              <w:rPr>
                <w:sz w:val="20"/>
                <w:szCs w:val="20"/>
                <w:color w:val="auto"/>
              </w:rPr>
            </w:pPr>
            <w:r>
              <w:rPr>
                <w:rFonts w:ascii="Arial" w:cs="Arial" w:eastAsia="Arial" w:hAnsi="Arial"/>
                <w:sz w:val="11"/>
                <w:szCs w:val="11"/>
                <w:b w:val="1"/>
                <w:bCs w:val="1"/>
                <w:color w:val="auto"/>
                <w:w w:val="96"/>
              </w:rPr>
              <w:t>Additional</w:t>
            </w: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80" w:type="dxa"/>
            <w:vAlign w:val="bottom"/>
            <w:gridSpan w:val="2"/>
          </w:tcPr>
          <w:p>
            <w:pPr>
              <w:ind w:left="100"/>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0" w:type="dxa"/>
            <w:vAlign w:val="bottom"/>
            <w:vMerge w:val="restart"/>
          </w:tcPr>
          <w:p>
            <w:pPr>
              <w:jc w:val="center"/>
              <w:ind w:left="148"/>
              <w:spacing w:after="0" w:line="95" w:lineRule="exact"/>
              <w:rPr>
                <w:sz w:val="20"/>
                <w:szCs w:val="20"/>
                <w:color w:val="auto"/>
              </w:rPr>
            </w:pPr>
            <w:r>
              <w:rPr>
                <w:rFonts w:ascii="Arial" w:cs="Arial" w:eastAsia="Arial" w:hAnsi="Arial"/>
                <w:sz w:val="10"/>
                <w:szCs w:val="10"/>
                <w:b w:val="1"/>
                <w:bCs w:val="1"/>
                <w:color w:val="auto"/>
              </w:rPr>
              <w:t>Paid-in</w:t>
            </w:r>
          </w:p>
        </w:tc>
        <w:tc>
          <w:tcPr>
            <w:tcW w:w="980" w:type="dxa"/>
            <w:vAlign w:val="bottom"/>
            <w:vMerge w:val="restart"/>
          </w:tcPr>
          <w:p>
            <w:pPr>
              <w:ind w:left="360"/>
              <w:spacing w:after="0" w:line="95" w:lineRule="exact"/>
              <w:rPr>
                <w:sz w:val="20"/>
                <w:szCs w:val="20"/>
                <w:color w:val="auto"/>
              </w:rPr>
            </w:pPr>
            <w:r>
              <w:rPr>
                <w:rFonts w:ascii="Arial" w:cs="Arial" w:eastAsia="Arial" w:hAnsi="Arial"/>
                <w:sz w:val="10"/>
                <w:szCs w:val="10"/>
                <w:b w:val="1"/>
                <w:bCs w:val="1"/>
                <w:color w:val="auto"/>
              </w:rPr>
              <w:t>Retained</w:t>
            </w:r>
          </w:p>
        </w:tc>
        <w:tc>
          <w:tcPr>
            <w:tcW w:w="940" w:type="dxa"/>
            <w:vAlign w:val="bottom"/>
            <w:vMerge w:val="restart"/>
          </w:tcPr>
          <w:p>
            <w:pPr>
              <w:jc w:val="center"/>
              <w:ind w:left="9"/>
              <w:spacing w:after="0" w:line="95" w:lineRule="exact"/>
              <w:rPr>
                <w:sz w:val="20"/>
                <w:szCs w:val="20"/>
                <w:color w:val="auto"/>
              </w:rPr>
            </w:pPr>
            <w:r>
              <w:rPr>
                <w:rFonts w:ascii="Arial" w:cs="Arial" w:eastAsia="Arial" w:hAnsi="Arial"/>
                <w:sz w:val="10"/>
                <w:szCs w:val="10"/>
                <w:b w:val="1"/>
                <w:bCs w:val="1"/>
                <w:color w:val="auto"/>
              </w:rPr>
              <w:t>Employee</w:t>
            </w:r>
          </w:p>
        </w:tc>
        <w:tc>
          <w:tcPr>
            <w:tcW w:w="12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20" w:type="dxa"/>
            <w:vAlign w:val="bottom"/>
            <w:vMerge w:val="restart"/>
          </w:tcPr>
          <w:p>
            <w:pPr>
              <w:jc w:val="center"/>
              <w:ind w:left="18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00" w:type="dxa"/>
            <w:vAlign w:val="bottom"/>
            <w:vMerge w:val="restart"/>
          </w:tcPr>
          <w:p>
            <w:pPr>
              <w:spacing w:after="0"/>
              <w:rPr>
                <w:sz w:val="20"/>
                <w:szCs w:val="20"/>
                <w:color w:val="auto"/>
              </w:rPr>
            </w:pPr>
            <w:r>
              <w:rPr>
                <w:rFonts w:ascii="Arial" w:cs="Arial" w:eastAsia="Arial" w:hAnsi="Arial"/>
                <w:sz w:val="11"/>
                <w:szCs w:val="11"/>
                <w:b w:val="1"/>
                <w:bCs w:val="1"/>
                <w:color w:val="auto"/>
              </w:rPr>
              <w:t>(Dollars in millions and shares in thousands)</w:t>
            </w:r>
          </w:p>
        </w:tc>
        <w:tc>
          <w:tcPr>
            <w:tcW w:w="8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8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Amount</w:t>
            </w:r>
          </w:p>
        </w:tc>
        <w:tc>
          <w:tcPr>
            <w:tcW w:w="8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8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8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0" w:type="dxa"/>
            <w:vAlign w:val="bottom"/>
          </w:tcPr>
          <w:p>
            <w:pPr>
              <w:jc w:val="center"/>
              <w:ind w:left="148"/>
              <w:spacing w:after="0"/>
              <w:rPr>
                <w:sz w:val="20"/>
                <w:szCs w:val="20"/>
                <w:color w:val="auto"/>
              </w:rPr>
            </w:pPr>
            <w:r>
              <w:rPr>
                <w:rFonts w:ascii="Arial" w:cs="Arial" w:eastAsia="Arial" w:hAnsi="Arial"/>
                <w:sz w:val="11"/>
                <w:szCs w:val="11"/>
                <w:b w:val="1"/>
                <w:bCs w:val="1"/>
                <w:color w:val="auto"/>
                <w:w w:val="98"/>
              </w:rPr>
              <w:t>Capital</w:t>
            </w:r>
          </w:p>
        </w:tc>
        <w:tc>
          <w:tcPr>
            <w:tcW w:w="980" w:type="dxa"/>
            <w:vAlign w:val="bottom"/>
          </w:tcPr>
          <w:p>
            <w:pPr>
              <w:ind w:left="360"/>
              <w:spacing w:after="0"/>
              <w:rPr>
                <w:sz w:val="20"/>
                <w:szCs w:val="20"/>
                <w:color w:val="auto"/>
              </w:rPr>
            </w:pPr>
            <w:r>
              <w:rPr>
                <w:rFonts w:ascii="Arial" w:cs="Arial" w:eastAsia="Arial" w:hAnsi="Arial"/>
                <w:sz w:val="11"/>
                <w:szCs w:val="11"/>
                <w:b w:val="1"/>
                <w:bCs w:val="1"/>
                <w:color w:val="auto"/>
              </w:rPr>
              <w:t>Earnings</w:t>
            </w:r>
          </w:p>
        </w:tc>
        <w:tc>
          <w:tcPr>
            <w:tcW w:w="940" w:type="dxa"/>
            <w:vAlign w:val="bottom"/>
          </w:tcPr>
          <w:p>
            <w:pPr>
              <w:jc w:val="center"/>
              <w:ind w:left="29"/>
              <w:spacing w:after="0"/>
              <w:rPr>
                <w:sz w:val="20"/>
                <w:szCs w:val="20"/>
                <w:color w:val="auto"/>
              </w:rPr>
            </w:pPr>
            <w:r>
              <w:rPr>
                <w:rFonts w:ascii="Arial" w:cs="Arial" w:eastAsia="Arial" w:hAnsi="Arial"/>
                <w:sz w:val="11"/>
                <w:szCs w:val="11"/>
                <w:b w:val="1"/>
                <w:bCs w:val="1"/>
                <w:color w:val="auto"/>
                <w:w w:val="97"/>
              </w:rPr>
              <w:t>Benefit Trust</w:t>
            </w: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3"/>
              </w:rPr>
              <w:t>Loss</w:t>
            </w: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20" w:type="dxa"/>
            <w:vAlign w:val="bottom"/>
          </w:tcPr>
          <w:p>
            <w:pPr>
              <w:jc w:val="center"/>
              <w:ind w:left="18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323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32"/>
          </w:cols>
          <w:pgMar w:left="328" w:top="890" w:right="339" w:bottom="1440" w:gutter="0" w:footer="0" w:header="0"/>
        </w:sectPr>
      </w:pPr>
    </w:p>
    <w:p>
      <w:pPr>
        <w:spacing w:after="0" w:line="23" w:lineRule="exact"/>
        <w:rPr>
          <w:sz w:val="20"/>
          <w:szCs w:val="20"/>
          <w:color w:val="auto"/>
        </w:rPr>
      </w:pPr>
    </w:p>
    <w:p>
      <w:pPr>
        <w:ind w:left="12" w:right="1080"/>
        <w:spacing w:after="0" w:line="281" w:lineRule="auto"/>
        <w:rPr>
          <w:sz w:val="20"/>
          <w:szCs w:val="20"/>
          <w:color w:val="auto"/>
        </w:rPr>
      </w:pPr>
      <w:r>
        <w:rPr>
          <w:rFonts w:ascii="Arial" w:cs="Arial" w:eastAsia="Arial" w:hAnsi="Arial"/>
          <w:sz w:val="13"/>
          <w:szCs w:val="13"/>
          <w:color w:val="auto"/>
        </w:rPr>
        <w:t>Balance at January 1, 2021 Net income</w:t>
      </w:r>
    </w:p>
    <w:p>
      <w:pPr>
        <w:spacing w:after="0" w:line="1" w:lineRule="exact"/>
        <w:rPr>
          <w:sz w:val="20"/>
          <w:szCs w:val="20"/>
          <w:color w:val="auto"/>
        </w:rPr>
      </w:pPr>
    </w:p>
    <w:p>
      <w:pPr>
        <w:ind w:left="12"/>
        <w:spacing w:after="0"/>
        <w:rPr>
          <w:sz w:val="20"/>
          <w:szCs w:val="20"/>
          <w:color w:val="auto"/>
        </w:rPr>
      </w:pPr>
      <w:r>
        <w:rPr>
          <w:rFonts w:ascii="Arial" w:cs="Arial" w:eastAsia="Arial" w:hAnsi="Arial"/>
          <w:sz w:val="13"/>
          <w:szCs w:val="13"/>
          <w:color w:val="auto"/>
        </w:rPr>
        <w:t>Other comprehensive income, net of tax</w:t>
      </w:r>
    </w:p>
    <w:p>
      <w:pPr>
        <w:spacing w:after="0" w:line="26" w:lineRule="exact"/>
        <w:rPr>
          <w:sz w:val="20"/>
          <w:szCs w:val="20"/>
          <w:color w:val="auto"/>
        </w:rPr>
      </w:pPr>
    </w:p>
    <w:p>
      <w:pPr>
        <w:ind w:left="1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1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12"/>
        <w:spacing w:after="0"/>
        <w:rPr>
          <w:sz w:val="20"/>
          <w:szCs w:val="20"/>
          <w:color w:val="auto"/>
        </w:rPr>
      </w:pPr>
      <w:r>
        <w:rPr>
          <w:rFonts w:ascii="Arial" w:cs="Arial" w:eastAsia="Arial" w:hAnsi="Arial"/>
          <w:sz w:val="13"/>
          <w:szCs w:val="13"/>
          <w:color w:val="auto"/>
        </w:rPr>
        <w:t>Balance at March 31, 2021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820" w:type="dxa"/>
            <w:vAlign w:val="bottom"/>
          </w:tcPr>
          <w:p>
            <w:pPr>
              <w:jc w:val="right"/>
              <w:ind w:right="37"/>
              <w:spacing w:after="0"/>
              <w:rPr>
                <w:sz w:val="20"/>
                <w:szCs w:val="20"/>
                <w:color w:val="auto"/>
              </w:rPr>
            </w:pPr>
            <w:r>
              <w:rPr>
                <w:rFonts w:ascii="Arial" w:cs="Arial" w:eastAsia="Arial" w:hAnsi="Arial"/>
                <w:sz w:val="13"/>
                <w:szCs w:val="13"/>
                <w:color w:val="auto"/>
              </w:rPr>
              <w:t>957,077</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598.2</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6,778.5</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7,830.2</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(3,013.2)</w:t>
            </w:r>
          </w:p>
        </w:tc>
        <w:tc>
          <w:tcPr>
            <w:tcW w:w="3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57"/>
              <w:spacing w:after="0"/>
              <w:rPr>
                <w:sz w:val="20"/>
                <w:szCs w:val="20"/>
                <w:color w:val="auto"/>
              </w:rPr>
            </w:pPr>
            <w:r>
              <w:rPr>
                <w:rFonts w:ascii="Arial" w:cs="Arial" w:eastAsia="Arial" w:hAnsi="Arial"/>
                <w:sz w:val="13"/>
                <w:szCs w:val="13"/>
                <w:color w:val="auto"/>
              </w:rPr>
              <w:t>(6,496.4)</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487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(55.7)</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183.6</w:t>
            </w:r>
          </w:p>
        </w:tc>
      </w:tr>
      <w:tr>
        <w:trPr>
          <w:trHeight w:val="175"/>
        </w:trPr>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1,355.3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76"/>
        </w:trPr>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297"/>
              <w:spacing w:after="0"/>
              <w:rPr>
                <w:sz w:val="20"/>
                <w:szCs w:val="20"/>
                <w:color w:val="auto"/>
              </w:rPr>
            </w:pPr>
            <w:r>
              <w:rPr>
                <w:rFonts w:ascii="Arial" w:cs="Arial" w:eastAsia="Arial" w:hAnsi="Arial"/>
                <w:sz w:val="13"/>
                <w:szCs w:val="13"/>
                <w:color w:val="auto"/>
              </w:rPr>
              <w:t>100.8</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11"/>
        </w:trPr>
        <w:tc>
          <w:tcPr>
            <w:tcW w:w="820" w:type="dxa"/>
            <w:vAlign w:val="bottom"/>
          </w:tcPr>
          <w:p>
            <w:pPr>
              <w:jc w:val="right"/>
              <w:ind w:right="37"/>
              <w:spacing w:after="0"/>
              <w:rPr>
                <w:sz w:val="20"/>
                <w:szCs w:val="20"/>
                <w:color w:val="auto"/>
              </w:rPr>
            </w:pPr>
            <w:r>
              <w:rPr>
                <w:rFonts w:ascii="Arial" w:cs="Arial" w:eastAsia="Arial" w:hAnsi="Arial"/>
                <w:sz w:val="13"/>
                <w:szCs w:val="13"/>
                <w:color w:val="auto"/>
              </w:rPr>
              <w:t>2,405</w:t>
            </w:r>
          </w:p>
        </w:tc>
        <w:tc>
          <w:tcPr>
            <w:tcW w:w="32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(283.9)</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32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5"/>
        </w:trPr>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85.5</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(0.9)</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r>
      <w:tr>
        <w:trPr>
          <w:trHeight w:val="183"/>
        </w:trPr>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959,482</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599.7</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6,579.2</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9,181.3</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(3,013.2)</w:t>
            </w: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(6,395.6)</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463</w:t>
            </w:r>
          </w:p>
        </w:tc>
        <w:tc>
          <w:tcPr>
            <w:tcW w:w="3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-668020</wp:posOffset>
            </wp:positionV>
            <wp:extent cx="713232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-359410</wp:posOffset>
            </wp:positionV>
            <wp:extent cx="713232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-136525</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32" w:space="80"/>
            <w:col w:w="8520"/>
          </w:cols>
          <w:pgMar w:left="328" w:top="890" w:right="339" w:bottom="1440" w:gutter="0" w:footer="0" w:header="0"/>
          <w:type w:val="continuous"/>
        </w:sectPr>
      </w:pPr>
    </w:p>
    <w:p>
      <w:pPr>
        <w:spacing w:after="0" w:line="52" w:lineRule="exact"/>
        <w:rPr>
          <w:sz w:val="20"/>
          <w:szCs w:val="20"/>
          <w:color w:val="auto"/>
        </w:rPr>
      </w:pPr>
    </w:p>
    <w:p>
      <w:pPr>
        <w:ind w:left="12" w:right="1080"/>
        <w:spacing w:after="0" w:line="281" w:lineRule="auto"/>
        <w:rPr>
          <w:sz w:val="20"/>
          <w:szCs w:val="20"/>
          <w:color w:val="auto"/>
        </w:rPr>
      </w:pPr>
      <w:r>
        <w:rPr>
          <w:rFonts w:ascii="Arial" w:cs="Arial" w:eastAsia="Arial" w:hAnsi="Arial"/>
          <w:sz w:val="13"/>
          <w:szCs w:val="13"/>
          <w:color w:val="auto"/>
        </w:rPr>
        <w:t>Balance at January 1, 2022 Net income (loss)</w:t>
      </w:r>
    </w:p>
    <w:p>
      <w:pPr>
        <w:spacing w:after="0" w:line="1" w:lineRule="exact"/>
        <w:rPr>
          <w:sz w:val="20"/>
          <w:szCs w:val="20"/>
          <w:color w:val="auto"/>
        </w:rPr>
      </w:pPr>
    </w:p>
    <w:p>
      <w:pPr>
        <w:ind w:left="12"/>
        <w:spacing w:after="0"/>
        <w:rPr>
          <w:sz w:val="20"/>
          <w:szCs w:val="20"/>
          <w:color w:val="auto"/>
        </w:rPr>
      </w:pPr>
      <w:r>
        <w:rPr>
          <w:rFonts w:ascii="Arial" w:cs="Arial" w:eastAsia="Arial" w:hAnsi="Arial"/>
          <w:sz w:val="13"/>
          <w:szCs w:val="13"/>
          <w:color w:val="auto"/>
        </w:rPr>
        <w:t>Other comprehensive income, net of tax</w:t>
      </w:r>
    </w:p>
    <w:p>
      <w:pPr>
        <w:spacing w:after="0" w:line="26" w:lineRule="exact"/>
        <w:rPr>
          <w:sz w:val="20"/>
          <w:szCs w:val="20"/>
          <w:color w:val="auto"/>
        </w:rPr>
      </w:pPr>
    </w:p>
    <w:p>
      <w:pPr>
        <w:ind w:left="12"/>
        <w:spacing w:after="0"/>
        <w:rPr>
          <w:sz w:val="20"/>
          <w:szCs w:val="20"/>
          <w:color w:val="auto"/>
        </w:rPr>
      </w:pPr>
      <w:r>
        <w:rPr>
          <w:rFonts w:ascii="Arial" w:cs="Arial" w:eastAsia="Arial" w:hAnsi="Arial"/>
          <w:sz w:val="13"/>
          <w:szCs w:val="13"/>
          <w:color w:val="auto"/>
        </w:rPr>
        <w:t>Retirement of treasury shares</w:t>
      </w:r>
    </w:p>
    <w:p>
      <w:pPr>
        <w:spacing w:after="0" w:line="26" w:lineRule="exact"/>
        <w:rPr>
          <w:sz w:val="20"/>
          <w:szCs w:val="20"/>
          <w:color w:val="auto"/>
        </w:rPr>
      </w:pPr>
    </w:p>
    <w:p>
      <w:pPr>
        <w:ind w:left="12"/>
        <w:spacing w:after="0"/>
        <w:rPr>
          <w:sz w:val="20"/>
          <w:szCs w:val="20"/>
          <w:color w:val="auto"/>
        </w:rPr>
      </w:pPr>
      <w:r>
        <w:rPr>
          <w:rFonts w:ascii="Arial" w:cs="Arial" w:eastAsia="Arial" w:hAnsi="Arial"/>
          <w:sz w:val="13"/>
          <w:szCs w:val="13"/>
          <w:color w:val="auto"/>
        </w:rPr>
        <w:t>Purchase of treasury shares</w:t>
      </w:r>
    </w:p>
    <w:p>
      <w:pPr>
        <w:spacing w:after="0" w:line="26" w:lineRule="exact"/>
        <w:rPr>
          <w:sz w:val="20"/>
          <w:szCs w:val="20"/>
          <w:color w:val="auto"/>
        </w:rPr>
      </w:pPr>
    </w:p>
    <w:p>
      <w:pPr>
        <w:ind w:left="1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1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12"/>
        <w:spacing w:after="0"/>
        <w:rPr>
          <w:sz w:val="20"/>
          <w:szCs w:val="20"/>
          <w:color w:val="auto"/>
        </w:rPr>
      </w:pPr>
      <w:r>
        <w:rPr>
          <w:rFonts w:ascii="Arial" w:cs="Arial" w:eastAsia="Arial" w:hAnsi="Arial"/>
          <w:sz w:val="13"/>
          <w:szCs w:val="13"/>
          <w:color w:val="auto"/>
        </w:rPr>
        <w:t>Balance at March 31, 2022</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954,116</w:t>
            </w:r>
          </w:p>
        </w:tc>
        <w:tc>
          <w:tcPr>
            <w:tcW w:w="30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596.3</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b w:val="1"/>
                <w:bCs w:val="1"/>
                <w:color w:val="auto"/>
              </w:rPr>
              <w:t>6,833.4</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8,958.5</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38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177"/>
              <w:spacing w:after="0"/>
              <w:rPr>
                <w:sz w:val="20"/>
                <w:szCs w:val="20"/>
                <w:color w:val="auto"/>
              </w:rPr>
            </w:pPr>
            <w:r>
              <w:rPr>
                <w:rFonts w:ascii="Arial" w:cs="Arial" w:eastAsia="Arial" w:hAnsi="Arial"/>
                <w:sz w:val="13"/>
                <w:szCs w:val="13"/>
                <w:b w:val="1"/>
                <w:bCs w:val="1"/>
                <w:color w:val="auto"/>
              </w:rPr>
              <w:t>(4,343.1)</w:t>
            </w: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463</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(52.7)</w:t>
            </w:r>
          </w:p>
        </w:tc>
        <w:tc>
          <w:tcPr>
            <w:tcW w:w="44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175.6</w:t>
            </w:r>
          </w:p>
        </w:tc>
      </w:tr>
      <w:tr>
        <w:trPr>
          <w:trHeight w:val="176"/>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1,902.9</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(36.6)</w:t>
            </w:r>
          </w:p>
        </w:tc>
      </w:tr>
      <w:tr>
        <w:trPr>
          <w:trHeight w:val="176"/>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217"/>
              <w:spacing w:after="0"/>
              <w:rPr>
                <w:sz w:val="20"/>
                <w:szCs w:val="20"/>
                <w:color w:val="auto"/>
              </w:rPr>
            </w:pPr>
            <w:r>
              <w:rPr>
                <w:rFonts w:ascii="Arial" w:cs="Arial" w:eastAsia="Arial" w:hAnsi="Arial"/>
                <w:sz w:val="13"/>
                <w:szCs w:val="13"/>
                <w:b w:val="1"/>
                <w:bCs w:val="1"/>
                <w:color w:val="auto"/>
              </w:rPr>
              <w:t>117.8</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(5,607)</w:t>
            </w:r>
          </w:p>
        </w:tc>
        <w:tc>
          <w:tcPr>
            <w:tcW w:w="3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b w:val="1"/>
                <w:bCs w:val="1"/>
                <w:color w:val="auto"/>
              </w:rPr>
              <w:t>(3.5)</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(1,496.5)</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(5,607)</w:t>
            </w:r>
          </w:p>
        </w:tc>
        <w:tc>
          <w:tcPr>
            <w:tcW w:w="22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1,500.0</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5,607</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(1,500.0)</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10"/>
        </w:trPr>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2,096</w:t>
            </w:r>
          </w:p>
        </w:tc>
        <w:tc>
          <w:tcPr>
            <w:tcW w:w="3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1.3</w:t>
            </w:r>
          </w:p>
        </w:tc>
        <w:tc>
          <w:tcPr>
            <w:tcW w:w="26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(278.1)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(13)</w:t>
            </w:r>
          </w:p>
        </w:tc>
        <w:tc>
          <w:tcPr>
            <w:tcW w:w="2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2.2</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b w:val="1"/>
                <w:bCs w:val="1"/>
                <w:color w:val="auto"/>
              </w:rPr>
              <w:t>101.0</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4.5</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w:t>
            </w:r>
          </w:p>
        </w:tc>
      </w:tr>
      <w:tr>
        <w:trPr>
          <w:trHeight w:val="180"/>
        </w:trPr>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950,605</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594.1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6,656.3</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9,369.4</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(4,225.3)</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450</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(50.5)</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-1113790</wp:posOffset>
            </wp:positionV>
            <wp:extent cx="7132320"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-890905</wp:posOffset>
            </wp:positionV>
            <wp:extent cx="7132320"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-668020</wp:posOffset>
            </wp:positionV>
            <wp:extent cx="7132320"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-359410</wp:posOffset>
            </wp:positionV>
            <wp:extent cx="7132320"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-136525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632" w:space="80"/>
            <w:col w:w="8520"/>
          </w:cols>
          <w:pgMar w:left="328" w:top="890" w:right="339" w:bottom="1440" w:gutter="0" w:footer="0" w:header="0"/>
          <w:type w:val="continuous"/>
        </w:sectPr>
      </w:pPr>
    </w:p>
    <w:p>
      <w:pPr>
        <w:ind w:left="132" w:hanging="132"/>
        <w:spacing w:after="0"/>
        <w:tabs>
          <w:tab w:leader="none" w:pos="132"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As of March 31, 2022, there was $3.25 billion remaining under our $5.00 billion share repurchase program authorized in May 2021.</w:t>
      </w:r>
    </w:p>
    <w:p>
      <w:pPr>
        <w:spacing w:after="0" w:line="19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8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1,902.9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435.7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Change in 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(506.6)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Net investment (gains) losses</w:t>
            </w:r>
          </w:p>
        </w:tc>
        <w:tc>
          <w:tcPr>
            <w:tcW w:w="3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426.1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153.0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operating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2,499.2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Net purchases of property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(365.4)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and maturities of short-term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noncurrent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Purchases of noncurrent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(116.7)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 net of cash acquired (Note 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(491.8)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(1,013.8)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(885.5)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499.7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(710.1)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(2,878.3)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6"/>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(1,359.3)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3,818.5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March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2,459.2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3,002.4</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We issue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Certain reclassifications have been made to prior periods in the consolidated condensed financial statements and accompanying notes to conform with the current presentation.</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 (IPR&amp;D) and Development Milestones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and development milestones include the initial costs of externally developed IPR&amp;D projects, acquired directly in a transaction other than a business combination, that do not have an alternative future use. Additionally, milestone payment obligations related to these transactions that are incurred prior to regulatory approval of the compound are expensed when the event triggering an obligation to pay the milestone occurs.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Accounting Standards Update 2021-01, </w:t>
      </w:r>
      <w:r>
        <w:rPr>
          <w:rFonts w:ascii="Arial" w:cs="Arial" w:eastAsia="Arial" w:hAnsi="Arial"/>
          <w:sz w:val="18"/>
          <w:szCs w:val="18"/>
          <w:i w:val="1"/>
          <w:iCs w:val="1"/>
          <w:color w:val="auto"/>
        </w:rPr>
        <w:t>Reference Rate Reform</w:t>
      </w:r>
      <w:r>
        <w:rPr>
          <w:rFonts w:ascii="Arial" w:cs="Arial" w:eastAsia="Arial" w:hAnsi="Arial"/>
          <w:sz w:val="18"/>
          <w:szCs w:val="18"/>
          <w:color w:val="auto"/>
        </w:rPr>
        <w:t>, provides for temporary optional expedients and exceptions in applying current GAAP to contracts, hedging relationships, and other transactions affected by the transition from the use of the London Interbank Offered Rate (LIBOR) to an alternative reference rate. The standard is currently applicable to contracts entered into before January 1, 2023. We adopted the standard in the first quarter of 2022. The adoption did not have a material impact on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1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209"/>
        </w:trPr>
        <w:tc>
          <w:tcPr>
            <w:tcW w:w="7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8"/>
                <w:szCs w:val="18"/>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7,132.9</w:t>
            </w:r>
          </w:p>
        </w:tc>
        <w:tc>
          <w:tcPr>
            <w:tcW w:w="12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6,320.0</w:t>
            </w:r>
          </w:p>
        </w:tc>
      </w:tr>
      <w:tr>
        <w:trPr>
          <w:trHeight w:val="229"/>
        </w:trPr>
        <w:tc>
          <w:tcPr>
            <w:tcW w:w="73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Collaboration and other revenue</w:t>
            </w:r>
            <w:r>
              <w:rPr>
                <w:rFonts w:ascii="Arial" w:cs="Arial" w:eastAsia="Arial" w:hAnsi="Arial"/>
                <w:sz w:val="23"/>
                <w:szCs w:val="23"/>
                <w:color w:val="auto"/>
                <w:vertAlign w:val="superscript"/>
              </w:rPr>
              <w:t>(1)</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677.1</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7,810.0</w:t>
            </w:r>
          </w:p>
        </w:tc>
        <w:tc>
          <w:tcPr>
            <w:tcW w:w="12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6,805.6</w:t>
            </w:r>
          </w:p>
        </w:tc>
      </w:tr>
    </w:tbl>
    <w:p>
      <w:pPr>
        <w:spacing w:after="0" w:line="99" w:lineRule="exact"/>
        <w:rPr>
          <w:sz w:val="20"/>
          <w:szCs w:val="20"/>
          <w:color w:val="auto"/>
        </w:rPr>
      </w:pPr>
    </w:p>
    <w:p>
      <w:pPr>
        <w:ind w:left="180" w:right="240" w:hanging="172"/>
        <w:spacing w:after="0" w:line="229" w:lineRule="auto"/>
        <w:tabs>
          <w:tab w:leader="none" w:pos="15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$53.2 million and $43.0 million during the three months ended March 31, 2022 and 2021, respectively.</w:t>
      </w:r>
    </w:p>
    <w:p>
      <w:pPr>
        <w:spacing w:after="0" w:line="85"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Adjustments to increase revenue recognized as a result of changes in estimates for our most significant United States (U.S.) sales returns, rebates, and discounts liability balances for products shipped in previous periods were less than 1 percent of U.S. revenue during each of the three months ended March 31, 2022 and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251.6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r>
    </w:tbl>
    <w:p>
      <w:pPr>
        <w:spacing w:after="0" w:line="184"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During the three months ended March 31, 2022 and 2021,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 for the three months ended March 31, 2022 and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4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240" w:type="dxa"/>
            <w:vAlign w:val="bottom"/>
          </w:tcPr>
          <w:p>
            <w:pPr>
              <w:ind w:left="220"/>
              <w:spacing w:after="0"/>
              <w:rPr>
                <w:sz w:val="20"/>
                <w:szCs w:val="20"/>
                <w:color w:val="auto"/>
              </w:rPr>
            </w:pPr>
            <w:r>
              <w:rPr>
                <w:rFonts w:ascii="Arial" w:cs="Arial" w:eastAsia="Arial" w:hAnsi="Arial"/>
                <w:sz w:val="18"/>
                <w:szCs w:val="18"/>
                <w:color w:val="auto"/>
              </w:rPr>
              <w:t>Diabetes: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427.4</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1,741.3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368.9</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249.3</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618.2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617.0</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419.4</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190.4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273.2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321.7</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191.5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r>
      <w:tr>
        <w:trPr>
          <w:trHeight w:val="230"/>
        </w:trPr>
        <w:tc>
          <w:tcPr>
            <w:tcW w:w="4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diabetes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144.6</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r>
      <w:tr>
        <w:trPr>
          <w:trHeight w:val="223"/>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diabetes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2,276.6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1,111.6</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3,388.2</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3,111.1</w:t>
            </w:r>
          </w:p>
        </w:tc>
      </w:tr>
      <w:tr>
        <w:trPr>
          <w:trHeight w:val="257"/>
        </w:trPr>
        <w:tc>
          <w:tcPr>
            <w:tcW w:w="4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301.5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167.9</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469.4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343.9</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151.1</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230.3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240.5</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85.5</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85.5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101.2</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4240" w:type="dxa"/>
            <w:vAlign w:val="bottom"/>
          </w:tcPr>
          <w:p>
            <w:pPr>
              <w:ind w:left="48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783.7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569.2</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1,353.0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642.5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1,372.2</w:t>
            </w:r>
          </w:p>
        </w:tc>
      </w:tr>
      <w:tr>
        <w:trPr>
          <w:trHeight w:val="257"/>
        </w:trPr>
        <w:tc>
          <w:tcPr>
            <w:tcW w:w="4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180.8</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488.1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 (3)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184.3</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255.6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29"/>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4240" w:type="dxa"/>
            <w:vAlign w:val="bottom"/>
          </w:tcPr>
          <w:p>
            <w:pPr>
              <w:ind w:left="480"/>
              <w:spacing w:after="0"/>
              <w:rPr>
                <w:sz w:val="20"/>
                <w:szCs w:val="20"/>
                <w:color w:val="auto"/>
              </w:rPr>
            </w:pPr>
            <w:r>
              <w:rPr>
                <w:rFonts w:ascii="Arial" w:cs="Arial" w:eastAsia="Arial" w:hAnsi="Arial"/>
                <w:sz w:val="18"/>
                <w:szCs w:val="18"/>
                <w:color w:val="auto"/>
              </w:rPr>
              <w:t>Total immunology</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378.5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369.6</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748.1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613.9</w:t>
            </w:r>
          </w:p>
        </w:tc>
      </w:tr>
      <w:tr>
        <w:trPr>
          <w:trHeight w:val="256"/>
        </w:trPr>
        <w:tc>
          <w:tcPr>
            <w:tcW w:w="4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Neuroscience: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149.3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83.5</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93.1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r>
      <w:tr>
        <w:trPr>
          <w:trHeight w:val="230"/>
        </w:trPr>
        <w:tc>
          <w:tcPr>
            <w:tcW w:w="4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neuroscience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74.2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neuroscience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397.7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r>
      <w:tr>
        <w:trPr>
          <w:trHeight w:val="257"/>
        </w:trPr>
        <w:tc>
          <w:tcPr>
            <w:tcW w:w="4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9"/>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COVID-19 antibodies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1,455.2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1,469.8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810.1</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217.7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67.3</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137.4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29"/>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98.1</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23"/>
        </w:trPr>
        <w:tc>
          <w:tcPr>
            <w:tcW w:w="4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1,582.4</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1,923.0</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1,242.9</w:t>
            </w: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2,635.4</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7,810.0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4" w:lineRule="exact"/>
        <w:rPr>
          <w:rFonts w:ascii="Arial" w:cs="Arial" w:eastAsia="Arial" w:hAnsi="Arial"/>
          <w:sz w:val="9"/>
          <w:szCs w:val="9"/>
          <w:color w:val="auto"/>
        </w:rPr>
      </w:pPr>
    </w:p>
    <w:p>
      <w:pPr>
        <w:ind w:left="180" w:right="240" w:hanging="172"/>
        <w:spacing w:after="0" w:line="228" w:lineRule="auto"/>
        <w:tabs>
          <w:tab w:leader="none" w:pos="15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Olumiant revenue includes sales for baricitinib, for treatment in hospitalized COVID-19 patients, that were made pursuant to Emergency Use Authorization (EUA) or similar regulatory authorizations.</w:t>
      </w:r>
    </w:p>
    <w:p>
      <w:pPr>
        <w:spacing w:after="0" w:line="1" w:lineRule="exact"/>
        <w:rPr>
          <w:rFonts w:ascii="Arial" w:cs="Arial" w:eastAsia="Arial" w:hAnsi="Arial"/>
          <w:sz w:val="18"/>
          <w:szCs w:val="18"/>
          <w:color w:val="auto"/>
          <w:vertAlign w:val="superscript"/>
        </w:rPr>
      </w:pPr>
    </w:p>
    <w:p>
      <w:pPr>
        <w:ind w:left="180" w:right="360" w:hanging="172"/>
        <w:spacing w:after="0" w:line="220" w:lineRule="auto"/>
        <w:tabs>
          <w:tab w:leader="none" w:pos="15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EUAs or similar regulatory authorizations.</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1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7"/>
                <w:szCs w:val="17"/>
                <w:color w:val="auto"/>
              </w:rPr>
            </w:pPr>
          </w:p>
        </w:tc>
      </w:tr>
      <w:tr>
        <w:trPr>
          <w:trHeight w:val="224"/>
        </w:trPr>
        <w:tc>
          <w:tcPr>
            <w:tcW w:w="73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Revenue—to unaffiliated customers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U.S.</w:t>
            </w:r>
          </w:p>
        </w:tc>
        <w:tc>
          <w:tcPr>
            <w:tcW w:w="1140" w:type="dxa"/>
            <w:vAlign w:val="bottom"/>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5,174.6</w:t>
            </w:r>
          </w:p>
        </w:tc>
        <w:tc>
          <w:tcPr>
            <w:tcW w:w="1240" w:type="dxa"/>
            <w:vAlign w:val="bottom"/>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3,941.3</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1,067.3</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Japan</w:t>
            </w:r>
          </w:p>
        </w:tc>
        <w:tc>
          <w:tcPr>
            <w:tcW w:w="11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410.2</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571.8</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406.5</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r>
      <w:tr>
        <w:trPr>
          <w:trHeight w:val="229"/>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foreign countries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751.5</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w:t>
            </w: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7,810.0</w:t>
            </w:r>
          </w:p>
        </w:tc>
        <w:tc>
          <w:tcPr>
            <w:tcW w:w="12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January 2021, we completed the acquisition of Prevail Therapeutics Inc. (Prevail).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is included in our consolidated condensed financial statements from the date of acquisition.</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acquired assets in development which are further discussed in this note below in Asset Acquisitions. Upon each acquisition, the cost allocated to acquired IPR&amp;D is immediately expensed if the compound has no alternative future use. Milestone payment obligations incurred prior to regulatory approval of the compound are expensed when the event triggering an obligation to pay the milestone occurs. We recognized $165.6 million and $312.0 million of acquired IPR&amp;D and development milestones during the three months ended March 31, 2022 and 2021,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Prevail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$747.4 million, net of cash acquired) plus one non-tradable contingent value right (CVR) per share. The CVR entitles Prevail stockholders up to an additional $4.00 per share in cash (or an aggregate of approximately $ 160 million) payable, subject to certain terms and conditions, upon the first regulatory approval of a Prevail product in one of the following countries: U.S., Japan, United Kingdom,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 without payment.</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the agreement, we acquired potentially disease-modifying AAV9-based gene therapies for patients with neurodegenerative diseases. The acquisition establishes a new modality for drug discovery and development, extending our research efforts through the creation of a gene therapy program that is being anchored by Prevail's portfolio of assets. The lead gene therapies in clinical development that we acquired were PR001 for patients with Parkinson's disease with GBA1 mutations and neuronopathic Gaucher disease and PR006 for patients with frontotemporal dementia with GRN mutations. Both PR001 and PR006 were granted Fast Track designation from the U.S. Food and Drug Administration (FDA).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January 22,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824.0</w:t>
            </w:r>
          </w:p>
        </w:tc>
      </w:tr>
      <w:tr>
        <w:trPr>
          <w:trHeight w:val="230"/>
        </w:trPr>
        <w:tc>
          <w:tcPr>
            <w:tcW w:w="8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9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liabilities, net</w:t>
            </w:r>
          </w:p>
        </w:tc>
        <w:tc>
          <w:tcPr>
            <w:tcW w:w="9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903.8</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9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980" w:type="dxa"/>
            <w:vAlign w:val="bottom"/>
          </w:tcPr>
          <w:p>
            <w:pPr>
              <w:ind w:left="260"/>
              <w:spacing w:after="0"/>
              <w:rPr>
                <w:sz w:val="20"/>
                <w:szCs w:val="20"/>
                <w:color w:val="auto"/>
              </w:rPr>
            </w:pPr>
            <w:r>
              <w:rPr>
                <w:rFonts w:ascii="Arial" w:cs="Arial" w:eastAsia="Arial" w:hAnsi="Arial"/>
                <w:sz w:val="18"/>
                <w:szCs w:val="18"/>
                <w:color w:val="auto"/>
              </w:rPr>
              <w:t>Cash acquired</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89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tc>
        <w:tc>
          <w:tcPr>
            <w:tcW w:w="9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r>
    </w:tbl>
    <w:p>
      <w:pPr>
        <w:spacing w:after="0" w:line="7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PR001.</w:t>
      </w: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goodwill recognized from this acquisition is not deductible for tax purposes.</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See Note 6 for a discussion on the estimation of the CVR liability.</w:t>
      </w:r>
    </w:p>
    <w:p>
      <w:pPr>
        <w:spacing w:after="0" w:line="9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are unable to provide the results of operations for the three months ended March 31, 2022 and 2021 attributable to Prevail as those operations were substantially integrated into our legacy business.</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months ended March 31,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asset acquisitions during the three months ended March 31, 2022 and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Counterparty</w:t>
            </w:r>
          </w:p>
        </w:tc>
        <w:tc>
          <w:tcPr>
            <w:tcW w:w="35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Compound(s), Therapy or Asset</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580" w:type="dxa"/>
            <w:vAlign w:val="bottom"/>
          </w:tcPr>
          <w:p>
            <w:pPr>
              <w:jc w:val="center"/>
              <w:ind w:left="17"/>
              <w:spacing w:after="0"/>
              <w:rPr>
                <w:sz w:val="20"/>
                <w:szCs w:val="20"/>
                <w:color w:val="auto"/>
              </w:rPr>
            </w:pPr>
            <w:r>
              <w:rPr>
                <w:rFonts w:ascii="Arial" w:cs="Arial" w:eastAsia="Arial" w:hAnsi="Arial"/>
                <w:sz w:val="14"/>
                <w:szCs w:val="14"/>
                <w:b w:val="1"/>
                <w:bCs w:val="1"/>
                <w:color w:val="auto"/>
              </w:rPr>
              <w:t>Phase of</w:t>
            </w:r>
          </w:p>
        </w:tc>
        <w:tc>
          <w:tcPr>
            <w:tcW w:w="300" w:type="dxa"/>
            <w:vAlign w:val="bottom"/>
          </w:tcPr>
          <w:p>
            <w:pPr>
              <w:spacing w:after="0"/>
              <w:rPr>
                <w:sz w:val="14"/>
                <w:szCs w:val="14"/>
                <w:color w:val="auto"/>
              </w:rPr>
            </w:pPr>
          </w:p>
        </w:tc>
        <w:tc>
          <w:tcPr>
            <w:tcW w:w="1340" w:type="dxa"/>
            <w:vAlign w:val="bottom"/>
          </w:tcPr>
          <w:p>
            <w:pPr>
              <w:jc w:val="right"/>
              <w:ind w:right="97"/>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89"/>
        </w:trPr>
        <w:tc>
          <w:tcPr>
            <w:tcW w:w="2720" w:type="dxa"/>
            <w:vAlign w:val="bottom"/>
            <w:tcBorders>
              <w:bottom w:val="single" w:sz="8" w:color="auto"/>
            </w:tcBorders>
            <w:vMerge w:val="continue"/>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BioMarin Pharmaceutical Inc.</w:t>
            </w:r>
          </w:p>
        </w:tc>
        <w:tc>
          <w:tcPr>
            <w:tcW w:w="3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Priority Review Voucher</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February 2022</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Not applicable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spacing w:after="0"/>
              <w:rPr>
                <w:sz w:val="14"/>
                <w:szCs w:val="14"/>
                <w:color w:val="auto"/>
              </w:rPr>
            </w:pPr>
          </w:p>
        </w:tc>
        <w:tc>
          <w:tcPr>
            <w:tcW w:w="3540" w:type="dxa"/>
            <w:vAlign w:val="bottom"/>
            <w:shd w:val="clear" w:color="auto" w:fill="CCEEFF"/>
          </w:tcPr>
          <w:p>
            <w:pPr>
              <w:ind w:left="380"/>
              <w:spacing w:after="0" w:line="169" w:lineRule="exact"/>
              <w:rPr>
                <w:sz w:val="20"/>
                <w:szCs w:val="20"/>
                <w:color w:val="auto"/>
              </w:rPr>
            </w:pPr>
            <w:r>
              <w:rPr>
                <w:rFonts w:ascii="Arial" w:cs="Arial" w:eastAsia="Arial" w:hAnsi="Arial"/>
                <w:sz w:val="18"/>
                <w:szCs w:val="18"/>
                <w:color w:val="auto"/>
              </w:rPr>
              <w:t>R552, a receptor-interacting</w:t>
            </w:r>
          </w:p>
        </w:tc>
        <w:tc>
          <w:tcPr>
            <w:tcW w:w="17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Rigel Pharmaceuticals, Inc.</w:t>
            </w:r>
          </w:p>
        </w:tc>
        <w:tc>
          <w:tcPr>
            <w:tcW w:w="3540" w:type="dxa"/>
            <w:vAlign w:val="bottom"/>
            <w:shd w:val="clear" w:color="auto" w:fill="CCEEFF"/>
          </w:tcPr>
          <w:p>
            <w:pPr>
              <w:ind w:left="380"/>
              <w:spacing w:after="0" w:line="183" w:lineRule="exact"/>
              <w:rPr>
                <w:sz w:val="20"/>
                <w:szCs w:val="20"/>
                <w:color w:val="auto"/>
              </w:rPr>
            </w:pPr>
            <w:r>
              <w:rPr>
                <w:rFonts w:ascii="Arial" w:cs="Arial" w:eastAsia="Arial" w:hAnsi="Arial"/>
                <w:sz w:val="18"/>
                <w:szCs w:val="18"/>
                <w:color w:val="auto"/>
              </w:rPr>
              <w:t>serine/threonine-protein kinase 1</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March 2021</w:t>
            </w:r>
          </w:p>
        </w:tc>
        <w:tc>
          <w:tcPr>
            <w:tcW w:w="1580" w:type="dxa"/>
            <w:vAlign w:val="bottom"/>
            <w:vMerge w:val="restart"/>
            <w:shd w:val="clear" w:color="auto" w:fill="CCEEFF"/>
          </w:tcPr>
          <w:p>
            <w:pPr>
              <w:jc w:val="center"/>
              <w:ind w:left="17"/>
              <w:spacing w:after="0"/>
              <w:rPr>
                <w:sz w:val="20"/>
                <w:szCs w:val="20"/>
                <w:color w:val="auto"/>
              </w:rPr>
            </w:pPr>
            <w:r>
              <w:rPr>
                <w:rFonts w:ascii="Arial" w:cs="Arial" w:eastAsia="Arial" w:hAnsi="Arial"/>
                <w:sz w:val="18"/>
                <w:szCs w:val="18"/>
                <w:color w:val="auto"/>
                <w:w w:val="98"/>
              </w:rPr>
              <w:t>Phase I</w:t>
            </w:r>
          </w:p>
        </w:tc>
        <w:tc>
          <w:tcPr>
            <w:tcW w:w="3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81"/>
        </w:trPr>
        <w:tc>
          <w:tcPr>
            <w:tcW w:w="2720" w:type="dxa"/>
            <w:vAlign w:val="bottom"/>
            <w:vMerge w:val="continue"/>
            <w:shd w:val="clear" w:color="auto" w:fill="CCEEFF"/>
          </w:tcPr>
          <w:p>
            <w:pPr>
              <w:spacing w:after="0"/>
              <w:rPr>
                <w:sz w:val="15"/>
                <w:szCs w:val="15"/>
                <w:color w:val="auto"/>
              </w:rPr>
            </w:pPr>
          </w:p>
        </w:tc>
        <w:tc>
          <w:tcPr>
            <w:tcW w:w="3540" w:type="dxa"/>
            <w:vAlign w:val="bottom"/>
            <w:shd w:val="clear" w:color="auto" w:fill="CCEEFF"/>
          </w:tcPr>
          <w:p>
            <w:pPr>
              <w:ind w:left="380"/>
              <w:spacing w:after="0" w:line="181" w:lineRule="exact"/>
              <w:rPr>
                <w:sz w:val="20"/>
                <w:szCs w:val="20"/>
                <w:color w:val="auto"/>
              </w:rPr>
            </w:pPr>
            <w:r>
              <w:rPr>
                <w:rFonts w:ascii="Arial" w:cs="Arial" w:eastAsia="Arial" w:hAnsi="Arial"/>
                <w:sz w:val="18"/>
                <w:szCs w:val="18"/>
                <w:color w:val="auto"/>
              </w:rPr>
              <w:t>(RIPK1) inhibitor, for the potential</w:t>
            </w:r>
          </w:p>
        </w:tc>
        <w:tc>
          <w:tcPr>
            <w:tcW w:w="1760" w:type="dxa"/>
            <w:vAlign w:val="bottom"/>
            <w:vMerge w:val="continue"/>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spacing w:after="0"/>
              <w:rPr>
                <w:sz w:val="15"/>
                <w:szCs w:val="15"/>
                <w:color w:val="auto"/>
              </w:rPr>
            </w:pPr>
          </w:p>
        </w:tc>
        <w:tc>
          <w:tcPr>
            <w:tcW w:w="35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treatment of autoimmune and</w:t>
            </w:r>
          </w:p>
        </w:tc>
        <w:tc>
          <w:tcPr>
            <w:tcW w:w="17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720" w:type="dxa"/>
            <w:vAlign w:val="bottom"/>
            <w:tcBorders>
              <w:bottom w:val="single" w:sz="8" w:color="auto"/>
            </w:tcBorders>
            <w:shd w:val="clear" w:color="auto" w:fill="CCEEFF"/>
          </w:tcPr>
          <w:p>
            <w:pPr>
              <w:spacing w:after="0"/>
              <w:rPr>
                <w:sz w:val="20"/>
                <w:szCs w:val="20"/>
                <w:color w:val="auto"/>
              </w:rPr>
            </w:pPr>
          </w:p>
        </w:tc>
        <w:tc>
          <w:tcPr>
            <w:tcW w:w="3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inflammatory diseases</w:t>
            </w:r>
          </w:p>
        </w:tc>
        <w:tc>
          <w:tcPr>
            <w:tcW w:w="17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Precision Biosciences, Inc.</w:t>
            </w:r>
          </w:p>
        </w:tc>
        <w:tc>
          <w:tcPr>
            <w:tcW w:w="3540" w:type="dxa"/>
            <w:vAlign w:val="bottom"/>
          </w:tcPr>
          <w:p>
            <w:pPr>
              <w:ind w:left="380"/>
              <w:spacing w:after="0" w:line="171" w:lineRule="exact"/>
              <w:rPr>
                <w:sz w:val="20"/>
                <w:szCs w:val="20"/>
                <w:color w:val="auto"/>
              </w:rPr>
            </w:pPr>
            <w:r>
              <w:rPr>
                <w:rFonts w:ascii="Arial" w:cs="Arial" w:eastAsia="Arial" w:hAnsi="Arial"/>
                <w:sz w:val="18"/>
                <w:szCs w:val="18"/>
                <w:color w:val="auto"/>
              </w:rPr>
              <w:t>Potential in vivo therapies for genetic</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rPr>
              <w:t>January 2021</w:t>
            </w:r>
          </w:p>
        </w:tc>
        <w:tc>
          <w:tcPr>
            <w:tcW w:w="1580" w:type="dxa"/>
            <w:vAlign w:val="bottom"/>
            <w:vMerge w:val="restart"/>
          </w:tcPr>
          <w:p>
            <w:pPr>
              <w:jc w:val="center"/>
              <w:ind w:left="17"/>
              <w:spacing w:after="0"/>
              <w:rPr>
                <w:sz w:val="20"/>
                <w:szCs w:val="20"/>
                <w:color w:val="auto"/>
              </w:rPr>
            </w:pPr>
            <w:r>
              <w:rPr>
                <w:rFonts w:ascii="Arial" w:cs="Arial" w:eastAsia="Arial" w:hAnsi="Arial"/>
                <w:sz w:val="18"/>
                <w:szCs w:val="18"/>
                <w:color w:val="auto"/>
                <w:w w:val="99"/>
              </w:rPr>
              <w:t>Pre-clinical</w:t>
            </w: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153"/>
        </w:trPr>
        <w:tc>
          <w:tcPr>
            <w:tcW w:w="2720" w:type="dxa"/>
            <w:vAlign w:val="bottom"/>
            <w:vMerge w:val="continue"/>
          </w:tcPr>
          <w:p>
            <w:pPr>
              <w:spacing w:after="0"/>
              <w:rPr>
                <w:sz w:val="13"/>
                <w:szCs w:val="13"/>
                <w:color w:val="auto"/>
              </w:rPr>
            </w:pPr>
          </w:p>
        </w:tc>
        <w:tc>
          <w:tcPr>
            <w:tcW w:w="3540" w:type="dxa"/>
            <w:vAlign w:val="bottom"/>
            <w:vMerge w:val="restart"/>
          </w:tcPr>
          <w:p>
            <w:pPr>
              <w:ind w:left="380"/>
              <w:spacing w:after="0"/>
              <w:rPr>
                <w:sz w:val="20"/>
                <w:szCs w:val="20"/>
                <w:color w:val="auto"/>
              </w:rPr>
            </w:pPr>
            <w:r>
              <w:rPr>
                <w:rFonts w:ascii="Arial" w:cs="Arial" w:eastAsia="Arial" w:hAnsi="Arial"/>
                <w:sz w:val="18"/>
                <w:szCs w:val="18"/>
                <w:color w:val="auto"/>
              </w:rPr>
              <w:t>disorders</w:t>
            </w:r>
          </w:p>
        </w:tc>
        <w:tc>
          <w:tcPr>
            <w:tcW w:w="176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72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vMerge w:val="continue"/>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significant development milestones during each of the three months ended March 31, 2022 and 2021.</w:t>
      </w:r>
    </w:p>
    <w:p>
      <w:pPr>
        <w:spacing w:after="0" w:line="11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In connection with asset acquisitions, our partners may be entitled to future royalties and/or commercial milestones based on sales should products be approved for commercialization and/or milestones based on the successful progress of compounds through the development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17"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basal insulin, Basaglar. Glyxambi, Synjardy, and Trijardy XR are included in the Jardiance product family.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Jentadueto is included in the Trajenta product family.</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The milestones pertaining to Jardiance and Trajenta are being amortized through their respective term under the collaboration which, depending on country or region, is determined based on the latest to occur of (a) a defined number of years following launch date, (b) the expiration of the compound patent, or</w:t>
      </w:r>
    </w:p>
    <w:p>
      <w:pPr>
        <w:spacing w:after="0" w:line="3" w:lineRule="exact"/>
        <w:rPr>
          <w:sz w:val="20"/>
          <w:szCs w:val="20"/>
          <w:color w:val="auto"/>
        </w:rPr>
      </w:pPr>
    </w:p>
    <w:p>
      <w:pPr>
        <w:ind w:right="180" w:firstLine="8"/>
        <w:spacing w:after="0" w:line="258"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expiration of marketing authorization exclusivity. The milestones pertaining to Basaglar are being amortized through 2029. The table below summarizes the net milestones capitalized with respect to the Jardiance and Trajenta families of products and the net milestones deferred with respect to Basaglar at March 31, 2022 and December 31,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Net Milestones Capitalized (Deferred)</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as of:</w:t>
            </w:r>
          </w:p>
        </w:tc>
      </w:tr>
      <w:tr>
        <w:trPr>
          <w:trHeight w:val="195"/>
        </w:trPr>
        <w:tc>
          <w:tcPr>
            <w:tcW w:w="7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Trajenta</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r>
    </w:tbl>
    <w:p>
      <w:pPr>
        <w:spacing w:after="0" w:line="8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This represents the amounts that have been capitalized (deferred) from the start of this collaboration through the end of the reporting period, net of amount amortized.</w:t>
      </w: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Jardiance product family, we and Boehringer Ingelheim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Basaglar in the U.S. We record our sales of Basaglar to third parties as net product revenue with the royalty payments made to Boehringer Ingelheim recorded as cost of sales.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5" w:name="page16"/>
    <w:bookmarkEnd w:id="15"/>
    <w:p>
      <w:pPr>
        <w:ind w:right="640"/>
        <w:spacing w:after="0" w:line="287" w:lineRule="auto"/>
        <w:rPr>
          <w:sz w:val="20"/>
          <w:szCs w:val="20"/>
          <w:color w:val="auto"/>
        </w:rPr>
      </w:pPr>
      <w:r>
        <w:rPr>
          <w:rFonts w:ascii="Arial" w:cs="Arial" w:eastAsia="Arial" w:hAnsi="Arial"/>
          <w:sz w:val="18"/>
          <w:szCs w:val="18"/>
          <w:color w:val="auto"/>
        </w:rPr>
        <w:t>The following table summarizes our collaboration and other revenue recognized with respect to the Jardiance and Trajenta families of products and net product revenue recognized with respect to Basaglar: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1220" w:type="dxa"/>
            <w:vAlign w:val="bottom"/>
            <w:shd w:val="clear" w:color="auto" w:fill="CCEEFF"/>
          </w:tcPr>
          <w:p>
            <w:pPr>
              <w:jc w:val="right"/>
              <w:ind w:right="1022"/>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419.4</w:t>
            </w:r>
          </w:p>
        </w:tc>
        <w:tc>
          <w:tcPr>
            <w:tcW w:w="130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Basaglar</w:t>
            </w:r>
          </w:p>
        </w:tc>
        <w:tc>
          <w:tcPr>
            <w:tcW w:w="12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191.5</w:t>
            </w: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246.6</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92.0</w:t>
            </w: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(baricitinib), and certain follow-on compounds, for the treatment of inflammatory and autoimmune diseases.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 The agreement calls for payments by us to Incyte associated with certain development, success-based regulatory, and sales-based milestones.</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the regulatory approvals of Olumiant in the U.S., Europe, and Japan, as well as achievement of a sales-based milestone, milestone payments of $260.0 million were capitalized as intangible assets as of March 31, 2022 and December 31, 2021 and are being amortized to cost of sales through the term of the collaboration. This represents the cumulative amounts that have been capitalized from the start of this collaboration through the end of each reporting period.</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March 31, 2022, Incyte is eligible to receive up to $70.0 million of additional payments from us contingent upon certain success-based regulatory milestones based on current development plans. Incyte is also eligible to receive up to $100.0 million of potential sales-based milestones.</w:t>
      </w:r>
    </w:p>
    <w:p>
      <w:pPr>
        <w:spacing w:after="0" w:line="6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record our sales of Olumiant, including sales of baricitinib that were made pursuant to EUA or similar regulatory authorizations, to third parties as net product revenue with the royalty payments made to Incyte recorded as cost of sales. The following table summarizes our net product revenue recognized with respect to Olumiant:</w:t>
      </w:r>
    </w:p>
    <w:p>
      <w:pPr>
        <w:spacing w:after="0" w:line="113"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5" w:lineRule="exact"/>
        <w:rPr>
          <w:sz w:val="20"/>
          <w:szCs w:val="20"/>
          <w:color w:val="auto"/>
        </w:rPr>
      </w:pPr>
    </w:p>
    <w:p>
      <w:pPr>
        <w:ind w:left="8160"/>
        <w:spacing w:after="0"/>
        <w:tabs>
          <w:tab w:leader="none" w:pos="101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380" w:val="left"/>
          <w:tab w:leader="none" w:pos="8700" w:val="left"/>
          <w:tab w:leader="none" w:pos="9360" w:val="left"/>
          <w:tab w:leader="none" w:pos="10700" w:val="left"/>
        </w:tabs>
        <w:rPr>
          <w:sz w:val="20"/>
          <w:szCs w:val="20"/>
          <w:color w:val="auto"/>
        </w:rPr>
      </w:pPr>
      <w:r>
        <w:rPr>
          <w:rFonts w:ascii="Arial" w:cs="Arial" w:eastAsia="Arial" w:hAnsi="Arial"/>
          <w:sz w:val="18"/>
          <w:szCs w:val="18"/>
          <w:color w:val="auto"/>
        </w:rPr>
        <w:t>Olumiant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255.6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193.8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Antibodies</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We have a worldwide license and collaboration agreement with AbCellera Biologics Inc. (AbCellera) to co-develop therapeutic antibodies for the potential prevention and treatment of COVID-19, including bamlanivimab and bebtelovimab, for which we hold development and commercialization rights. AbCellera has the right to receive tiered royalty payments on worldwide net sales of bamlanivimab and bebtelovimab with percentages ranging in the mid-teens to mid-twenties. Royalty payments made to AbCellera are recorded as cost of sales.</w:t>
      </w:r>
    </w:p>
    <w:p>
      <w:pPr>
        <w:spacing w:after="0" w:line="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license and collaboration agreement with Shanghai Junshi Biosciences Co., Ltd. (Junshi Biosciences) to co-develop therapeutic antibodies for the potential prevention and treatment of COVID-19, including etesevimab, for which we hold development and commercialization rights outside of mainland China and the Special Administrative Regions of Hong Kong and Macau, and for which Junshi Biosciences currently maintains all rights in mainland China and the Special Administrative Regions of Hong Kong and Macau. Junshi Biosciences has the right to receive royalty payments in the mid-teens on our net sales of etesevimab. Junshi Biosciences received certain development, success-based regulatory and sales-based milestones. Capitalized regulatory and sales-based milestones were fully amortized to cost of sales as of March 31, 2022.</w:t>
      </w:r>
    </w:p>
    <w:p>
      <w:pPr>
        <w:spacing w:after="0" w:line="7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EUAs or similar regulatory authorizations, we recognized $1.47 billion and $810.1 million of net product revenue associated with our sales of our COVID-19 antibodies during the three months ended March 31, 2022 and 2021,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Sintilimab Injection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 collaboration agreement with Innovent to jointly develop and commercialize sintilimab injection in China, where it is branded and trademarked as Tyvyt. In 2019, we and Innovent began co-commercializing Tyvyt in China. In 2020, we obtained an exclusive license for sintilimab injection from Innovent for geographies outside of China. Innovent, with collaboration from us, filed the initial registration of sintilimab injection in the U.S. that the FDA did not approve in its current form and recommended an additional multiregional clinical study be performed.</w:t>
      </w:r>
    </w:p>
    <w:p>
      <w:pPr>
        <w:spacing w:after="0" w:line="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connection with a regulatory approval for Tyvyt in China in 2021, we capitalized a milestone payment of $40.0 million as an intangible asset which is being amortized to cost of sales through the term of the collaboration.</w:t>
      </w:r>
    </w:p>
    <w:p>
      <w:pPr>
        <w:spacing w:after="0" w:line="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March 31, 2022, Innovent is eligible to receive up to $825.0 million for geographies outside of China and up to $195.0 million in China in success-based regulatory and sales-based milestones. Innovent is also eligible to receive tiered double digit royalties on net sales for geographies outside of China.</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 in China with respect to Tyvyt:</w:t>
      </w:r>
    </w:p>
    <w:p>
      <w:pPr>
        <w:spacing w:after="0" w:line="113"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5" w:lineRule="exact"/>
        <w:rPr>
          <w:sz w:val="20"/>
          <w:szCs w:val="20"/>
          <w:color w:val="auto"/>
        </w:rPr>
      </w:pPr>
    </w:p>
    <w:p>
      <w:pPr>
        <w:ind w:left="8160"/>
        <w:spacing w:after="0"/>
        <w:tabs>
          <w:tab w:leader="none" w:pos="101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380" w:val="left"/>
          <w:tab w:leader="none" w:pos="8800" w:val="left"/>
          <w:tab w:leader="none" w:pos="9360" w:val="left"/>
          <w:tab w:leader="none" w:pos="10700" w:val="left"/>
        </w:tabs>
        <w:rPr>
          <w:sz w:val="20"/>
          <w:szCs w:val="20"/>
          <w:color w:val="auto"/>
        </w:rPr>
      </w:pPr>
      <w:r>
        <w:rPr>
          <w:rFonts w:ascii="Arial" w:cs="Arial" w:eastAsia="Arial" w:hAnsi="Arial"/>
          <w:sz w:val="18"/>
          <w:szCs w:val="18"/>
          <w:color w:val="auto"/>
        </w:rPr>
        <w:t>Tyvyt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85.5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109.7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Lebrikizumab</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our acquisition of Dermira, Inc. (Dermira), we have a worldwide license agreement with F. Hoffmann-La Roche Ltd and Genentech, Inc. (collectively Roche), which provides us the worldwide development and commercialization rights to lebrikizumab. Roche has the right to receive tiered royalty payments on future worldwide net sales ranging in percentages from high single digits to high teens if the product is successfully commercialized. As of March 31, 2022,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March 31, 2022, we are eligible to receive additional payments of $85.0 million from Almirall contingent upon the achievement of success-based regulatory milestones and up to $1.25 billion in a series of sales-based milestones, contingent upon the commercial success of lebrikizumab. As of March 31, 2022 and December 31, 2021, contract liabilities were not material. During the three months ended March 31, 2022 and 2021, collaboration and other revenue recognized was not material.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Petra Pharma Corporation (Petra)</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our acquisition of Petra, we are required to make milestone payments to Petra shareholders contingent upon the occurrence of certain future events linked to the success of the mutant-selective PI3Kα inhibitor. In April 2022, we entered into agreements with substantially all Petra shareholders to acquire their rights to receive any future milestone payments in exchange for a one-time payment. As a result of these agreements, we will record a charge of approximately $335 million to acquired IPR&amp;D and development milestones in the second quarter of 2022. Any remaining contingent milestones payments linked to the success of the mutant-selective PI3Kα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360" w:type="dxa"/>
            <w:vAlign w:val="bottom"/>
            <w:shd w:val="clear" w:color="auto" w:fill="CCEEFF"/>
          </w:tcPr>
          <w:p>
            <w:pPr>
              <w:jc w:val="right"/>
              <w:ind w:right="115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and other special charges</w:t>
            </w:r>
          </w:p>
        </w:tc>
        <w:tc>
          <w:tcPr>
            <w:tcW w:w="1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r>
    </w:tbl>
    <w:p>
      <w:pPr>
        <w:spacing w:after="0" w:line="18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Asset impairment, restructuring, and other special charges recognized during the three months ended March 31, 2021 were primarily related to an intangible asset impairment of $108.1 million resulting from the sale of the rights to Qbrexza</w:t>
      </w:r>
      <w:r>
        <w:rPr>
          <w:rFonts w:ascii="Arial" w:cs="Arial" w:eastAsia="Arial" w:hAnsi="Arial"/>
          <w:sz w:val="23"/>
          <w:szCs w:val="23"/>
          <w:color w:val="auto"/>
          <w:vertAlign w:val="superscript"/>
        </w:rPr>
        <w:t>®</w:t>
      </w:r>
      <w:r>
        <w:rPr>
          <w:rFonts w:ascii="Arial" w:cs="Arial" w:eastAsia="Arial" w:hAnsi="Arial"/>
          <w:sz w:val="18"/>
          <w:szCs w:val="18"/>
          <w:color w:val="auto"/>
        </w:rPr>
        <w:t>, as well as acquisition and integration costs associated with the acquisition of Prevail.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7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45"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spacing w:after="0" w:line="254"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March 31, 2022, we had outstanding foreign currency forward commitments to purchase 3.47 billion U.S. dollars and sell 3.13 billion euro; commitments to purchase 5.05 billion euro and sell 5.61 billion U.S. dollars; commitments to purchase 195.6 million U.S. dollars and sell 1.25 billion Chinese yuan; commitments to purchase 89.4 million U.S. dollars and sell 10.85 billion Japanese yen; and commitments to purchase 191.6 million British pounds and sell 252.4 million U.S. dollars, which all have settlement dates within 180 days.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$7.12 billion and $7.90 billion as of March 31, 2022 and December 31, 2021, respectively, of which $4.90 billion and $5.79 billion have been designated as, and are effective as, economic hedges of net investments in certain of our foreign operations as of March 31, 2022 and December 31, 2021, respectively. At March 31, 2022, we had outstanding cross-currency swaps with notional amounts of $1.02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fixed-rate debt, have also been designated as, and are effective as, economic hedges of net investments.</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2022, substantially all of our total long-term debt is at a fixed rate. We have converted approximately 14 percent of our long-term fixed-rate notes to floating rates through the use of interest rate swaps.</w:t>
      </w:r>
    </w:p>
    <w:p>
      <w:pPr>
        <w:spacing w:after="0" w:line="74"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and upon completion of a debt issuance and termination of the swap, is amortized to interest expense over the life of the underlying debt. As of March 31, 2022, the total notional amounts of forward-starting interest rate contracts in designated cash flow hedging instruments were $1.75 billion, which have settlement dates ranging between 2023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1240" w:type="dxa"/>
            <w:vAlign w:val="bottom"/>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(94.6)</w:t>
            </w:r>
          </w:p>
        </w:tc>
        <w:tc>
          <w:tcPr>
            <w:tcW w:w="1280" w:type="dxa"/>
            <w:vAlign w:val="bottom"/>
          </w:tcPr>
          <w:p>
            <w:pPr>
              <w:jc w:val="right"/>
              <w:ind w:right="101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from interest rate contracts</w:t>
            </w: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94.6</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 reclassified from accumulated other</w:t>
            </w:r>
          </w:p>
        </w:tc>
        <w:tc>
          <w:tcPr>
            <w:tcW w:w="12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2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2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12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8.3</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176"/>
        </w:trPr>
        <w:tc>
          <w:tcPr>
            <w:tcW w:w="7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 not designated as hedging</w:t>
            </w:r>
          </w:p>
        </w:tc>
        <w:tc>
          <w:tcPr>
            <w:tcW w:w="12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4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w:t>
            </w:r>
          </w:p>
        </w:tc>
        <w:tc>
          <w:tcPr>
            <w:tcW w:w="128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the three months ended March 31, 2022 and 2021, the amortization of losses related to the portion of our risk management hedging instruments, fair value hedges, and cash flow hedges that was excluded from the assessment of effectiveness was not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1220" w:type="dxa"/>
            <w:vAlign w:val="bottom"/>
          </w:tcPr>
          <w:p>
            <w:pPr>
              <w:jc w:val="right"/>
              <w:ind w:right="1022"/>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54.4</w:t>
            </w:r>
          </w:p>
        </w:tc>
        <w:tc>
          <w:tcPr>
            <w:tcW w:w="1300" w:type="dxa"/>
            <w:vAlign w:val="bottom"/>
          </w:tcPr>
          <w:p>
            <w:pPr>
              <w:jc w:val="right"/>
              <w:ind w:right="101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Forward-starting interest rate swaps</w:t>
            </w: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122.5</w:t>
            </w: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47"/>
        </w:trPr>
        <w:tc>
          <w:tcPr>
            <w:tcW w:w="738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1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17.1</w:t>
            </w:r>
          </w:p>
        </w:tc>
        <w:tc>
          <w:tcPr>
            <w:tcW w:w="1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w:t>
            </w:r>
          </w:p>
        </w:tc>
      </w:tr>
    </w:tbl>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next 12 months, we expect to reclassify $16.5 million of pretax net losses on cash flow hedges from accumulated other comprehensive loss to other–net, (income) expense. During the three months ended March 31, 2022 and 2021, the amounts excluded from the assessment of hedge effectiveness recognized in other comprehensive income (loss)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tables summarize certain fair value information at March 31, 2022 and December 31, 2021 for assets and liabilities measured at fair value on a recurring basis, as well as the carrying amount and amortized cost of certain other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1,104.1</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1,104.1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1,095.0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9.1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1,104.1</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45.1</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45.4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45.1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45.1</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50.6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50.7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50.6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50.6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0.2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109.1</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123.0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116.2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212.3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224.3</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224.3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224.3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109.0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105.1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105.1</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35.4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34.6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15.3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112.5</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807.9</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481.9</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807.9</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807.9</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569.5</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769.2</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2,727.3</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2,379.5</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2,379.5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2,361.0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18.5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2,379.5</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43.7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137.0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232.7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235.3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108.1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1,279.7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487.0</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1,279.7</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1,279.7</w:t>
            </w: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771.5</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3,212.6</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7"/>
        </w:trPr>
        <w:tc>
          <w:tcPr>
            <w:tcW w:w="3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5"/>
          </w:tcPr>
          <w:p>
            <w:pPr>
              <w:jc w:val="center"/>
              <w:ind w:right="39"/>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2"/>
                <w:szCs w:val="12"/>
                <w:color w:val="auto"/>
              </w:rPr>
            </w:pPr>
          </w:p>
        </w:tc>
        <w:tc>
          <w:tcPr>
            <w:tcW w:w="11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1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Active Markets</w:t>
            </w:r>
          </w:p>
        </w:tc>
        <w:tc>
          <w:tcPr>
            <w:tcW w:w="2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for Identical</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1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11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2"/>
                <w:szCs w:val="12"/>
                <w:color w:val="auto"/>
              </w:rPr>
            </w:pPr>
          </w:p>
        </w:tc>
        <w:tc>
          <w:tcPr>
            <w:tcW w:w="11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commercial paper borrowings</w:t>
            </w:r>
          </w:p>
        </w:tc>
        <w:tc>
          <w:tcPr>
            <w:tcW w:w="6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March 31, 2022</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b w:val="1"/>
                <w:bCs w:val="1"/>
                <w:color w:val="auto"/>
              </w:rPr>
              <w:t>(499.7)</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(499.7)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(16,009.1)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6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(16,884.7)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(18,157.7)</w:t>
            </w:r>
          </w:p>
        </w:tc>
        <w:tc>
          <w:tcPr>
            <w:tcW w:w="20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(18,157.7)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5"/>
        </w:trPr>
        <w:tc>
          <w:tcPr>
            <w:tcW w:w="3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43"/>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right"/>
              <w:ind w:right="40"/>
              <w:spacing w:after="0" w:line="143"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0"/>
              <w:spacing w:after="0" w:line="143"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180" w:type="dxa"/>
            <w:vAlign w:val="bottom"/>
          </w:tcPr>
          <w:p>
            <w:pPr>
              <w:jc w:val="center"/>
              <w:ind w:right="60"/>
              <w:spacing w:after="0" w:line="143" w:lineRule="exact"/>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9"/>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180" w:type="dxa"/>
            <w:vAlign w:val="bottom"/>
          </w:tcPr>
          <w:p>
            <w:pPr>
              <w:jc w:val="center"/>
              <w:ind w:right="60"/>
              <w:spacing w:after="0" w:line="139"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8"/>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80"/>
              <w:spacing w:after="0" w:line="158" w:lineRule="exact"/>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3"/>
                <w:szCs w:val="13"/>
                <w:color w:val="auto"/>
              </w:rPr>
            </w:pPr>
          </w:p>
        </w:tc>
        <w:tc>
          <w:tcPr>
            <w:tcW w:w="1140" w:type="dxa"/>
            <w:vAlign w:val="bottom"/>
          </w:tcPr>
          <w:p>
            <w:pPr>
              <w:jc w:val="center"/>
              <w:ind w:right="160"/>
              <w:spacing w:after="0" w:line="158"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3"/>
                <w:szCs w:val="13"/>
                <w:color w:val="auto"/>
              </w:rPr>
            </w:pPr>
          </w:p>
        </w:tc>
        <w:tc>
          <w:tcPr>
            <w:tcW w:w="1180" w:type="dxa"/>
            <w:vAlign w:val="bottom"/>
          </w:tcPr>
          <w:p>
            <w:pPr>
              <w:jc w:val="center"/>
              <w:ind w:right="60"/>
              <w:spacing w:after="0" w:line="158" w:lineRule="exact"/>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3"/>
                <w:szCs w:val="13"/>
                <w:color w:val="auto"/>
              </w:rPr>
            </w:pPr>
          </w:p>
        </w:tc>
        <w:tc>
          <w:tcPr>
            <w:tcW w:w="1020" w:type="dxa"/>
            <w:vAlign w:val="bottom"/>
          </w:tcPr>
          <w:p>
            <w:pPr>
              <w:jc w:val="right"/>
              <w:ind w:right="460"/>
              <w:spacing w:after="0" w:line="158" w:lineRule="exact"/>
              <w:rPr>
                <w:sz w:val="20"/>
                <w:szCs w:val="20"/>
                <w:color w:val="auto"/>
              </w:rPr>
            </w:pPr>
            <w:r>
              <w:rPr>
                <w:rFonts w:ascii="Arial" w:cs="Arial" w:eastAsia="Arial" w:hAnsi="Arial"/>
                <w:sz w:val="14"/>
                <w:szCs w:val="14"/>
                <w:b w:val="1"/>
                <w:bCs w:val="1"/>
                <w:color w:val="auto"/>
              </w:rPr>
              <w:t>Fair</w:t>
            </w:r>
          </w:p>
        </w:tc>
      </w:tr>
      <w:tr>
        <w:trPr>
          <w:trHeight w:val="189"/>
        </w:trPr>
        <w:tc>
          <w:tcPr>
            <w:tcW w:w="4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1.3</w:t>
            </w:r>
          </w:p>
        </w:tc>
        <w:tc>
          <w:tcPr>
            <w:tcW w:w="2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22.8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r>
      <w:tr>
        <w:trPr>
          <w:trHeight w:val="216"/>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(43.2)</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(43.2)</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(43.2)</w:t>
            </w: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cash flow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140.0</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140.0</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140.0</w:t>
            </w:r>
          </w:p>
        </w:tc>
      </w:tr>
      <w:tr>
        <w:trPr>
          <w:trHeight w:val="162"/>
        </w:trPr>
        <w:tc>
          <w:tcPr>
            <w:tcW w:w="42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investment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2.0</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2.0</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40.0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r>
      <w:tr>
        <w:trPr>
          <w:trHeight w:val="162"/>
        </w:trPr>
        <w:tc>
          <w:tcPr>
            <w:tcW w:w="422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40.8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40.8</w:t>
            </w:r>
          </w:p>
        </w:tc>
      </w:tr>
      <w:tr>
        <w:trPr>
          <w:trHeight w:val="162"/>
        </w:trPr>
        <w:tc>
          <w:tcPr>
            <w:tcW w:w="422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38.8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38.8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r>
      <w:tr>
        <w:trPr>
          <w:trHeight w:val="216"/>
        </w:trPr>
        <w:tc>
          <w:tcPr>
            <w:tcW w:w="422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(45.8)</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(45.8)</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(45.8)</w:t>
            </w: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(70.0)</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80" w:type="dxa"/>
            <w:vAlign w:val="bottom"/>
          </w:tcPr>
          <w:p>
            <w:pPr>
              <w:ind w:left="720"/>
              <w:spacing w:after="0"/>
              <w:rPr>
                <w:sz w:val="20"/>
                <w:szCs w:val="20"/>
                <w:color w:val="auto"/>
              </w:rPr>
            </w:pPr>
            <w:r>
              <w:rPr>
                <w:rFonts w:ascii="Arial" w:cs="Arial" w:eastAsia="Arial" w:hAnsi="Arial"/>
                <w:sz w:val="16"/>
                <w:szCs w:val="16"/>
                <w:b w:val="1"/>
                <w:bCs w:val="1"/>
                <w:color w:val="auto"/>
              </w:rPr>
              <w:t>(70.0)</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(70.0)</w:t>
            </w:r>
          </w:p>
        </w:tc>
      </w:tr>
      <w:tr>
        <w:trPr>
          <w:trHeight w:val="216"/>
        </w:trPr>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Risk-management instruments: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78.3</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78.3</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Interest rate contracts designated as cash flow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49.2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49.2</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(31.7)</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163"/>
        </w:trPr>
        <w:tc>
          <w:tcPr>
            <w:tcW w:w="42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investment hedges: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31.3</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62"/>
        </w:trPr>
        <w:tc>
          <w:tcPr>
            <w:tcW w:w="422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33.2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63"/>
        </w:trPr>
        <w:tc>
          <w:tcPr>
            <w:tcW w:w="42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Foreign exchange contracts not designated as hedging</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instruments: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(35.3)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5"/>
        </w:trPr>
        <w:tc>
          <w:tcPr>
            <w:tcW w:w="4220" w:type="dxa"/>
            <w:vAlign w:val="bottom"/>
          </w:tcPr>
          <w:p>
            <w:pPr>
              <w:ind w:left="220"/>
              <w:spacing w:after="0"/>
              <w:rPr>
                <w:sz w:val="20"/>
                <w:szCs w:val="20"/>
                <w:color w:val="auto"/>
              </w:rPr>
            </w:pPr>
            <w:r>
              <w:rPr>
                <w:rFonts w:ascii="Arial" w:cs="Arial" w:eastAsia="Arial" w:hAnsi="Arial"/>
                <w:sz w:val="16"/>
                <w:szCs w:val="16"/>
                <w:color w:val="auto"/>
              </w:rPr>
              <w:t>Contingent consideration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(70.5)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(70.5)</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3" w:name="page24"/>
    <w:bookmarkEnd w:id="23"/>
    <w:p>
      <w:pPr>
        <w:ind w:right="12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 As of March 31, 2022, we had approximately $843 million of unfunded commitments to invest in venture capital funds, which we anticipate will be paid over a period of up to 10 years.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Contingent consideration liability relates to our liability arising in connection with the CVR issued as a result of the Prevail acquisition. The fair value of the CVR liability was estimated using a discounted cash flow analysis and Level 3 inputs, including projections representative of a market participant's view of the expected cash payment associated with the first potential regulatory approval of a Prevail compound in the applicable countries based on probabilities of technical success, timing of the potential approval events for the compounds, and an estimated discount rate. See Note 3 for additional information related to the CVR arrangement.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7"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7"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567.1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197.7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 net gains (losses) recognized in our consolidated condensed statements of operations for equity securities were $ (425.4) million and $301.5 million for the three months ended March 31, 2022 and 2021, respectively. The net gains/losses recognized for the three months ended March 31, 2022 and 2021 on equity securities sold during the respective periods were not material.</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for the three months ended March 31, 2022 and 2021 were not material.</w:t>
      </w:r>
    </w:p>
    <w:p>
      <w:pPr>
        <w:spacing w:after="0" w:line="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880" w:type="dxa"/>
            <w:vAlign w:val="bottom"/>
          </w:tcPr>
          <w:p>
            <w:pPr>
              <w:spacing w:after="0"/>
              <w:rPr>
                <w:sz w:val="19"/>
                <w:szCs w:val="19"/>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b w:val="1"/>
                <w:bCs w:val="1"/>
                <w:color w:val="auto"/>
              </w:rPr>
              <w:t>25.2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8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89.5</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47"/>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88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b w:val="1"/>
                <w:bCs w:val="1"/>
                <w:color w:val="auto"/>
              </w:rPr>
              <w:t>440.6</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290.2</w:t>
            </w:r>
          </w:p>
        </w:tc>
      </w:tr>
    </w:tbl>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months ended March 31, 2022 and 2021.</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t>As of March 31, 2022, the available-for-sale securities in an unrealized loss position include primarily fixed-rate debt securities of varying maturities, which are sensitive to changes in the yield curve and other market conditions. Approximately 97 percent of the fixed-rate debt securities in a loss position are investment-grade debt securities. As of March 31, 2022,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2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280" w:type="dxa"/>
            <w:vAlign w:val="bottom"/>
            <w:shd w:val="clear" w:color="auto" w:fill="CCEEFF"/>
          </w:tcPr>
          <w:p>
            <w:pPr>
              <w:jc w:val="right"/>
              <w:ind w:right="1082"/>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w:t>
            </w:r>
          </w:p>
        </w:tc>
        <w:tc>
          <w:tcPr>
            <w:tcW w:w="136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12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gross losses on sales</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bl>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are accounted for as sales and result in a reduction in accounts receivable because the agreements transfer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over and, risk related to, the receivables to the buyers. Our factoring agreements do not allow for recourse in the event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uncollectibility, and we do not retain any interest in the underlying accounts receivable once sold. We derecognized $449.5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$550.5 million of accounts receivable as of March 31, 2022 and December 31, 2021, respectively, under these factoring arrangements.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 of factoring such accounts receivable on our consolidated condensed results of operations for the three months ended March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2021 were not material.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effective tax rate was 7.3 percent for the three months ended March 31, 2022, compared with 8.2 percent for the three months ended March 31, 2021. The lower effective tax rate for the three months ended March 31, 2022 was largely driven by decreased tax expense related to net investment losses on equity securities compared to net investment gains on equity securities for the three months ended March 31, 2021 and decreased tax expense related to the implementation of the provision in the Tax Cuts and Jobs Act (the 2017 Tax Act) that requires capitalization and amortization of research and development expenses for tax purposes starting in 2022, partially offset by a lower net discrete tax benefit compared to the three months ended March 31, 2021. If this provision of the 2017 Tax Act is deferred or repealed by Congress effective for 2022, we expect our effective tax rate to be approximately 13 percent to 14 percent for 2022.</w:t>
      </w:r>
    </w:p>
    <w:p>
      <w:pPr>
        <w:spacing w:after="0" w:line="7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U.S. examination of tax years 2016-2018 began in the fourth quarter of 2019 and remains ongoing. The resolution of this audit period will likely extend beyond the next 12 months.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8: 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318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Defined Benefit Pension Plans</w:t>
            </w:r>
          </w:p>
        </w:tc>
        <w:tc>
          <w:tcPr>
            <w:tcW w:w="680" w:type="dxa"/>
            <w:vAlign w:val="bottom"/>
            <w:tcBorders>
              <w:bottom w:val="single" w:sz="8" w:color="auto"/>
            </w:tcBorders>
          </w:tcPr>
          <w:p>
            <w:pPr>
              <w:spacing w:after="0"/>
              <w:rPr>
                <w:sz w:val="17"/>
                <w:szCs w:val="17"/>
                <w:color w:val="auto"/>
              </w:rPr>
            </w:pPr>
          </w:p>
        </w:tc>
      </w:tr>
      <w:tr>
        <w:trPr>
          <w:trHeight w:val="196"/>
        </w:trPr>
        <w:tc>
          <w:tcPr>
            <w:tcW w:w="7380" w:type="dxa"/>
            <w:vAlign w:val="bottom"/>
          </w:tcPr>
          <w:p>
            <w:pPr>
              <w:spacing w:after="0"/>
              <w:rPr>
                <w:sz w:val="17"/>
                <w:szCs w:val="17"/>
                <w:color w:val="auto"/>
              </w:rPr>
            </w:pPr>
          </w:p>
        </w:tc>
        <w:tc>
          <w:tcPr>
            <w:tcW w:w="318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7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8"/>
                <w:szCs w:val="18"/>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180" w:type="dxa"/>
            <w:vAlign w:val="bottom"/>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89.1</w:t>
            </w:r>
          </w:p>
        </w:tc>
        <w:tc>
          <w:tcPr>
            <w:tcW w:w="126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100.5</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(239.5)</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87.0</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30"/>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118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w:t>
            </w:r>
          </w:p>
        </w:tc>
        <w:tc>
          <w:tcPr>
            <w:tcW w:w="126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431"/>
        </w:trPr>
        <w:tc>
          <w:tcPr>
            <w:tcW w:w="7380" w:type="dxa"/>
            <w:vAlign w:val="bottom"/>
          </w:tcPr>
          <w:p>
            <w:pPr>
              <w:spacing w:after="0"/>
              <w:rPr>
                <w:sz w:val="24"/>
                <w:szCs w:val="24"/>
                <w:color w:val="auto"/>
              </w:rPr>
            </w:pPr>
          </w:p>
        </w:tc>
        <w:tc>
          <w:tcPr>
            <w:tcW w:w="318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Retiree Health Benefit Plans</w:t>
            </w:r>
          </w:p>
        </w:tc>
        <w:tc>
          <w:tcPr>
            <w:tcW w:w="680" w:type="dxa"/>
            <w:vAlign w:val="bottom"/>
            <w:tcBorders>
              <w:bottom w:val="single" w:sz="8" w:color="auto"/>
            </w:tcBorders>
          </w:tcPr>
          <w:p>
            <w:pPr>
              <w:spacing w:after="0"/>
              <w:rPr>
                <w:sz w:val="24"/>
                <w:szCs w:val="24"/>
                <w:color w:val="auto"/>
              </w:rPr>
            </w:pPr>
          </w:p>
        </w:tc>
      </w:tr>
      <w:tr>
        <w:trPr>
          <w:trHeight w:val="196"/>
        </w:trPr>
        <w:tc>
          <w:tcPr>
            <w:tcW w:w="7380" w:type="dxa"/>
            <w:vAlign w:val="bottom"/>
          </w:tcPr>
          <w:p>
            <w:pPr>
              <w:spacing w:after="0"/>
              <w:rPr>
                <w:sz w:val="17"/>
                <w:szCs w:val="17"/>
                <w:color w:val="auto"/>
              </w:rPr>
            </w:pPr>
          </w:p>
        </w:tc>
        <w:tc>
          <w:tcPr>
            <w:tcW w:w="318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10"/>
        </w:trPr>
        <w:tc>
          <w:tcPr>
            <w:tcW w:w="7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8"/>
                <w:szCs w:val="18"/>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income:</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180" w:type="dxa"/>
            <w:vAlign w:val="bottom"/>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26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income</w:t>
            </w:r>
          </w:p>
        </w:tc>
        <w:tc>
          <w:tcPr>
            <w:tcW w:w="118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126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the legal proceedings in which we are named as defendants are without merit and we are defending against them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condensed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7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Patent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Patent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Litigation</w:t>
      </w:r>
    </w:p>
    <w:p>
      <w:pPr>
        <w:spacing w:after="0" w:line="11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Alimta (pemetrexed) was protected by a vitamin regimen patent until November 2021, and since then has been protected by pediatric exclusivity through May 2022.</w:t>
      </w:r>
    </w:p>
    <w:p>
      <w:pPr>
        <w:spacing w:after="0" w:line="45"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Litigation</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 Europe, Alimta was protected by the vitamin regimen patent through June 2021. Despite the recent patent expiration, a number of legal proceedings that were initiated prior to expiration are ongoing.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September 2018, we were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Trial is currently scheduled to begin in October 2022. 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 This matter is ongoing.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November 2018, Boehringer Ingelheim (BI), our partner in marketing and development of Jardiance, initiated U.S. patent litigation in the U.S. District Court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including in some allegations the compound patent, are invalid or would not be infringed. We are not a party to this litigation. This litigation has been stayed.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April 2021, we petitioned the High Court of Ireland to declare invalid the patent that Novartis Pharma AG (Novartis) purchased from Genentech, Inc. in 2020. Novartis responded by filing a claim against us alleging patent infringement related to our commercialization of Taltz and seeking damages for past infringement and an injunction against future infringement. This matter is ongoing.</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2021 and November 2021, Novartis petitioned the Court of Rome Intellectual Property Division and the Swiss Federal Patent Court, respectively, in preliminary injunction (PI) and main infringement proceedings against us related to our commercialization of Taltz. In June 2021, the Court of Rome Intellectual Property Division dismissed Novartis' PI action. Novartis appealed the ruling and, in October 2021, the panel hearing Novartis' appeal appointed a technical expert to assess the merits of the case. In April 2022, Novartis withdrew its PI request in Switzerland, but the main infringement proceedings continue. A hearing on the Italian PI request is scheduled for May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Zyprexa Canada Patent Litigation</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judgment, thereby dismissing Apotex's case. Apotex appealed that ruling to the Court of Appeal for Ontario in April 2021 and a hearing occurred February 2022. We await a decision.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Byetta® Product Liability</w:t>
      </w:r>
    </w:p>
    <w:p>
      <w:pPr>
        <w:spacing w:after="0" w:line="1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named as a defendant in approximately 570 Byetta product liability lawsuits in the U.S. which were first initiated in March 2009 and involve approximately 805 plaintiffs. Approximately 55 of these lawsuits, covering about 285 plaintiffs, are filed in California state court and coordinated in a Los Angeles Superior Court. Approximately 515 of the lawsuits, covering about 515 plaintiffs, are filed in federal court, the majority of which are coordinated in a multi-district litigation (MDL) in the U.S. District Court for the Southern District of California. Two lawsuits, representing approximately two plaintiffs, have also been filed in various state courts. Approximately 565 of the lawsuits, involving approximately 800 plaintiffs, contain allegations that Byetta caused or contributed to the plaintiffs' cancer (primarily pancreatic cancer or thyroid cancer); while six plaintiffs allege Byetta caused or contributed to pancreatitis. In addition, one case alleges that Byetta caused or contributed to ampullary cancer. The federal and state trial courts granted summary judgment in favor of us and our co-defendants on the claims alleging pancreatic cancer. The plaintiffs appealed those rulings.</w:t>
      </w:r>
    </w:p>
    <w:p>
      <w:pPr>
        <w:spacing w:after="0" w:line="7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November 2017, the U.S. Court of Appeals for the Ninth Circuit reversed the U.S. District Court for the Southern District of California's grant of summary judgment in the MDL based on that court's discovery rulings and remanded the cases back to the U.S. District Court for further proceedings. In March 2021, the U.S. District Court granted summary judgment for the defendants. In April 2021, the plaintiffs filed a notice of appeal to the U.S. Court of Appeals for the Ninth Circuit, but we have now been dismissed from that appeal. In March 2022, the U.S. Court of Appeals for the Ninth Circuit affirmed the U.S. District Court's grant of summary judgment with respect to the remaining defendant in the appeal. Certain plaintiffs have agreed to dismiss their lawsuits in exchange for a waiver of costs, and individual plaintiffs have begun dismissing their claims based upon this agreement. Approximately 333 of the MDL lawsuits have been dismissed as of April 2022. In the state court actions, in November 2018, the California Court of Appeal reversed the Los Angeles County Superior Court of California's grant of summary judgment based on that court's discovery rulings and remanded for further proceedings. In April 2021, the Los Angeles County Superior Court of California granted summary judgment for the defendants and the parties await entry of the order of judgment. Approximately 34 of the state court lawsuits have been dismissed as of April 2022.</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aware of approximately 20 additional potential claimants who have not yet filed suit. These additional possible claims allege damages for pancreatic cancer or thyroid cancer.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Cialis Product Liability</w:t>
      </w:r>
    </w:p>
    <w:p>
      <w:pPr>
        <w:spacing w:after="0" w:line="11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are named as a defendant in approximately 350 Cialis product liability lawsuits in the U.S. which were first initiated in August 2015.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The JPML ordered the transfer of the existing cases to the now-renamed MDL </w:t>
      </w:r>
      <w:r>
        <w:rPr>
          <w:rFonts w:ascii="Arial" w:cs="Arial" w:eastAsia="Arial" w:hAnsi="Arial"/>
          <w:sz w:val="18"/>
          <w:szCs w:val="18"/>
          <w:i w:val="1"/>
          <w:iCs w:val="1"/>
          <w:color w:val="auto"/>
        </w:rPr>
        <w:t>In re: Viagra (Sildenafil Citrate) and Cialis (Tadalafil) Products Liability Litigation</w:t>
      </w:r>
      <w:r>
        <w:rPr>
          <w:rFonts w:ascii="Arial" w:cs="Arial" w:eastAsia="Arial" w:hAnsi="Arial"/>
          <w:sz w:val="18"/>
          <w:szCs w:val="18"/>
          <w:color w:val="auto"/>
        </w:rPr>
        <w:t>. In April 2020, the MDL court granted summary judgment to the defendants on all of the claims brought against them by the plaintiffs. In May 2020, plaintiffs filed an appeal in the U.S. Court of Appeals for the Ninth Circuit. The parties have reached agreement to resolve the majority of claims pending in the appeal and expect those claims to soon be dismissed.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Jardiance Product Liability</w:t>
      </w:r>
    </w:p>
    <w:p>
      <w:pPr>
        <w:spacing w:after="0" w:line="1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First initiated in January 2019, we and Boehringer Ingelheim Pharmaceuticals, Inc., a subsidiary of BI, have been named as a defendant in five currently pending product liability lawsuits in Stamford Superior Court in Connecticut, alleging that Jardiance caused or contributed to plaintiffs' Fournier's gangrene. Our agreement with BI calls for BI to defend and indemnify us against any damages, costs, expenses, and certain other losses with respect to product liability claims in accordance with the terms of the agreement. All pending cases have been paused to allow for settlement negotiations and dismissals.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1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the HHS's December 30, 2020 advisory opinion stating that drug manufacturers are required to deliver discounts under the 340B program to all contract pharmacies. We seek a declaratory judgment that the defendants violated the Administrative Procedures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notified us that it determined that our policy was contrary to the 340B statute. In response, in May 2021, we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In October 2021, the court denied the defendants' motion to dismiss, and granted in part and denied in part the parties' cross motions for summary judgment. Both parties have filed notices of appeal related to the court's summary judgment order. In April 2022, the U.S. Court of Appeals for the Seventh Circuit remanded the case to the U.S. District Court for the Southern District of Indiana for the limited purpose of the district court amending its partial final judgment to ensure proper jurisdiction for the appeal. The district court amended its partial final judgment in April 2022, and the appeal will proceed to briefing in the U.S. Court of Appeals for the Seventh Circuit. This matter is ongoing.</w:t>
      </w:r>
    </w:p>
    <w:p>
      <w:pPr>
        <w:spacing w:after="0" w:line="8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January 2021, we, along with other pharmaceutical manufacturers, were named as a defendant in a petition currently pending before the HHS Administrative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July 2021, we, along with Sanofi-Aventis U.S., LLC (Sanofi), Novo Nordisk Inc. (Novo Nordisk), and AstraZeneca Pharmaceuticals LP, were named as a defendant in a purported class action lawsuit filed in the U.S. District Court for the Western District of New York by Mosaic Health, Inc. alleging antitrust and unjust enrichment claims related to the defendants' 340B distribution programs. We, with Sanofi and Novo Nordisk, filed a motion to dismiss the lawsuit. This matter is ongoing.</w:t>
      </w:r>
    </w:p>
    <w:p>
      <w:pPr>
        <w:spacing w:after="0" w:line="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May 2021, we received a subpoena from the United States Department of Justice requesting the production of certain documents relating to our manufacturing site in Branchburg, New Jersey. We are cooperating with the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First initiated in 2008, our subsidiary in Brazil, Eli Lilly do Brasil Limitada (Lilly Brasil), is named in a Public Civil Action brought by the Labor Public Attorney (LPA) for the 15th Region in the Labor Court of Paulinia, State of Sao Paulo, Brazil, (the Labor Court) alleging possible harm to employees and former employees caused by alleged exposure to soil and groundwater contaminants at a former Lilly Brasil manufacturing facility in Cosmopolis, Brazil, operated by the company between 1977 and 2003. In May 2014, the Labor Court judge ruled against Lilly Brasil, ordering it to undertake several actions, including some with unspecified financial impact, consisting primarily of paying lifetime health coverage for the employees and contractors who worked at the Cosmopolis facility for more than six months during the affected years and their children who were born during and after this period. We appealed this decision. In July 2018, the appeals court (TRT) generally affirmed the Labor Court's ruling, which included a liquidated award of 300 million Brazilian real. This 300 million Brazilian real liquidated award, when adjusted for inflation and the addition of pre and post judgment interest using the current Central Bank of Brazil's special system of clearance and custody rate, is approximately one billion Brazilian real (approximately $210 million as of March 31, 2022). The TRT also restricted the broad health coverage awarded by the Labor Court to health problems that claimants could prove in a separate evidentiary proceeding arose from exposure to the alleged contamination. In August 2019, Lilly Brasil filed an appeal to the superior labor court (TST) and in June 2021, the TRT published its decision on the admissibility of Lilly Brasil's appeal, allowing the majority of the elements of the appeal to proceed; elements not proceeding are subject to an interlocutory appeal to the TST that was filed in June 2021. In September 2019, the TRT stayed a number of elements of its trial court decision pending the determination of Lilly Brasil's appeal to the TST.</w:t>
      </w:r>
    </w:p>
    <w:p>
      <w:pPr>
        <w:spacing w:after="0" w:line="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June 2019, the LPA filed an application in the Labor Court for enforcement of the healthcare coverage granted by the TRT in its July 2018 ruling, requested restrictions on Lilly Brasil’s assets in Brazil, and required Lilly Brasil and Antibióticos do Brasil Ltda. (ABL) to submit a list of potential beneficiaries of the Public Civil Action for the LPA to identify and contact those individuals. In July 2019, the Labor Court issued a ruling requiring a freeze of Lilly Brasil’s immovable property or, alternatively, a security deposit or lien of 500 million Brazilian real. Lilly Brasil filed a writ of mandamus challenging this ruling. In June 2021, the court reduced the security deposit or lien to 100 million Brazilian real and limited the scope of the initial order. ABL and LPA appealed to the TST, which appeal is currently still under review. In addition, in September 2020, the LPA initiated a second preliminary enforcement of the portion of the July 2018 TRT decision in the Labor Court that prohibits the exposure of workers to the contaminated areas. The Labor Court is currently assessing the status of Lilly Brasil’s compliance with such portion of the July 2018 TRT decision and an inspection in the industrial plant should be scheduled at some point. These matters are ongoing.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Lilly Brasil is also named in approximately 27 pending lawsuits filed in the Labor Court by individual former employees making similar claims. These lawsuits are each at various stages in the litigation process, with judgments being handed down in more than half of the lawsuits by the trial courts, of which, approximately half of those judgments are on appeal in the labor courts.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 and trial has been scheduled to begin in May and continue in September 2022.</w:t>
      </w:r>
    </w:p>
    <w:p>
      <w:pPr>
        <w:spacing w:after="0" w:line="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October 2021, the Municipality filed a motion to execute a purported judgment, and the CFI scheduled a hearing in March 2022 to consider the Municipality's motion. In April 2022, the CFI denied the Municipality's motion. This matter is ongoing.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Eastern District of Pennsylvania Pricing (Average Manufacturer Price) Inquiry</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November 2014, we, along with another pharmaceutical manufacturer, were named as co-defendants in </w:t>
      </w:r>
      <w:r>
        <w:rPr>
          <w:rFonts w:ascii="Arial" w:cs="Arial" w:eastAsia="Arial" w:hAnsi="Arial"/>
          <w:sz w:val="18"/>
          <w:szCs w:val="18"/>
          <w:i w:val="1"/>
          <w:iCs w:val="1"/>
          <w:color w:val="auto"/>
        </w:rPr>
        <w:t>United States et al. ex rel. Streck</w:t>
      </w:r>
      <w:r>
        <w:rPr>
          <w:rFonts w:ascii="Arial" w:cs="Arial" w:eastAsia="Arial" w:hAnsi="Arial"/>
          <w:sz w:val="18"/>
          <w:szCs w:val="18"/>
          <w:color w:val="auto"/>
        </w:rPr>
        <w:t xml:space="preserve"> </w:t>
      </w:r>
      <w:r>
        <w:rPr>
          <w:rFonts w:ascii="Arial" w:cs="Arial" w:eastAsia="Arial" w:hAnsi="Arial"/>
          <w:sz w:val="18"/>
          <w:szCs w:val="18"/>
          <w:i w:val="1"/>
          <w:iCs w:val="1"/>
          <w:color w:val="auto"/>
        </w:rPr>
        <w:t>v. Takeda Pharm. Am., Inc., et al.</w:t>
      </w:r>
      <w:r>
        <w:rPr>
          <w:rFonts w:ascii="Arial" w:cs="Arial" w:eastAsia="Arial" w:hAnsi="Arial"/>
          <w:sz w:val="18"/>
          <w:szCs w:val="18"/>
          <w:color w:val="auto"/>
        </w:rPr>
        <w:t>, which was filed in November 2014 and unsealed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The complaint alleges that the defendants should have treated certain credits from distributors as retroactive price increases and included such increases in calculating average manufacturer prices. In October 2021 the parties filed cross motions for summary judgment. In February 2022, the U.S. District Court denied our motion and partially granted the relator's motion. In March 2022, we filed a motion for interlocutory appeal and the relator filed a motion for reconsideration of the court's summary judgment rulings. Both motions were denied, and the court set trial to begin in July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named as a defendant in a lawsuit filed in June 2017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U.S. Department of Justice's motion to dismiss the relator's second amended complaint. In January 2020, the relator appealed the District Court's dismissal to the U.S. Court of Appeals for the Fifth Circuit. In July 2021, the U.S. Court of Appeals for the Fifth Circuit affirmed the dismissal of the lawsuit, and the relator did not petition the U.S. Supreme Court for certiorari. We are also named as a defendant in two similar lawsuits filed in Texas and New Jersey state courts in October 2019 seeking damages under the Texas Medicaid Fraud Prevention Act and New Jersey Medicaid False Claims Act, respectively. In November 2020, the Texas state court action was stayed pending a final determination with respect to the aforementioned federal lawsuit. In April 2021, the New Jersey state court action was dismissed with prejudice and in June 2021, the relator appealed the state court's decision to the Appellate Division of the New Jersey Superior Court. In January 2022, the relator filed its appellate brief and we filed our response in March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December 2017, we, along with Sanofi and Novo Nordisk were named as defendants in a consolidated purported class action lawsuit,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re. Insulin Pricing Litigation</w:t>
      </w:r>
      <w:r>
        <w:rPr>
          <w:rFonts w:ascii="Arial" w:cs="Arial" w:eastAsia="Arial" w:hAnsi="Arial"/>
          <w:sz w:val="18"/>
          <w:szCs w:val="18"/>
          <w:color w:val="auto"/>
        </w:rPr>
        <w:t>, in the U.S. District Court for the District of New Jersey relating to insulin pricing seeking damages under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 consumer protection laws and the Federal Racketeer Influenced and Corrupt Organization Act (federal RICO Act). Separately, in February 2018, we, along with Sanofi and Novo Nordisk, were named as defendants in </w:t>
      </w:r>
      <w:r>
        <w:rPr>
          <w:rFonts w:ascii="Arial" w:cs="Arial" w:eastAsia="Arial" w:hAnsi="Arial"/>
          <w:sz w:val="18"/>
          <w:szCs w:val="18"/>
          <w:i w:val="1"/>
          <w:iCs w:val="1"/>
          <w:color w:val="auto"/>
        </w:rPr>
        <w:t>MSP Recovery Claims, Series, LLC et al. v. Sanofi</w:t>
      </w:r>
      <w:r>
        <w:rPr>
          <w:rFonts w:ascii="Arial" w:cs="Arial" w:eastAsia="Arial" w:hAnsi="Arial"/>
          <w:sz w:val="18"/>
          <w:szCs w:val="18"/>
          <w:color w:val="auto"/>
        </w:rPr>
        <w:t xml:space="preserve"> </w:t>
      </w:r>
      <w:r>
        <w:rPr>
          <w:rFonts w:ascii="Arial" w:cs="Arial" w:eastAsia="Arial" w:hAnsi="Arial"/>
          <w:sz w:val="18"/>
          <w:szCs w:val="18"/>
          <w:i w:val="1"/>
          <w:iCs w:val="1"/>
          <w:color w:val="auto"/>
        </w:rPr>
        <w:t>Aventis U.S. LLC et al.</w:t>
      </w:r>
      <w:r>
        <w:rPr>
          <w:rFonts w:ascii="Arial" w:cs="Arial" w:eastAsia="Arial" w:hAnsi="Arial"/>
          <w:sz w:val="18"/>
          <w:szCs w:val="18"/>
          <w:color w:val="auto"/>
        </w:rPr>
        <w:t>, in the same court, seeking damages under various state consumer protection laws, common law fraud, unjust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enrichment, and the federal RICO Act. In both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MSP Recovery Claims</w:t>
      </w:r>
      <w:r>
        <w:rPr>
          <w:rFonts w:ascii="Arial" w:cs="Arial" w:eastAsia="Arial" w:hAnsi="Arial"/>
          <w:sz w:val="18"/>
          <w:szCs w:val="18"/>
          <w:color w:val="auto"/>
        </w:rPr>
        <w:t xml:space="preserve"> litigation, the court dismissed claims under the federal RICO Act and certain state laws. In April 2021, the plaintiffs in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amended their complaint to allege additional state law claims for civil conspiracy and violations of state RICO statutes. The court has allowed the Arizona RICO statute and certain state civil conspiracy law claims to proceed. Also, we, along with Sanofi, Novo Nordisk, CVS, Express Scripts, and Optum, have been sued in a purported class action,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filed in the same court in November 2020, for alleged violations of the federal RICO Act as well as the New Jersey RICO Act and antitrust 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Co-Operative Inc. v. Eli Lilly &amp; Co. et al. </w:t>
      </w:r>
      <w:r>
        <w:rPr>
          <w:rFonts w:ascii="Arial" w:cs="Arial" w:eastAsia="Arial" w:hAnsi="Arial"/>
          <w:sz w:val="18"/>
          <w:szCs w:val="18"/>
          <w:color w:val="auto"/>
        </w:rPr>
        <w:t>and</w:t>
      </w:r>
      <w:r>
        <w:rPr>
          <w:rFonts w:ascii="Arial" w:cs="Arial" w:eastAsia="Arial" w:hAnsi="Arial"/>
          <w:sz w:val="18"/>
          <w:szCs w:val="18"/>
          <w:i w:val="1"/>
          <w:iCs w:val="1"/>
          <w:color w:val="auto"/>
        </w:rPr>
        <w:t xml:space="preserve"> Value Drug Co. v. Eli Lilly &amp; Co. et al. </w:t>
      </w:r>
      <w:r>
        <w:rPr>
          <w:rFonts w:ascii="Arial" w:cs="Arial" w:eastAsia="Arial" w:hAnsi="Arial"/>
          <w:sz w:val="18"/>
          <w:szCs w:val="18"/>
          <w:color w:val="auto"/>
        </w:rPr>
        <w:t>both initiated in March 2020, for alleged violations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federal RICO Act. In September 2020, the U.S. District Court for the District of New Jersey granted plaintiffs' motion to consolidate </w:t>
      </w:r>
      <w:r>
        <w:rPr>
          <w:rFonts w:ascii="Arial" w:cs="Arial" w:eastAsia="Arial" w:hAnsi="Arial"/>
          <w:sz w:val="18"/>
          <w:szCs w:val="18"/>
          <w:i w:val="1"/>
          <w:iCs w:val="1"/>
          <w:color w:val="auto"/>
        </w:rPr>
        <w:t>FWK</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LLC v. Novo Nordisk Inc., et al.</w:t>
      </w:r>
      <w:r>
        <w:rPr>
          <w:rFonts w:ascii="Arial" w:cs="Arial" w:eastAsia="Arial" w:hAnsi="Arial"/>
          <w:sz w:val="18"/>
          <w:szCs w:val="18"/>
          <w:color w:val="auto"/>
        </w:rPr>
        <w:t>,</w:t>
      </w:r>
      <w:r>
        <w:rPr>
          <w:rFonts w:ascii="Arial" w:cs="Arial" w:eastAsia="Arial" w:hAnsi="Arial"/>
          <w:sz w:val="18"/>
          <w:szCs w:val="18"/>
          <w:i w:val="1"/>
          <w:iCs w:val="1"/>
          <w:color w:val="auto"/>
        </w:rPr>
        <w:t xml:space="preserve"> Rochester Drug Co-Operative Inc. v. Eli Lilly &amp; Co. et al.</w:t>
      </w:r>
      <w:r>
        <w:rPr>
          <w:rFonts w:ascii="Arial" w:cs="Arial" w:eastAsia="Arial" w:hAnsi="Arial"/>
          <w:sz w:val="18"/>
          <w:szCs w:val="18"/>
          <w:color w:val="auto"/>
        </w:rPr>
        <w:t>, and</w:t>
      </w:r>
      <w:r>
        <w:rPr>
          <w:rFonts w:ascii="Arial" w:cs="Arial" w:eastAsia="Arial" w:hAnsi="Arial"/>
          <w:sz w:val="18"/>
          <w:szCs w:val="18"/>
          <w:i w:val="1"/>
          <w:iCs w:val="1"/>
          <w:color w:val="auto"/>
        </w:rPr>
        <w:t xml:space="preserve"> Value Drug Co. v. Eli Lilly &amp; Co. et al. </w:t>
      </w:r>
      <w:r>
        <w:rPr>
          <w:rFonts w:ascii="Arial" w:cs="Arial" w:eastAsia="Arial" w:hAnsi="Arial"/>
          <w:sz w:val="18"/>
          <w:szCs w:val="18"/>
          <w:color w:val="auto"/>
        </w:rPr>
        <w:t>In July 2021, the U.S. District Court for the District of New Jersey dismissed the three antitrust claims alleged by plaintiffs in the consolidated litigation and denied dismissal of the RICO claims.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1" w:name="page32"/>
    <w:bookmarkEnd w:id="31"/>
    <w:p>
      <w:pPr>
        <w:ind w:right="60"/>
        <w:spacing w:after="0" w:line="253" w:lineRule="auto"/>
        <w:rPr>
          <w:sz w:val="20"/>
          <w:szCs w:val="20"/>
          <w:color w:val="auto"/>
        </w:rPr>
      </w:pPr>
      <w:r>
        <w:rPr>
          <w:rFonts w:ascii="Arial" w:cs="Arial" w:eastAsia="Arial" w:hAnsi="Arial"/>
          <w:sz w:val="18"/>
          <w:szCs w:val="18"/>
          <w:color w:val="auto"/>
        </w:rPr>
        <w:t xml:space="preserve">In October 2018, the Minnesota Attorney General's Office initiated litigation against us, Sanofi, and Novo Nordisk, </w:t>
      </w:r>
      <w:r>
        <w:rPr>
          <w:rFonts w:ascii="Arial" w:cs="Arial" w:eastAsia="Arial" w:hAnsi="Arial"/>
          <w:sz w:val="18"/>
          <w:szCs w:val="18"/>
          <w:i w:val="1"/>
          <w:iCs w:val="1"/>
          <w:color w:val="auto"/>
        </w:rPr>
        <w:t>State of Minnesota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Sanofi-Aventis U.S. LLC et al., </w:t>
      </w:r>
      <w:r>
        <w:rPr>
          <w:rFonts w:ascii="Arial" w:cs="Arial" w:eastAsia="Arial" w:hAnsi="Arial"/>
          <w:sz w:val="18"/>
          <w:szCs w:val="18"/>
          <w:color w:val="auto"/>
        </w:rPr>
        <w:t>in the U.S. District Court for the District of New Jersey, alleging unjust enrichment, violations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Minnesota state consumer protection laws, and the federal RICO Act. In March 2021, the U.S. District Court for the District of New Jersey dismissed with prejudice the Minnesota Attorney General's federal RICO claims and false advertising claims under state law; the consumer fraud and other related state law claims remain ongoing. Additionally, in May 2019,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xml:space="preserve">, in Kentucky state court, alleging violations of the Kentucky consumer protection law, false advertising, and unjust enrichment. In November 2019, Harris County in Texas initiated litigation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 District of Texas alleging violations of the federal RICO Act, the state deceptive trade practices-consumer protection act, and common law claims such as fraud, unjust enrichment, and civil conspiracy. Harris County also alleged violations of federal and state antitrust law, but voluntarily dismissed them. This lawsuit relates to our insulin products as well as Trulicity. In March 2022, the Court entered final judgment for all defendants and dismissed all remaining claims with prejudice.</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2021, the City of Miami, Florida initiated litigation against us, Sanofi, Novo Nordisk, ESI, CVS/Caremark/Aetna, and Optum, asserting state law antitrust, common law fraud, money had and received, unjust enrichment, and civil conspiracy claims. After removing the case to federal court, we, along with the other defendants, filed a motion to dismiss the lawsuit. In January 2022, the court granted the motion in part but has allowed the antitrust and conspiracy claims to proceed against us, Sanofi and Novo Nordisk. We, along with Sanofi and Novo Nordisk, have moved the court to reconsider its denial of our motion to dismiss the antitrust and conspiracy claims.</w:t>
      </w:r>
    </w:p>
    <w:p>
      <w:pPr>
        <w:spacing w:after="0" w:line="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June 2021, the Mississippi Attorney General's Office initiated litigation against us, Sanofi, Novo Nordisk, Evernorth/ESI, CVS/Caremark, and United/Optum in the Hinds County, Mississippi Chancery Court, alleging state law consumer protection, unjust enrichment, and civil conspiracy claims. After the case was removed to federal court, we, along with the other defendants, filed a motion to dismiss the lawsuit. This matter is ongoing.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Investigations, Subpoenas, and Inquiries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received subpoenas from the New York and Vermont Attorney General Offices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and a subpoena from the California Attorney General's Office regarding our competition in the long-acting insulin market, which was subsequently withdrawn in June 2021. In January 2022, the Michigan Attorney General filed against us in state court a petition seeking authorization to investigate Lilly for potential violations of the Michigan Consumer Protection Act (MCPA), and a complaint seeking a declaratory judgment that the MCPA applies to the conduct it seeks to investigate and allows it to conduct the investigation. The state court granted the State's petition to investigate, authorizing the State to issue civil investigative subpoenas. The State's complaint for declaratory judgment remains pending. In March 2022, we filed a motion for summary disposition in the State's declaratory judgment action seeking judgment in our favor. Hearing on our motion for summary disposition is scheduled for September 2022. In April 2022, the parties entered into a stipulation providing that the State will not issue any civil investigative subpoena to us under the MCPA until the declaratory judgment action is resolved.</w:t>
      </w:r>
    </w:p>
    <w:p>
      <w:pPr>
        <w:spacing w:after="0" w:line="8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received a request in January 2019 from the House of Representatives' Committee on Oversight and Reform seeking commercial information and business records related to the pricing of insulin products, among other issues. We also received requests from the Senate Finance Committee and the Senate Committee on Health, Education, Labor, and Pensions, and separate requests from the House Committee on Energy and Commerce majority and minority members. Those requests sought pricing and other commercial information regarding Lilly's insulin products. In January 2021, the Senate Finance Committee released a report summarizing the findings of its investigation. In December 2021 the House of Representatives' Committee on Oversight and Reform majority and minority staffs released separate reports with findings from their investigations into drug pricing, including of insulin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are cooperating with all of these aforementioned investigations, subpoenas, and inquiries.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Both parties moved for summary judgment and hearing on the motions took place in August 2021. In October 2021, the Court issued a summary judgment decision finding in favor of RCT on certain issues, including with respect to a disputed royalty. Both parties filed motions for reconsideration. This matter is ongoing. Potential damages payable under the litigation, if finally awarded after an appeal, could be material but are not currently reasonably estimable. A trial date has not been set.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vMerge w:val="restart"/>
          </w:tcPr>
          <w:p>
            <w:pPr>
              <w:jc w:val="center"/>
              <w:ind w:right="18"/>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Unrealized Net</w:t>
            </w:r>
          </w:p>
        </w:tc>
        <w:tc>
          <w:tcPr>
            <w:tcW w:w="200" w:type="dxa"/>
            <w:vAlign w:val="bottom"/>
          </w:tcPr>
          <w:p>
            <w:pPr>
              <w:spacing w:after="0"/>
              <w:rPr>
                <w:sz w:val="13"/>
                <w:szCs w:val="13"/>
                <w:color w:val="auto"/>
              </w:rPr>
            </w:pPr>
          </w:p>
        </w:tc>
        <w:tc>
          <w:tcPr>
            <w:tcW w:w="1160" w:type="dxa"/>
            <w:vAlign w:val="bottom"/>
          </w:tcPr>
          <w:p>
            <w:pPr>
              <w:jc w:val="center"/>
              <w:ind w:right="122"/>
              <w:spacing w:after="0"/>
              <w:rPr>
                <w:sz w:val="20"/>
                <w:szCs w:val="20"/>
                <w:color w:val="auto"/>
              </w:rPr>
            </w:pPr>
            <w:r>
              <w:rPr>
                <w:rFonts w:ascii="Arial" w:cs="Arial" w:eastAsia="Arial" w:hAnsi="Arial"/>
                <w:sz w:val="13"/>
                <w:szCs w:val="13"/>
                <w:b w:val="1"/>
                <w:bCs w:val="1"/>
                <w:color w:val="auto"/>
                <w:w w:val="96"/>
              </w:rPr>
              <w:t>Defined Benefit</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4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300" w:type="dxa"/>
            <w:vAlign w:val="bottom"/>
            <w:gridSpan w:val="2"/>
            <w:vMerge w:val="continue"/>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58"/>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1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Gains (Losses)</w:t>
            </w:r>
          </w:p>
        </w:tc>
        <w:tc>
          <w:tcPr>
            <w:tcW w:w="200" w:type="dxa"/>
            <w:vAlign w:val="bottom"/>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220" w:type="dxa"/>
            <w:vAlign w:val="bottom"/>
          </w:tcPr>
          <w:p>
            <w:pPr>
              <w:spacing w:after="0"/>
              <w:rPr>
                <w:sz w:val="11"/>
                <w:szCs w:val="11"/>
                <w:color w:val="auto"/>
              </w:rPr>
            </w:pPr>
          </w:p>
        </w:tc>
        <w:tc>
          <w:tcPr>
            <w:tcW w:w="1080" w:type="dxa"/>
            <w:vAlign w:val="bottom"/>
          </w:tcPr>
          <w:p>
            <w:pPr>
              <w:jc w:val="center"/>
              <w:ind w:right="158"/>
              <w:spacing w:after="0" w:line="135" w:lineRule="exact"/>
              <w:rPr>
                <w:sz w:val="20"/>
                <w:szCs w:val="20"/>
                <w:color w:val="auto"/>
              </w:rPr>
            </w:pPr>
            <w:r>
              <w:rPr>
                <w:rFonts w:ascii="Arial" w:cs="Arial" w:eastAsia="Arial" w:hAnsi="Arial"/>
                <w:sz w:val="13"/>
                <w:szCs w:val="13"/>
                <w:b w:val="1"/>
                <w:bCs w:val="1"/>
                <w:color w:val="auto"/>
                <w:w w:val="98"/>
              </w:rPr>
              <w:t>of Cash Flow</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on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7"/>
              </w:rPr>
              <w:t>Benefit Plans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b w:val="1"/>
                <w:bCs w:val="1"/>
                <w:color w:val="auto"/>
                <w:w w:val="93"/>
              </w:rPr>
              <w:t>Hedges</w:t>
            </w: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tcPr>
          <w:p>
            <w:pPr>
              <w:ind w:left="20"/>
              <w:spacing w:after="0"/>
              <w:rPr>
                <w:sz w:val="20"/>
                <w:szCs w:val="20"/>
                <w:color w:val="auto"/>
              </w:rPr>
            </w:pPr>
            <w:r>
              <w:rPr>
                <w:rFonts w:ascii="Arial" w:cs="Arial" w:eastAsia="Arial" w:hAnsi="Arial"/>
                <w:sz w:val="18"/>
                <w:szCs w:val="18"/>
                <w:color w:val="auto"/>
              </w:rPr>
              <w:t>Balance at January 1, 2022</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b w:val="1"/>
                <w:bCs w:val="1"/>
                <w:color w:val="auto"/>
              </w:rPr>
              <w:t>(1,550.2)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60"/>
              <w:spacing w:after="0"/>
              <w:rPr>
                <w:sz w:val="20"/>
                <w:szCs w:val="20"/>
                <w:color w:val="auto"/>
              </w:rPr>
            </w:pPr>
            <w:r>
              <w:rPr>
                <w:rFonts w:ascii="Arial" w:cs="Arial" w:eastAsia="Arial" w:hAnsi="Arial"/>
                <w:sz w:val="18"/>
                <w:szCs w:val="18"/>
                <w:b w:val="1"/>
                <w:bCs w:val="1"/>
                <w:color w:val="auto"/>
              </w:rPr>
              <w:t>3.7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
              <w:spacing w:after="0"/>
              <w:rPr>
                <w:sz w:val="20"/>
                <w:szCs w:val="20"/>
                <w:color w:val="auto"/>
              </w:rPr>
            </w:pPr>
            <w:r>
              <w:rPr>
                <w:rFonts w:ascii="Arial" w:cs="Arial" w:eastAsia="Arial" w:hAnsi="Arial"/>
                <w:sz w:val="18"/>
                <w:szCs w:val="18"/>
                <w:b w:val="1"/>
                <w:bCs w:val="1"/>
                <w:color w:val="auto"/>
              </w:rPr>
              <w:t>(2,583.6)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b w:val="1"/>
                <w:bCs w:val="1"/>
                <w:color w:val="auto"/>
              </w:rPr>
              <w:t>(213.0)</w:t>
            </w:r>
          </w:p>
        </w:tc>
        <w:tc>
          <w:tcPr>
            <w:tcW w:w="4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(4,343.1)</w:t>
            </w: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(25.0)</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(21.3)</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109.4</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14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1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15"/>
                <w:szCs w:val="15"/>
                <w:color w:val="auto"/>
              </w:rPr>
            </w:pPr>
          </w:p>
        </w:tc>
        <w:tc>
          <w:tcPr>
            <w:tcW w:w="1160" w:type="dxa"/>
            <w:vAlign w:val="bottom"/>
            <w:vMerge w:val="restart"/>
          </w:tcPr>
          <w:p>
            <w:pPr>
              <w:jc w:val="right"/>
              <w:ind w:right="62"/>
              <w:spacing w:after="0"/>
              <w:rPr>
                <w:sz w:val="20"/>
                <w:szCs w:val="20"/>
                <w:color w:val="auto"/>
              </w:rPr>
            </w:pPr>
            <w:r>
              <w:rPr>
                <w:rFonts w:ascii="Arial" w:cs="Arial" w:eastAsia="Arial" w:hAnsi="Arial"/>
                <w:sz w:val="18"/>
                <w:szCs w:val="18"/>
                <w:b w:val="1"/>
                <w:bCs w:val="1"/>
                <w:color w:val="auto"/>
              </w:rPr>
              <w:t>58.6</w:t>
            </w:r>
          </w:p>
        </w:tc>
        <w:tc>
          <w:tcPr>
            <w:tcW w:w="220" w:type="dxa"/>
            <w:vAlign w:val="bottom"/>
          </w:tcPr>
          <w:p>
            <w:pPr>
              <w:spacing w:after="0"/>
              <w:rPr>
                <w:sz w:val="15"/>
                <w:szCs w:val="15"/>
                <w:color w:val="auto"/>
              </w:rPr>
            </w:pPr>
          </w:p>
        </w:tc>
        <w:tc>
          <w:tcPr>
            <w:tcW w:w="108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3.2</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61.3</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(25.0)</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(21.8)</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52.0</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112.6</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(1,575.2)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(18.1)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(2,531.6)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(100.4)</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(4,225.3)</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Unrealized Net</w:t>
            </w:r>
          </w:p>
        </w:tc>
        <w:tc>
          <w:tcPr>
            <w:tcW w:w="20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8"/>
              </w:rPr>
              <w:t>Pension and</w:t>
            </w:r>
          </w:p>
        </w:tc>
        <w:tc>
          <w:tcPr>
            <w:tcW w:w="1300" w:type="dxa"/>
            <w:vAlign w:val="bottom"/>
            <w:gridSpan w:val="2"/>
            <w:vMerge w:val="continue"/>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ind w:left="40"/>
              <w:spacing w:after="0" w:line="122" w:lineRule="exact"/>
              <w:rPr>
                <w:sz w:val="20"/>
                <w:szCs w:val="20"/>
                <w:color w:val="auto"/>
              </w:rPr>
            </w:pPr>
            <w:r>
              <w:rPr>
                <w:rFonts w:ascii="Arial" w:cs="Arial" w:eastAsia="Arial" w:hAnsi="Arial"/>
                <w:sz w:val="13"/>
                <w:szCs w:val="13"/>
                <w:b w:val="1"/>
                <w:bCs w:val="1"/>
                <w:color w:val="auto"/>
              </w:rPr>
              <w:t>Gains (Losses)</w:t>
            </w:r>
          </w:p>
        </w:tc>
        <w:tc>
          <w:tcPr>
            <w:tcW w:w="200" w:type="dxa"/>
            <w:vAlign w:val="bottom"/>
          </w:tcPr>
          <w:p>
            <w:pPr>
              <w:spacing w:after="0"/>
              <w:rPr>
                <w:sz w:val="10"/>
                <w:szCs w:val="10"/>
                <w:color w:val="auto"/>
              </w:rPr>
            </w:pPr>
          </w:p>
        </w:tc>
        <w:tc>
          <w:tcPr>
            <w:tcW w:w="116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220" w:type="dxa"/>
            <w:vAlign w:val="bottom"/>
          </w:tcPr>
          <w:p>
            <w:pPr>
              <w:spacing w:after="0"/>
              <w:rPr>
                <w:sz w:val="10"/>
                <w:szCs w:val="10"/>
                <w:color w:val="auto"/>
              </w:rPr>
            </w:pPr>
          </w:p>
        </w:tc>
        <w:tc>
          <w:tcPr>
            <w:tcW w:w="10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6"/>
              </w:rPr>
              <w:t>of Cash Flow</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on Securities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7"/>
              </w:rPr>
              <w:t>Hedges</w:t>
            </w: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tcPr>
          <w:p>
            <w:pPr>
              <w:ind w:left="20"/>
              <w:spacing w:after="0"/>
              <w:rPr>
                <w:sz w:val="20"/>
                <w:szCs w:val="20"/>
                <w:color w:val="auto"/>
              </w:rPr>
            </w:pPr>
            <w:r>
              <w:rPr>
                <w:rFonts w:ascii="Arial" w:cs="Arial" w:eastAsia="Arial" w:hAnsi="Arial"/>
                <w:sz w:val="18"/>
                <w:szCs w:val="18"/>
                <w:color w:val="auto"/>
              </w:rPr>
              <w:t>Balance at January 1, 2021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14.8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(4,751.0)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(332.7)</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252.8</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14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5"/>
                <w:szCs w:val="15"/>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5"/>
                <w:szCs w:val="15"/>
                <w:color w:val="auto"/>
              </w:rPr>
            </w:pPr>
          </w:p>
        </w:tc>
        <w:tc>
          <w:tcPr>
            <w:tcW w:w="1080" w:type="dxa"/>
            <w:vAlign w:val="bottom"/>
            <w:vMerge w:val="restart"/>
          </w:tcPr>
          <w:p>
            <w:pPr>
              <w:jc w:val="right"/>
              <w:ind w:right="38"/>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104.7</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256.1</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44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b w:val="1"/>
                <w:bCs w:val="1"/>
                <w:color w:val="auto"/>
              </w:rPr>
              <w:t>6.7</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(expense) for income taxes allocated to other comprehensive income (loss) items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3" w:name="page34"/>
    <w:bookmarkEnd w:id="33"/>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tcPr>
          <w:p>
            <w:pPr>
              <w:ind w:left="18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6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c>
          <w:tcPr>
            <w:tcW w:w="318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Affected Line Item in the Consolidated</w:t>
            </w:r>
          </w:p>
        </w:tc>
      </w:tr>
      <w:tr>
        <w:trPr>
          <w:trHeight w:val="197"/>
        </w:trPr>
        <w:tc>
          <w:tcPr>
            <w:tcW w:w="42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Components</w:t>
            </w:r>
          </w:p>
        </w:tc>
        <w:tc>
          <w:tcPr>
            <w:tcW w:w="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2022</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Condensed Statements of Operations</w:t>
            </w: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Prior service benefits, net</w:t>
            </w:r>
          </w:p>
        </w:tc>
        <w:tc>
          <w:tcPr>
            <w:tcW w:w="6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240" w:type="dxa"/>
            <w:vAlign w:val="bottom"/>
          </w:tcPr>
          <w:p>
            <w:pPr>
              <w:jc w:val="right"/>
              <w:ind w:right="99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3180" w:type="dxa"/>
            <w:vAlign w:val="bottom"/>
            <w:gridSpan w:val="3"/>
          </w:tcPr>
          <w:p>
            <w:pPr>
              <w:ind w:left="180"/>
              <w:spacing w:after="0"/>
              <w:rPr>
                <w:sz w:val="20"/>
                <w:szCs w:val="20"/>
                <w:color w:val="auto"/>
              </w:rPr>
            </w:pPr>
            <w:r>
              <w:rPr>
                <w:rFonts w:ascii="Arial" w:cs="Arial" w:eastAsia="Arial" w:hAnsi="Arial"/>
                <w:sz w:val="18"/>
                <w:szCs w:val="18"/>
                <w:color w:val="auto"/>
              </w:rPr>
              <w:t>Other–net, (income) expense</w:t>
            </w: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87.2</w:t>
            </w:r>
          </w:p>
        </w:tc>
        <w:tc>
          <w:tcPr>
            <w:tcW w:w="1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122.6</w:t>
            </w:r>
          </w:p>
        </w:tc>
        <w:tc>
          <w:tcPr>
            <w:tcW w:w="3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r>
      <w:tr>
        <w:trPr>
          <w:trHeight w:val="223"/>
        </w:trPr>
        <w:tc>
          <w:tcPr>
            <w:tcW w:w="4220" w:type="dxa"/>
            <w:vAlign w:val="bottom"/>
          </w:tcPr>
          <w:p>
            <w:pPr>
              <w:ind w:left="180"/>
              <w:spacing w:after="0"/>
              <w:rPr>
                <w:sz w:val="20"/>
                <w:szCs w:val="20"/>
                <w:color w:val="auto"/>
              </w:rPr>
            </w:pPr>
            <w:r>
              <w:rPr>
                <w:rFonts w:ascii="Arial" w:cs="Arial" w:eastAsia="Arial" w:hAnsi="Arial"/>
                <w:sz w:val="18"/>
                <w:szCs w:val="18"/>
                <w:color w:val="auto"/>
              </w:rPr>
              <w:t>Total before tax</w:t>
            </w:r>
          </w:p>
        </w:tc>
        <w:tc>
          <w:tcPr>
            <w:tcW w:w="62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b w:val="1"/>
                <w:bCs w:val="1"/>
                <w:color w:val="auto"/>
              </w:rPr>
              <w:t>74.2</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108.8</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Income taxes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422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62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b w:val="1"/>
                <w:bCs w:val="1"/>
                <w:color w:val="auto"/>
              </w:rPr>
              <w:t>58.6</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85.9</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4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180" w:type="dxa"/>
            <w:vAlign w:val="bottom"/>
            <w:gridSpan w:val="3"/>
            <w:shd w:val="clear" w:color="auto" w:fill="CCEEFF"/>
          </w:tcPr>
          <w:p>
            <w:pPr>
              <w:spacing w:after="0"/>
              <w:rPr>
                <w:sz w:val="22"/>
                <w:szCs w:val="22"/>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2.7</w:t>
            </w: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1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Other–net, (income) expense</w:t>
            </w: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61.3</w:t>
            </w:r>
          </w:p>
        </w:tc>
        <w:tc>
          <w:tcPr>
            <w:tcW w:w="124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768"/>
        </w:trPr>
        <w:tc>
          <w:tcPr>
            <w:tcW w:w="4220" w:type="dxa"/>
            <w:vAlign w:val="bottom"/>
          </w:tcPr>
          <w:p>
            <w:pPr>
              <w:spacing w:after="0"/>
              <w:rPr>
                <w:sz w:val="20"/>
                <w:szCs w:val="20"/>
                <w:color w:val="auto"/>
              </w:rPr>
            </w:pPr>
            <w:r>
              <w:rPr>
                <w:rFonts w:ascii="Arial" w:cs="Arial" w:eastAsia="Arial" w:hAnsi="Arial"/>
                <w:sz w:val="18"/>
                <w:szCs w:val="18"/>
                <w:b w:val="1"/>
                <w:bCs w:val="1"/>
                <w:color w:val="auto"/>
              </w:rPr>
              <w:t>Note 11: Other–Net, (Income) Expense</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6"/>
        </w:trPr>
        <w:tc>
          <w:tcPr>
            <w:tcW w:w="4840" w:type="dxa"/>
            <w:vAlign w:val="bottom"/>
            <w:gridSpan w:val="2"/>
          </w:tcPr>
          <w:p>
            <w:pPr>
              <w:spacing w:after="0"/>
              <w:rPr>
                <w:sz w:val="20"/>
                <w:szCs w:val="20"/>
                <w:color w:val="auto"/>
              </w:rPr>
            </w:pPr>
            <w:r>
              <w:rPr>
                <w:rFonts w:ascii="Arial" w:cs="Arial" w:eastAsia="Arial" w:hAnsi="Arial"/>
                <w:sz w:val="18"/>
                <w:szCs w:val="18"/>
                <w:color w:val="auto"/>
              </w:rPr>
              <w:t>Other–net, (income) expense consisted of the following:</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2"/>
        </w:trPr>
        <w:tc>
          <w:tcPr>
            <w:tcW w:w="4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4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r>
      <w:tr>
        <w:trPr>
          <w:trHeight w:val="224"/>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84.9</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(7.0)</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(gains) losses on equity securities (Note 6)</w:t>
            </w:r>
          </w:p>
        </w:tc>
        <w:tc>
          <w:tcPr>
            <w:tcW w:w="1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425.4</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(93.3)</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(59.3)</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350.7</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r>
      <w:tr>
        <w:trPr>
          <w:trHeight w:val="854"/>
        </w:trPr>
        <w:tc>
          <w:tcPr>
            <w:tcW w:w="4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jc w:val="right"/>
              <w:ind w:right="334"/>
              <w:spacing w:after="0"/>
              <w:rPr>
                <w:sz w:val="20"/>
                <w:szCs w:val="20"/>
                <w:color w:val="auto"/>
              </w:rPr>
            </w:pPr>
            <w:r>
              <w:rPr>
                <w:rFonts w:ascii="Arial" w:cs="Arial" w:eastAsia="Arial" w:hAnsi="Arial"/>
                <w:sz w:val="18"/>
                <w:szCs w:val="18"/>
                <w:color w:val="auto"/>
              </w:rPr>
              <w:t>34</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1"/>
        </w:trPr>
        <w:tc>
          <w:tcPr>
            <w:tcW w:w="4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may cause our actual results, financial position, and cash generated from operations to differ materially from these forward-looking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response to the COVID-19 pandemic, we have focused on maintaining a supply of our medicines; reducing the strain on the medical system; developing treatments for COVID-19; protecting the health, safety, and well-being of our employees; supporting our communities; and ensuring affordability of and access to our medicines, particularly insulin.</w:t>
      </w:r>
    </w:p>
    <w:p>
      <w:pPr>
        <w:spacing w:after="0" w:line="63"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February 2022, the United States Food and Drug Administration (FDA) granted an Emergency Use Authorization (EUA) for bebtelovimab for certain high-risk patients who have been recently diagnosed with mild-to-moderate COVID-19. We have received additional EUAs for other COVID-19 therapies as described in "Business" in Part I, Item 1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During the three months ended March 31, 2022, we supplied the United States (U.S.) government 600,000 doses of bebtelovimab. Our agreement with the U.S. government includes an option to supply up to 500,000 additional doses of bebtelovimab no later than July 31, 2022, but it is uncertain whether the option will be exercised. In general, we expect additional revenue from sales of our COVID-19 antibodies will be limited beginning with the second quarter of 2022. The FDA has revised, and may in the future revise, any EUA for our COVID-19 therapies in response to the prevalence of variants against which our therapies have varying degrees of efficacy.</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COVID-19 pandemic has, and may continue to, adversely impact our business and operations. Strain on global transportation, logistics, manufacturing, and labor markets, including as aggravated by the pandemic and global unrest, the focus of resources on COVID-19, widespread protective measures implemented to control the spread of COVID-19, and an increase in overall demand in our industry for certain materials resulting in changed buying patterns and constrained supply, have negatively impacted development, manufacturing, supply, distribution, and sales of our medicines. If the COVID-19 pandemic undergoes resurgent or more severe waves, its impact and the impact of any associated supply chain disruption, labor market impact, increased costs, recession, or depression on our business and results of operations could be exacerbated.</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It remains difficult to reasonably assess or predict the full extent of the ongoing impact of the COVID-19 pandemic on us. The degree to which the COVID-19 pandemic continues to affect us will depend on developments that are highly uncertain and beyond our knowledge or control. We are currently unable to predict the full extent to which the COVID-19 pandemic or any future pandemic, epidemic or similar public health threat will adversely impact our business and operations in the future.</w:t>
      </w:r>
    </w:p>
    <w:p>
      <w:pPr>
        <w:spacing w:after="0" w:line="68" w:lineRule="exact"/>
        <w:rPr>
          <w:sz w:val="20"/>
          <w:szCs w:val="20"/>
          <w:color w:val="auto"/>
        </w:rPr>
      </w:pPr>
    </w:p>
    <w:p>
      <w:pPr>
        <w:ind w:right="8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See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for additional information on risk factors that could impact our business and operations.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jc w:val="right"/>
              <w:ind w:right="892"/>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vMerge w:val="restart"/>
          </w:tcPr>
          <w:p>
            <w:pPr>
              <w:jc w:val="right"/>
              <w:ind w:right="793"/>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1"/>
                <w:szCs w:val="11"/>
                <w:color w:val="auto"/>
              </w:rPr>
            </w:pPr>
          </w:p>
        </w:tc>
        <w:tc>
          <w:tcPr>
            <w:tcW w:w="1520" w:type="dxa"/>
            <w:vAlign w:val="bottom"/>
            <w:vMerge w:val="restart"/>
          </w:tcPr>
          <w:p>
            <w:pPr>
              <w:jc w:val="right"/>
              <w:ind w:right="752"/>
              <w:spacing w:after="0"/>
              <w:rPr>
                <w:sz w:val="20"/>
                <w:szCs w:val="20"/>
                <w:color w:val="auto"/>
              </w:rPr>
            </w:pPr>
            <w:r>
              <w:rPr>
                <w:rFonts w:ascii="Arial" w:cs="Arial" w:eastAsia="Arial" w:hAnsi="Arial"/>
                <w:sz w:val="14"/>
                <w:szCs w:val="14"/>
                <w:b w:val="1"/>
                <w:bCs w:val="1"/>
                <w:color w:val="auto"/>
              </w:rPr>
              <w:t>2021</w:t>
            </w:r>
          </w:p>
        </w:tc>
        <w:tc>
          <w:tcPr>
            <w:tcW w:w="1200" w:type="dxa"/>
            <w:vAlign w:val="bottom"/>
          </w:tcPr>
          <w:p>
            <w:pPr>
              <w:jc w:val="center"/>
              <w:ind w:left="13"/>
              <w:spacing w:after="0" w:line="13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9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7,810.0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6,805.6</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80" w:type="dxa"/>
            <w:vAlign w:val="bottom"/>
          </w:tcPr>
          <w:p>
            <w:pPr>
              <w:spacing w:after="0"/>
              <w:rPr>
                <w:sz w:val="19"/>
                <w:szCs w:val="19"/>
                <w:color w:val="auto"/>
              </w:rPr>
            </w:pPr>
          </w:p>
        </w:tc>
        <w:tc>
          <w:tcPr>
            <w:tcW w:w="1560" w:type="dxa"/>
            <w:vAlign w:val="bottom"/>
          </w:tcPr>
          <w:p>
            <w:pPr>
              <w:jc w:val="right"/>
              <w:ind w:right="213"/>
              <w:spacing w:after="0"/>
              <w:rPr>
                <w:sz w:val="20"/>
                <w:szCs w:val="20"/>
                <w:color w:val="auto"/>
              </w:rPr>
            </w:pPr>
            <w:r>
              <w:rPr>
                <w:rFonts w:ascii="Arial" w:cs="Arial" w:eastAsia="Arial" w:hAnsi="Arial"/>
                <w:sz w:val="18"/>
                <w:szCs w:val="18"/>
                <w:b w:val="1"/>
                <w:bCs w:val="1"/>
                <w:color w:val="auto"/>
              </w:rPr>
              <w:t>5,737.9</w:t>
            </w:r>
          </w:p>
        </w:tc>
        <w:tc>
          <w:tcPr>
            <w:tcW w:w="520" w:type="dxa"/>
            <w:vAlign w:val="bottom"/>
          </w:tcPr>
          <w:p>
            <w:pPr>
              <w:spacing w:after="0"/>
              <w:rPr>
                <w:sz w:val="19"/>
                <w:szCs w:val="19"/>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4,927.0</w:t>
            </w:r>
          </w:p>
        </w:tc>
        <w:tc>
          <w:tcPr>
            <w:tcW w:w="1200" w:type="dxa"/>
            <w:vAlign w:val="bottom"/>
          </w:tcPr>
          <w:p>
            <w:pPr>
              <w:jc w:val="center"/>
              <w:ind w:left="33"/>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as a percent of revenue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73.5 %</w:t>
            </w:r>
          </w:p>
        </w:tc>
        <w:tc>
          <w:tcPr>
            <w:tcW w:w="5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213"/>
              <w:spacing w:after="0"/>
              <w:rPr>
                <w:sz w:val="20"/>
                <w:szCs w:val="20"/>
                <w:color w:val="auto"/>
              </w:rPr>
            </w:pPr>
            <w:r>
              <w:rPr>
                <w:rFonts w:ascii="Arial" w:cs="Arial" w:eastAsia="Arial" w:hAnsi="Arial"/>
                <w:sz w:val="18"/>
                <w:szCs w:val="18"/>
                <w:b w:val="1"/>
                <w:bCs w:val="1"/>
                <w:color w:val="auto"/>
              </w:rPr>
              <w:t>1,610.1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1,672.1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selling, and administrative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1,557.9</w:t>
            </w:r>
          </w:p>
        </w:tc>
        <w:tc>
          <w:tcPr>
            <w:tcW w:w="5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1,576.0</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5960" w:type="dxa"/>
            <w:vAlign w:val="bottom"/>
          </w:tcPr>
          <w:p>
            <w:pPr>
              <w:ind w:left="20"/>
              <w:spacing w:after="0" w:line="176" w:lineRule="exact"/>
              <w:rPr>
                <w:sz w:val="20"/>
                <w:szCs w:val="20"/>
                <w:color w:val="auto"/>
              </w:rPr>
            </w:pPr>
            <w:r>
              <w:rPr>
                <w:rFonts w:ascii="Arial" w:cs="Arial" w:eastAsia="Arial" w:hAnsi="Arial"/>
                <w:sz w:val="18"/>
                <w:szCs w:val="18"/>
                <w:color w:val="auto"/>
              </w:rPr>
              <w:t>Acquired in-process research and development (IPR&amp;D) and</w:t>
            </w:r>
          </w:p>
        </w:tc>
        <w:tc>
          <w:tcPr>
            <w:tcW w:w="480" w:type="dxa"/>
            <w:vAlign w:val="bottom"/>
          </w:tcPr>
          <w:p>
            <w:pPr>
              <w:spacing w:after="0"/>
              <w:rPr>
                <w:sz w:val="15"/>
                <w:szCs w:val="15"/>
                <w:color w:val="auto"/>
              </w:rPr>
            </w:pPr>
          </w:p>
        </w:tc>
        <w:tc>
          <w:tcPr>
            <w:tcW w:w="156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165.6</w:t>
            </w:r>
          </w:p>
        </w:tc>
        <w:tc>
          <w:tcPr>
            <w:tcW w:w="520" w:type="dxa"/>
            <w:vAlign w:val="bottom"/>
          </w:tcPr>
          <w:p>
            <w:pPr>
              <w:spacing w:after="0"/>
              <w:rPr>
                <w:sz w:val="15"/>
                <w:szCs w:val="15"/>
                <w:color w:val="auto"/>
              </w:rPr>
            </w:pPr>
          </w:p>
        </w:tc>
        <w:tc>
          <w:tcPr>
            <w:tcW w:w="1520" w:type="dxa"/>
            <w:vAlign w:val="bottom"/>
            <w:vMerge w:val="restart"/>
          </w:tcPr>
          <w:p>
            <w:pPr>
              <w:jc w:val="right"/>
              <w:ind w:right="152"/>
              <w:spacing w:after="0"/>
              <w:rPr>
                <w:sz w:val="20"/>
                <w:szCs w:val="20"/>
                <w:color w:val="auto"/>
              </w:rPr>
            </w:pPr>
            <w:r>
              <w:rPr>
                <w:rFonts w:ascii="Arial" w:cs="Arial" w:eastAsia="Arial" w:hAnsi="Arial"/>
                <w:sz w:val="18"/>
                <w:szCs w:val="18"/>
                <w:color w:val="auto"/>
              </w:rPr>
              <w:t>312.0</w:t>
            </w:r>
          </w:p>
        </w:tc>
        <w:tc>
          <w:tcPr>
            <w:tcW w:w="1200" w:type="dxa"/>
            <w:vAlign w:val="bottom"/>
            <w:vMerge w:val="restart"/>
          </w:tcPr>
          <w:p>
            <w:pPr>
              <w:jc w:val="center"/>
              <w:ind w:left="33"/>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development milestones</w:t>
            </w:r>
          </w:p>
        </w:tc>
        <w:tc>
          <w:tcPr>
            <w:tcW w:w="48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211.6</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480" w:type="dxa"/>
            <w:vAlign w:val="bottom"/>
          </w:tcPr>
          <w:p>
            <w:pPr>
              <w:spacing w:after="0"/>
              <w:rPr>
                <w:sz w:val="19"/>
                <w:szCs w:val="19"/>
                <w:color w:val="auto"/>
              </w:rPr>
            </w:pPr>
          </w:p>
        </w:tc>
        <w:tc>
          <w:tcPr>
            <w:tcW w:w="1560" w:type="dxa"/>
            <w:vAlign w:val="bottom"/>
          </w:tcPr>
          <w:p>
            <w:pPr>
              <w:jc w:val="right"/>
              <w:ind w:right="213"/>
              <w:spacing w:after="0"/>
              <w:rPr>
                <w:sz w:val="20"/>
                <w:szCs w:val="20"/>
                <w:color w:val="auto"/>
              </w:rPr>
            </w:pPr>
            <w:r>
              <w:rPr>
                <w:rFonts w:ascii="Arial" w:cs="Arial" w:eastAsia="Arial" w:hAnsi="Arial"/>
                <w:sz w:val="18"/>
                <w:szCs w:val="18"/>
                <w:b w:val="1"/>
                <w:bCs w:val="1"/>
                <w:color w:val="auto"/>
              </w:rPr>
              <w:t>350.7</w:t>
            </w:r>
          </w:p>
        </w:tc>
        <w:tc>
          <w:tcPr>
            <w:tcW w:w="520" w:type="dxa"/>
            <w:vAlign w:val="bottom"/>
          </w:tcPr>
          <w:p>
            <w:pPr>
              <w:spacing w:after="0"/>
              <w:rPr>
                <w:sz w:val="19"/>
                <w:szCs w:val="19"/>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(321.1)</w:t>
            </w:r>
          </w:p>
        </w:tc>
        <w:tc>
          <w:tcPr>
            <w:tcW w:w="1200" w:type="dxa"/>
            <w:vAlign w:val="bottom"/>
          </w:tcPr>
          <w:p>
            <w:pPr>
              <w:jc w:val="center"/>
              <w:ind w:left="3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1,902.9</w:t>
            </w:r>
          </w:p>
        </w:tc>
        <w:tc>
          <w:tcPr>
            <w:tcW w:w="5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1,355.3</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47"/>
        </w:trPr>
        <w:tc>
          <w:tcPr>
            <w:tcW w:w="5960" w:type="dxa"/>
            <w:vAlign w:val="bottom"/>
          </w:tcPr>
          <w:p>
            <w:pPr>
              <w:ind w:left="20"/>
              <w:spacing w:after="0"/>
              <w:rPr>
                <w:sz w:val="20"/>
                <w:szCs w:val="20"/>
                <w:color w:val="auto"/>
              </w:rPr>
            </w:pPr>
            <w:r>
              <w:rPr>
                <w:rFonts w:ascii="Arial" w:cs="Arial" w:eastAsia="Arial" w:hAnsi="Arial"/>
                <w:sz w:val="18"/>
                <w:szCs w:val="18"/>
                <w:color w:val="auto"/>
              </w:rPr>
              <w:t>EPS - diluted</w:t>
            </w:r>
          </w:p>
        </w:tc>
        <w:tc>
          <w:tcPr>
            <w:tcW w:w="480" w:type="dxa"/>
            <w:vAlign w:val="bottom"/>
          </w:tcPr>
          <w:p>
            <w:pPr>
              <w:spacing w:after="0"/>
              <w:rPr>
                <w:sz w:val="21"/>
                <w:szCs w:val="21"/>
                <w:color w:val="auto"/>
              </w:rPr>
            </w:pPr>
          </w:p>
        </w:tc>
        <w:tc>
          <w:tcPr>
            <w:tcW w:w="1560" w:type="dxa"/>
            <w:vAlign w:val="bottom"/>
          </w:tcPr>
          <w:p>
            <w:pPr>
              <w:jc w:val="right"/>
              <w:ind w:right="213"/>
              <w:spacing w:after="0"/>
              <w:rPr>
                <w:sz w:val="20"/>
                <w:szCs w:val="20"/>
                <w:color w:val="auto"/>
              </w:rPr>
            </w:pPr>
            <w:r>
              <w:rPr>
                <w:rFonts w:ascii="Arial" w:cs="Arial" w:eastAsia="Arial" w:hAnsi="Arial"/>
                <w:sz w:val="18"/>
                <w:szCs w:val="18"/>
                <w:b w:val="1"/>
                <w:bCs w:val="1"/>
                <w:color w:val="auto"/>
              </w:rPr>
              <w:t>2.10</w:t>
            </w:r>
          </w:p>
        </w:tc>
        <w:tc>
          <w:tcPr>
            <w:tcW w:w="52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1.49</w:t>
            </w:r>
          </w:p>
        </w:tc>
        <w:tc>
          <w:tcPr>
            <w:tcW w:w="1200" w:type="dxa"/>
            <w:vAlign w:val="bottom"/>
          </w:tcPr>
          <w:p>
            <w:pPr>
              <w:jc w:val="center"/>
              <w:ind w:left="33"/>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 increased for the three months ended March 31, 2022, driven by increased volume, partially offset by lower realized prices and the unfavorable impact of foreign exchange rates. Research and development expenses decreased for the three months ended March 31, 2022, largely driven by lower development expenses for COVID-19 antibodies, partially offset by higher development expenses for late-stage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also affect comparisons of our financial results for the three months ended March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and Development Milestones (See Note 3 to the consolidated condensed financial statements)</w:t>
      </w:r>
    </w:p>
    <w:p>
      <w:pPr>
        <w:spacing w:after="0" w:line="117" w:lineRule="exact"/>
        <w:rPr>
          <w:sz w:val="20"/>
          <w:szCs w:val="20"/>
          <w:color w:val="auto"/>
        </w:rPr>
      </w:pPr>
    </w:p>
    <w:p>
      <w:pPr>
        <w:ind w:left="660" w:right="28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$165.6 million of acquired IPR&amp;D and development milestones primarily related to a purchase of a Priority Review Voucher.</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(See Note 11 to the consolidated condensed financial statements)</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$425.4 million of net investment losses on equity securities.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2021</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Acquired IPR&amp;D and Development Milestones (See Note 3 to the consolidated condensed financial statements)</w:t>
      </w:r>
    </w:p>
    <w:p>
      <w:pPr>
        <w:spacing w:after="0" w:line="117" w:lineRule="exact"/>
        <w:rPr>
          <w:rFonts w:ascii="Arial" w:cs="Arial" w:eastAsia="Arial" w:hAnsi="Arial"/>
          <w:sz w:val="18"/>
          <w:szCs w:val="18"/>
          <w:color w:val="auto"/>
        </w:rPr>
      </w:pPr>
    </w:p>
    <w:p>
      <w:pPr>
        <w:ind w:left="660" w:right="60" w:hanging="328"/>
        <w:spacing w:after="0" w:line="31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recognized $312.0 million of acquired IPR&amp;D and development milestones primarily related to acquired IPR&amp;D charges resulting from business development transactions with Rigel Pharmaceuticals, Inc. (Rigel) and Precision Biosciences, Inc. (Precision).</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(See Note 5 to the consolidated condensed financial statements)</w:t>
      </w:r>
    </w:p>
    <w:p>
      <w:pPr>
        <w:spacing w:after="0" w:line="117" w:lineRule="exact"/>
        <w:rPr>
          <w:sz w:val="20"/>
          <w:szCs w:val="20"/>
          <w:color w:val="auto"/>
        </w:rPr>
      </w:pPr>
    </w:p>
    <w:p>
      <w:pPr>
        <w:ind w:left="660" w:right="480" w:hanging="328"/>
        <w:spacing w:after="0" w:line="27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charges of $211.6 million largely related to an intangible asset impairment resulting from the sale of the rights to Qbrexza</w:t>
      </w:r>
      <w:r>
        <w:rPr>
          <w:rFonts w:ascii="Arial" w:cs="Arial" w:eastAsia="Arial" w:hAnsi="Arial"/>
          <w:sz w:val="23"/>
          <w:szCs w:val="23"/>
          <w:color w:val="auto"/>
          <w:vertAlign w:val="superscript"/>
        </w:rPr>
        <w:t>®</w:t>
      </w:r>
      <w:r>
        <w:rPr>
          <w:rFonts w:ascii="Arial" w:cs="Arial" w:eastAsia="Arial" w:hAnsi="Arial"/>
          <w:sz w:val="18"/>
          <w:szCs w:val="18"/>
          <w:color w:val="auto"/>
        </w:rPr>
        <w:t>, as well as acquisition and integration costs associated with the acquisition of Prevail Therapeutics Inc. (Prevail).</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(See Note 11 to the consolidated condensed financial statements)</w:t>
      </w:r>
    </w:p>
    <w:p>
      <w:pPr>
        <w:spacing w:after="0" w:line="117" w:lineRule="exact"/>
        <w:rPr>
          <w:sz w:val="20"/>
          <w:szCs w:val="20"/>
          <w:color w:val="auto"/>
        </w:rPr>
      </w:pPr>
    </w:p>
    <w:p>
      <w:pPr>
        <w:ind w:left="5520" w:right="4700" w:hanging="5188"/>
        <w:spacing w:after="0" w:line="619" w:lineRule="auto"/>
        <w:tabs>
          <w:tab w:leader="none" w:pos="64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recognized $301.5 million of net investment gains on equity securities.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Late-Stage Pipeline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45 new medicine candidates in clinical development or under regulatory review, and a larger number of projects in the discovery phase.</w:t>
      </w:r>
    </w:p>
    <w:p>
      <w:pPr>
        <w:spacing w:after="0" w:line="63" w:lineRule="exact"/>
        <w:rPr>
          <w:sz w:val="20"/>
          <w:szCs w:val="20"/>
          <w:color w:val="auto"/>
        </w:rPr>
      </w:pPr>
    </w:p>
    <w:p>
      <w:pPr>
        <w:ind w:right="1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 following certain new molecular entities (NMEs) are currently in Phase II or Phase III clinical trials or have been submitted for regulatory review in the U.S., Europe, or Japan. The following table reflects the status of these NMEs, including certain other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108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54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Diabetes</w:t>
            </w:r>
          </w:p>
        </w:tc>
        <w:tc>
          <w:tcPr>
            <w:tcW w:w="2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20" w:type="dxa"/>
            <w:vAlign w:val="bottom"/>
            <w:tcBorders>
              <w:left w:val="single" w:sz="8" w:color="auto"/>
              <w:right w:val="single" w:sz="8" w:color="auto"/>
            </w:tcBorders>
          </w:tcPr>
          <w:p>
            <w:pPr>
              <w:spacing w:after="0"/>
              <w:rPr>
                <w:sz w:val="14"/>
                <w:szCs w:val="14"/>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Submitted</w:t>
            </w:r>
          </w:p>
        </w:tc>
        <w:tc>
          <w:tcPr>
            <w:tcW w:w="54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Submitted in the U.S. using a Priority Review Voucher and in</w:t>
            </w: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Europe and Japan in 2021.</w:t>
            </w:r>
          </w:p>
        </w:tc>
        <w:tc>
          <w:tcPr>
            <w:tcW w:w="0" w:type="dxa"/>
            <w:vAlign w:val="bottom"/>
          </w:tcPr>
          <w:p>
            <w:pPr>
              <w:spacing w:after="0"/>
              <w:rPr>
                <w:sz w:val="1"/>
                <w:szCs w:val="1"/>
                <w:color w:val="auto"/>
              </w:rPr>
            </w:pPr>
          </w:p>
        </w:tc>
      </w:tr>
      <w:tr>
        <w:trPr>
          <w:trHeight w:val="88"/>
        </w:trPr>
        <w:tc>
          <w:tcPr>
            <w:tcW w:w="222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220" w:type="dxa"/>
            <w:vAlign w:val="bottom"/>
            <w:tcBorders>
              <w:left w:val="single" w:sz="8" w:color="auto"/>
              <w:right w:val="single" w:sz="8" w:color="auto"/>
            </w:tcBorders>
          </w:tcPr>
          <w:p>
            <w:pPr>
              <w:spacing w:after="0"/>
              <w:rPr>
                <w:sz w:val="23"/>
                <w:szCs w:val="23"/>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Heart failure with</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54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preserved ejection fraction</w:t>
            </w:r>
          </w:p>
        </w:tc>
        <w:tc>
          <w:tcPr>
            <w:tcW w:w="1080" w:type="dxa"/>
            <w:vAlign w:val="bottom"/>
            <w:vMerge w:val="continue"/>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w:t>
            </w:r>
          </w:p>
        </w:tc>
        <w:tc>
          <w:tcPr>
            <w:tcW w:w="218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2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Obesity</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54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line="182" w:lineRule="exact"/>
              <w:rPr>
                <w:sz w:val="20"/>
                <w:szCs w:val="20"/>
                <w:color w:val="auto"/>
              </w:rPr>
            </w:pPr>
            <w:r>
              <w:rPr>
                <w:rFonts w:ascii="Arial" w:cs="Arial" w:eastAsia="Arial" w:hAnsi="Arial"/>
                <w:sz w:val="18"/>
                <w:szCs w:val="18"/>
                <w:color w:val="auto"/>
              </w:rPr>
              <w:t>Announced in April 2022 that the initial Phase III trial met co-</w:t>
            </w:r>
          </w:p>
        </w:tc>
        <w:tc>
          <w:tcPr>
            <w:tcW w:w="0" w:type="dxa"/>
            <w:vAlign w:val="bottom"/>
          </w:tcPr>
          <w:p>
            <w:pPr>
              <w:spacing w:after="0"/>
              <w:rPr>
                <w:sz w:val="1"/>
                <w:szCs w:val="1"/>
                <w:color w:val="auto"/>
              </w:rPr>
            </w:pPr>
          </w:p>
        </w:tc>
      </w:tr>
      <w:tr>
        <w:trPr>
          <w:trHeight w:val="77"/>
        </w:trPr>
        <w:tc>
          <w:tcPr>
            <w:tcW w:w="2220" w:type="dxa"/>
            <w:vAlign w:val="bottom"/>
            <w:tcBorders>
              <w:left w:val="single" w:sz="8" w:color="auto"/>
              <w:right w:val="single" w:sz="8" w:color="auto"/>
            </w:tcBorders>
          </w:tcPr>
          <w:p>
            <w:pPr>
              <w:spacing w:after="0"/>
              <w:rPr>
                <w:sz w:val="6"/>
                <w:szCs w:val="6"/>
                <w:color w:val="auto"/>
              </w:rPr>
            </w:pPr>
          </w:p>
        </w:tc>
        <w:tc>
          <w:tcPr>
            <w:tcW w:w="2180" w:type="dxa"/>
            <w:vAlign w:val="bottom"/>
            <w:tcBorders>
              <w:right w:val="single" w:sz="8" w:color="auto"/>
            </w:tcBorders>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primary and all key secondary endpoints. Phase III trials are</w:t>
            </w:r>
          </w:p>
        </w:tc>
        <w:tc>
          <w:tcPr>
            <w:tcW w:w="0" w:type="dxa"/>
            <w:vAlign w:val="bottom"/>
          </w:tcPr>
          <w:p>
            <w:pPr>
              <w:spacing w:after="0"/>
              <w:rPr>
                <w:sz w:val="1"/>
                <w:szCs w:val="1"/>
                <w:color w:val="auto"/>
              </w:rPr>
            </w:pPr>
          </w:p>
        </w:tc>
      </w:tr>
      <w:tr>
        <w:trPr>
          <w:trHeight w:val="250"/>
        </w:trPr>
        <w:tc>
          <w:tcPr>
            <w:tcW w:w="2220" w:type="dxa"/>
            <w:vAlign w:val="bottom"/>
            <w:tcBorders>
              <w:left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Nonalcoholic</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54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steatohepatitis</w:t>
            </w:r>
          </w:p>
        </w:tc>
        <w:tc>
          <w:tcPr>
            <w:tcW w:w="1080" w:type="dxa"/>
            <w:vAlign w:val="bottom"/>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Basal Insulin-Fc</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Type 1 and 2 diabetes</w:t>
            </w: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Phase III</w:t>
            </w:r>
          </w:p>
        </w:tc>
        <w:tc>
          <w:tcPr>
            <w:tcW w:w="54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initiated in the first quarter of 2022.</w:t>
            </w:r>
          </w:p>
        </w:tc>
        <w:tc>
          <w:tcPr>
            <w:tcW w:w="0" w:type="dxa"/>
            <w:vAlign w:val="bottom"/>
          </w:tcPr>
          <w:p>
            <w:pPr>
              <w:spacing w:after="0"/>
              <w:rPr>
                <w:sz w:val="1"/>
                <w:szCs w:val="1"/>
                <w:color w:val="auto"/>
              </w:rPr>
            </w:pPr>
          </w:p>
        </w:tc>
      </w:tr>
      <w:tr>
        <w:trPr>
          <w:trHeight w:val="243"/>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GGG Tri-Agonist</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540" w:type="dxa"/>
            <w:vAlign w:val="bottom"/>
            <w:tcBorders>
              <w:right w:val="single" w:sz="8" w:color="auto"/>
            </w:tcBorders>
          </w:tcPr>
          <w:p>
            <w:pPr>
              <w:spacing w:after="0"/>
              <w:rPr>
                <w:sz w:val="21"/>
                <w:szCs w:val="21"/>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12"/>
        </w:trPr>
        <w:tc>
          <w:tcPr>
            <w:tcW w:w="222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1080" w:type="dxa"/>
            <w:vAlign w:val="bottom"/>
            <w:vMerge w:val="continue"/>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GLP-1R NPA</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540" w:type="dxa"/>
            <w:vAlign w:val="bottom"/>
            <w:tcBorders>
              <w:right w:val="single" w:sz="8" w:color="auto"/>
            </w:tcBorders>
          </w:tcPr>
          <w:p>
            <w:pPr>
              <w:spacing w:after="0"/>
              <w:rPr>
                <w:sz w:val="21"/>
                <w:szCs w:val="21"/>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12"/>
        </w:trPr>
        <w:tc>
          <w:tcPr>
            <w:tcW w:w="222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1080" w:type="dxa"/>
            <w:vAlign w:val="bottom"/>
            <w:vMerge w:val="continue"/>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Ulcerative colitis</w:t>
            </w: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Submitted</w:t>
            </w:r>
          </w:p>
        </w:tc>
        <w:tc>
          <w:tcPr>
            <w:tcW w:w="54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Submitted in the U.S. in first quarter of 2022.</w:t>
            </w:r>
          </w:p>
        </w:tc>
        <w:tc>
          <w:tcPr>
            <w:tcW w:w="0" w:type="dxa"/>
            <w:vAlign w:val="bottom"/>
          </w:tcPr>
          <w:p>
            <w:pPr>
              <w:spacing w:after="0"/>
              <w:rPr>
                <w:sz w:val="1"/>
                <w:szCs w:val="1"/>
                <w:color w:val="auto"/>
              </w:rPr>
            </w:pPr>
          </w:p>
        </w:tc>
      </w:tr>
      <w:tr>
        <w:trPr>
          <w:trHeight w:val="112"/>
        </w:trPr>
        <w:tc>
          <w:tcPr>
            <w:tcW w:w="2220" w:type="dxa"/>
            <w:vAlign w:val="bottom"/>
            <w:tcBorders>
              <w:left w:val="single" w:sz="8" w:color="auto"/>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Crohn's Disease</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54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40"/>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5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(1)</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Atopic dermatitis</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III</w:t>
            </w:r>
          </w:p>
        </w:tc>
        <w:tc>
          <w:tcPr>
            <w:tcW w:w="54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Granted FDA Fast Track designation</w:t>
            </w:r>
            <w:r>
              <w:rPr>
                <w:rFonts w:ascii="Arial" w:cs="Arial" w:eastAsia="Arial" w:hAnsi="Arial"/>
                <w:sz w:val="20"/>
                <w:szCs w:val="20"/>
                <w:color w:val="auto"/>
                <w:vertAlign w:val="superscript"/>
              </w:rPr>
              <w:t>(2)</w:t>
            </w:r>
            <w:r>
              <w:rPr>
                <w:rFonts w:ascii="Arial" w:cs="Arial" w:eastAsia="Arial" w:hAnsi="Arial"/>
                <w:sz w:val="16"/>
                <w:szCs w:val="16"/>
                <w:color w:val="auto"/>
              </w:rPr>
              <w:t>. Announced in 2021 that</w:t>
            </w: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vMerge w:val="continue"/>
          </w:tcPr>
          <w:p>
            <w:pPr>
              <w:spacing w:after="0"/>
              <w:rPr>
                <w:sz w:val="15"/>
                <w:szCs w:val="15"/>
                <w:color w:val="auto"/>
              </w:rPr>
            </w:pPr>
          </w:p>
        </w:tc>
        <w:tc>
          <w:tcPr>
            <w:tcW w:w="2180" w:type="dxa"/>
            <w:vAlign w:val="bottom"/>
            <w:tcBorders>
              <w:right w:val="single" w:sz="8" w:color="auto"/>
            </w:tcBorders>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Phase III trials met primary and all key secondary endpoints.</w:t>
            </w: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8"/>
                <w:szCs w:val="18"/>
                <w:color w:val="auto"/>
              </w:rPr>
              <w:t>CXCR1/2 Ligands</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Hidradenitis suppurativa</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54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52"/>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Monoclonal Antibody</w:t>
            </w:r>
          </w:p>
        </w:tc>
        <w:tc>
          <w:tcPr>
            <w:tcW w:w="2180" w:type="dxa"/>
            <w:vAlign w:val="bottom"/>
            <w:tcBorders>
              <w:right w:val="single" w:sz="8" w:color="auto"/>
            </w:tcBorders>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right w:val="single" w:sz="8" w:color="auto"/>
            </w:tcBorders>
          </w:tcPr>
          <w:p>
            <w:pPr>
              <w:spacing w:after="0"/>
              <w:rPr>
                <w:sz w:val="14"/>
                <w:szCs w:val="14"/>
                <w:color w:val="auto"/>
              </w:rPr>
            </w:pPr>
          </w:p>
        </w:tc>
        <w:tc>
          <w:tcPr>
            <w:tcW w:w="2180" w:type="dxa"/>
            <w:vAlign w:val="bottom"/>
            <w:tcBorders>
              <w:right w:val="single" w:sz="8" w:color="auto"/>
            </w:tcBorders>
          </w:tcPr>
          <w:p>
            <w:pPr>
              <w:spacing w:after="0" w:line="171" w:lineRule="exact"/>
              <w:rPr>
                <w:sz w:val="20"/>
                <w:szCs w:val="20"/>
                <w:color w:val="auto"/>
              </w:rPr>
            </w:pPr>
            <w:r>
              <w:rPr>
                <w:rFonts w:ascii="Arial" w:cs="Arial" w:eastAsia="Arial" w:hAnsi="Arial"/>
                <w:sz w:val="18"/>
                <w:szCs w:val="18"/>
                <w:color w:val="auto"/>
              </w:rPr>
              <w:t>Systemic lupus</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54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erythematosus</w:t>
            </w:r>
          </w:p>
        </w:tc>
        <w:tc>
          <w:tcPr>
            <w:tcW w:w="1080" w:type="dxa"/>
            <w:vAlign w:val="bottom"/>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IL-2 Conjugate</w:t>
            </w:r>
          </w:p>
        </w:tc>
        <w:tc>
          <w:tcPr>
            <w:tcW w:w="218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220" w:type="dxa"/>
            <w:vAlign w:val="bottom"/>
            <w:tcBorders>
              <w:left w:val="single" w:sz="8" w:color="auto"/>
              <w:right w:val="single" w:sz="8" w:color="auto"/>
            </w:tcBorders>
            <w:vMerge w:val="continue"/>
          </w:tcPr>
          <w:p>
            <w:pPr>
              <w:spacing w:after="0"/>
              <w:rPr>
                <w:sz w:val="17"/>
                <w:szCs w:val="17"/>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Ulcerative colitis</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Discontinued</w:t>
            </w:r>
          </w:p>
        </w:tc>
        <w:tc>
          <w:tcPr>
            <w:tcW w:w="54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April 2022 that we have discontinued the Phase II</w:t>
            </w:r>
          </w:p>
        </w:tc>
        <w:tc>
          <w:tcPr>
            <w:tcW w:w="0" w:type="dxa"/>
            <w:vAlign w:val="bottom"/>
          </w:tcPr>
          <w:p>
            <w:pPr>
              <w:spacing w:after="0"/>
              <w:rPr>
                <w:sz w:val="1"/>
                <w:szCs w:val="1"/>
                <w:color w:val="auto"/>
              </w:rPr>
            </w:pPr>
          </w:p>
        </w:tc>
      </w:tr>
      <w:tr>
        <w:trPr>
          <w:trHeight w:val="64"/>
        </w:trPr>
        <w:tc>
          <w:tcPr>
            <w:tcW w:w="2220" w:type="dxa"/>
            <w:vAlign w:val="bottom"/>
            <w:tcBorders>
              <w:left w:val="single" w:sz="8" w:color="auto"/>
              <w:right w:val="single" w:sz="8" w:color="auto"/>
            </w:tcBorders>
          </w:tcPr>
          <w:p>
            <w:pPr>
              <w:spacing w:after="0"/>
              <w:rPr>
                <w:sz w:val="5"/>
                <w:szCs w:val="5"/>
                <w:color w:val="auto"/>
              </w:rPr>
            </w:pPr>
          </w:p>
        </w:tc>
        <w:tc>
          <w:tcPr>
            <w:tcW w:w="2180" w:type="dxa"/>
            <w:vAlign w:val="bottom"/>
            <w:tcBorders>
              <w:right w:val="single" w:sz="8" w:color="auto"/>
            </w:tcBorders>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trial due to lack of efficacy based on interim analysis.</w:t>
            </w:r>
          </w:p>
        </w:tc>
        <w:tc>
          <w:tcPr>
            <w:tcW w:w="0" w:type="dxa"/>
            <w:vAlign w:val="bottom"/>
          </w:tcPr>
          <w:p>
            <w:pPr>
              <w:spacing w:after="0"/>
              <w:rPr>
                <w:sz w:val="1"/>
                <w:szCs w:val="1"/>
                <w:color w:val="auto"/>
              </w:rPr>
            </w:pPr>
          </w:p>
        </w:tc>
      </w:tr>
      <w:tr>
        <w:trPr>
          <w:trHeight w:val="86"/>
        </w:trPr>
        <w:tc>
          <w:tcPr>
            <w:tcW w:w="222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220" w:type="dxa"/>
            <w:vAlign w:val="bottom"/>
            <w:tcBorders>
              <w:left w:val="single" w:sz="8" w:color="auto"/>
              <w:bottom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220" w:type="dxa"/>
            <w:vAlign w:val="bottom"/>
            <w:tcBorders>
              <w:left w:val="single" w:sz="8" w:color="auto"/>
              <w:right w:val="single" w:sz="8" w:color="auto"/>
            </w:tcBorders>
          </w:tcPr>
          <w:p>
            <w:pPr>
              <w:ind w:left="40"/>
              <w:spacing w:after="0" w:line="204" w:lineRule="exact"/>
              <w:rPr>
                <w:sz w:val="20"/>
                <w:szCs w:val="20"/>
                <w:color w:val="auto"/>
              </w:rPr>
            </w:pPr>
            <w:r>
              <w:rPr>
                <w:rFonts w:ascii="Arial" w:cs="Arial" w:eastAsia="Arial" w:hAnsi="Arial"/>
                <w:sz w:val="18"/>
                <w:szCs w:val="18"/>
                <w:color w:val="auto"/>
              </w:rPr>
              <w:t>Peresolimab (PD-1 MAB</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Rheumatoid arthritis</w:t>
            </w:r>
          </w:p>
        </w:tc>
        <w:tc>
          <w:tcPr>
            <w:tcW w:w="1080" w:type="dxa"/>
            <w:vAlign w:val="bottom"/>
            <w:vMerge w:val="restart"/>
          </w:tcPr>
          <w:p>
            <w:pPr>
              <w:spacing w:after="0"/>
              <w:rPr>
                <w:sz w:val="20"/>
                <w:szCs w:val="20"/>
                <w:color w:val="auto"/>
              </w:rPr>
            </w:pPr>
            <w:r>
              <w:rPr>
                <w:rFonts w:ascii="Arial" w:cs="Arial" w:eastAsia="Arial" w:hAnsi="Arial"/>
                <w:sz w:val="18"/>
                <w:szCs w:val="18"/>
                <w:color w:val="auto"/>
              </w:rPr>
              <w:t>Phase II</w:t>
            </w:r>
          </w:p>
        </w:tc>
        <w:tc>
          <w:tcPr>
            <w:tcW w:w="54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44"/>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Agonist)</w:t>
            </w:r>
          </w:p>
        </w:tc>
        <w:tc>
          <w:tcPr>
            <w:tcW w:w="2180" w:type="dxa"/>
            <w:vAlign w:val="bottom"/>
            <w:tcBorders>
              <w:right w:val="single" w:sz="8" w:color="auto"/>
            </w:tcBorders>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20" w:type="dxa"/>
            <w:vAlign w:val="bottom"/>
            <w:tcBorders>
              <w:left w:val="single" w:sz="8" w:color="auto"/>
              <w:right w:val="single" w:sz="8" w:color="auto"/>
            </w:tcBorders>
            <w:vMerge w:val="continue"/>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5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8"/>
        </w:trPr>
        <w:tc>
          <w:tcPr>
            <w:tcW w:w="2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2" w:right="31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4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4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16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49"/>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220" w:type="dxa"/>
            <w:vAlign w:val="bottom"/>
            <w:tcBorders>
              <w:left w:val="single" w:sz="8" w:color="auto"/>
              <w:right w:val="single" w:sz="8" w:color="auto"/>
            </w:tcBorders>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Submission</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 designation</w:t>
            </w:r>
            <w:r>
              <w:rPr>
                <w:rFonts w:ascii="Arial" w:cs="Arial" w:eastAsia="Arial" w:hAnsi="Arial"/>
                <w:sz w:val="23"/>
                <w:szCs w:val="23"/>
                <w:color w:val="auto"/>
                <w:vertAlign w:val="superscript"/>
              </w:rPr>
              <w:t>(3)</w:t>
            </w:r>
            <w:r>
              <w:rPr>
                <w:rFonts w:ascii="Arial" w:cs="Arial" w:eastAsia="Arial" w:hAnsi="Arial"/>
                <w:sz w:val="18"/>
                <w:szCs w:val="18"/>
                <w:color w:val="auto"/>
              </w:rPr>
              <w:t>. Initiated a</w:t>
            </w:r>
          </w:p>
        </w:tc>
        <w:tc>
          <w:tcPr>
            <w:tcW w:w="0" w:type="dxa"/>
            <w:vAlign w:val="bottom"/>
          </w:tcPr>
          <w:p>
            <w:pPr>
              <w:spacing w:after="0"/>
              <w:rPr>
                <w:sz w:val="1"/>
                <w:szCs w:val="1"/>
                <w:color w:val="auto"/>
              </w:rPr>
            </w:pPr>
          </w:p>
        </w:tc>
      </w:tr>
      <w:tr>
        <w:trPr>
          <w:trHeight w:val="95"/>
        </w:trPr>
        <w:tc>
          <w:tcPr>
            <w:tcW w:w="2220" w:type="dxa"/>
            <w:vAlign w:val="bottom"/>
            <w:tcBorders>
              <w:left w:val="single" w:sz="8" w:color="auto"/>
              <w:right w:val="single" w:sz="8" w:color="auto"/>
            </w:tcBorders>
          </w:tcPr>
          <w:p>
            <w:pPr>
              <w:spacing w:after="0"/>
              <w:rPr>
                <w:sz w:val="8"/>
                <w:szCs w:val="8"/>
                <w:color w:val="auto"/>
              </w:rPr>
            </w:pP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Early Alzheimer's disease</w:t>
            </w:r>
          </w:p>
        </w:tc>
        <w:tc>
          <w:tcPr>
            <w:tcW w:w="1620" w:type="dxa"/>
            <w:vAlign w:val="bottom"/>
            <w:tcBorders>
              <w:right w:val="single" w:sz="8" w:color="auto"/>
            </w:tcBorders>
            <w:vMerge w:val="continue"/>
          </w:tcPr>
          <w:p>
            <w:pPr>
              <w:spacing w:after="0"/>
              <w:rPr>
                <w:sz w:val="8"/>
                <w:szCs w:val="8"/>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rolling submission in the U.S. for accelerated approval in 2021.</w:t>
            </w: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Donanemab</w:t>
            </w:r>
          </w:p>
        </w:tc>
        <w:tc>
          <w:tcPr>
            <w:tcW w:w="2180" w:type="dxa"/>
            <w:vAlign w:val="bottom"/>
            <w:tcBorders>
              <w:right w:val="single" w:sz="8" w:color="auto"/>
            </w:tcBorders>
            <w:gridSpan w:val="2"/>
            <w:vMerge w:val="continue"/>
          </w:tcPr>
          <w:p>
            <w:pPr>
              <w:spacing w:after="0"/>
              <w:rPr>
                <w:sz w:val="15"/>
                <w:szCs w:val="15"/>
                <w:color w:val="auto"/>
              </w:rPr>
            </w:pPr>
          </w:p>
        </w:tc>
        <w:tc>
          <w:tcPr>
            <w:tcW w:w="16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initiated</w:t>
            </w:r>
          </w:p>
        </w:tc>
        <w:tc>
          <w:tcPr>
            <w:tcW w:w="5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auto"/>
              <w:right w:val="single" w:sz="8" w:color="auto"/>
            </w:tcBorders>
            <w:vMerge w:val="continue"/>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Preclinical Alzheimer's</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disease</w:t>
            </w:r>
          </w:p>
        </w:tc>
        <w:tc>
          <w:tcPr>
            <w:tcW w:w="162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gridSpan w:val="2"/>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2180" w:type="dxa"/>
            <w:vAlign w:val="bottom"/>
            <w:tcBorders>
              <w:right w:val="single" w:sz="8" w:color="auto"/>
            </w:tcBorders>
            <w:gridSpan w:val="2"/>
          </w:tcPr>
          <w:p>
            <w:pPr>
              <w:spacing w:after="0" w:line="171" w:lineRule="exact"/>
              <w:rPr>
                <w:sz w:val="20"/>
                <w:szCs w:val="20"/>
                <w:color w:val="auto"/>
              </w:rPr>
            </w:pPr>
            <w:r>
              <w:rPr>
                <w:rFonts w:ascii="Arial" w:cs="Arial" w:eastAsia="Arial" w:hAnsi="Arial"/>
                <w:sz w:val="18"/>
                <w:szCs w:val="18"/>
                <w:color w:val="auto"/>
              </w:rPr>
              <w:t>Preclinical Alzheimer's</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disease</w:t>
            </w:r>
          </w:p>
        </w:tc>
        <w:tc>
          <w:tcPr>
            <w:tcW w:w="162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gridSpan w:val="2"/>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8"/>
                <w:szCs w:val="18"/>
                <w:color w:val="auto"/>
              </w:rPr>
              <w:t>GBA1 Gene Therapy</w:t>
            </w: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Parkinson's disease</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5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(PR001)</w:t>
            </w:r>
          </w:p>
        </w:tc>
        <w:tc>
          <w:tcPr>
            <w:tcW w:w="2180" w:type="dxa"/>
            <w:vAlign w:val="bottom"/>
            <w:tcBorders>
              <w:right w:val="single" w:sz="8" w:color="auto"/>
            </w:tcBorders>
            <w:gridSpan w:val="2"/>
            <w:vMerge w:val="continue"/>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restart"/>
          </w:tcPr>
          <w:p>
            <w:pPr>
              <w:ind w:left="20"/>
              <w:spacing w:after="0" w:line="216" w:lineRule="exact"/>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Phase II trials are</w:t>
            </w:r>
          </w:p>
        </w:tc>
        <w:tc>
          <w:tcPr>
            <w:tcW w:w="0" w:type="dxa"/>
            <w:vAlign w:val="bottom"/>
          </w:tcPr>
          <w:p>
            <w:pPr>
              <w:spacing w:after="0"/>
              <w:rPr>
                <w:sz w:val="1"/>
                <w:szCs w:val="1"/>
                <w:color w:val="auto"/>
              </w:rPr>
            </w:pPr>
          </w:p>
        </w:tc>
      </w:tr>
      <w:tr>
        <w:trPr>
          <w:trHeight w:val="63"/>
        </w:trPr>
        <w:tc>
          <w:tcPr>
            <w:tcW w:w="2220" w:type="dxa"/>
            <w:vAlign w:val="bottom"/>
            <w:tcBorders>
              <w:left w:val="single" w:sz="8" w:color="auto"/>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69"/>
        </w:trPr>
        <w:tc>
          <w:tcPr>
            <w:tcW w:w="22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GRN Gene Therapy</w:t>
            </w: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Frontotemporal dementia</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5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(PR006)</w:t>
            </w:r>
          </w:p>
        </w:tc>
        <w:tc>
          <w:tcPr>
            <w:tcW w:w="2180" w:type="dxa"/>
            <w:vAlign w:val="bottom"/>
            <w:tcBorders>
              <w:right w:val="single" w:sz="8" w:color="auto"/>
            </w:tcBorders>
            <w:gridSpan w:val="2"/>
            <w:vMerge w:val="continue"/>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O-glc-NAcase</w:t>
            </w:r>
          </w:p>
        </w:tc>
        <w:tc>
          <w:tcPr>
            <w:tcW w:w="2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Alzheimer's disease</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PACAP38 Antibody</w:t>
            </w:r>
          </w:p>
        </w:tc>
        <w:tc>
          <w:tcPr>
            <w:tcW w:w="2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Chronic pain</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SSTR4 Agonist</w:t>
            </w:r>
          </w:p>
        </w:tc>
        <w:tc>
          <w:tcPr>
            <w:tcW w:w="2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Chronic pain</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TRPA1 Antagonist</w:t>
            </w:r>
          </w:p>
        </w:tc>
        <w:tc>
          <w:tcPr>
            <w:tcW w:w="2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Pain</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69"/>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Epiregulin/TGFα MAB</w:t>
            </w: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Chronic pain</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Discontinued</w:t>
            </w:r>
          </w:p>
        </w:tc>
        <w:tc>
          <w:tcPr>
            <w:tcW w:w="52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Announced in April 2022 that we have discontinued the Phase II</w:t>
            </w: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gridSpan w:val="2"/>
            <w:vMerge w:val="continue"/>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trial because it did not meet criteria for proceeding.</w:t>
            </w: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Selpercatinib (Retevmo</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Lung cancer</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(4)</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52"/>
        </w:trPr>
        <w:tc>
          <w:tcPr>
            <w:tcW w:w="22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Thyroid cancer</w:t>
            </w: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52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220" w:type="dxa"/>
            <w:vAlign w:val="bottom"/>
            <w:tcBorders>
              <w:left w:val="single" w:sz="8" w:color="auto"/>
              <w:right w:val="single" w:sz="8" w:color="auto"/>
            </w:tcBorders>
          </w:tcPr>
          <w:p>
            <w:pPr>
              <w:spacing w:after="0"/>
              <w:rPr>
                <w:sz w:val="23"/>
                <w:szCs w:val="23"/>
                <w:color w:val="auto"/>
              </w:rPr>
            </w:pP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Mantle cell lymphoma</w:t>
            </w:r>
          </w:p>
        </w:tc>
        <w:tc>
          <w:tcPr>
            <w:tcW w:w="1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Submission</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a rolling submission in the U.S. for accelerated approval</w:t>
            </w: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gridSpan w:val="2"/>
            <w:vMerge w:val="continue"/>
          </w:tcPr>
          <w:p>
            <w:pPr>
              <w:spacing w:after="0"/>
              <w:rPr>
                <w:sz w:val="13"/>
                <w:szCs w:val="13"/>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initiated</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 2021. Phase II and Phase III trials are ongoing.</w:t>
            </w:r>
          </w:p>
        </w:tc>
        <w:tc>
          <w:tcPr>
            <w:tcW w:w="0" w:type="dxa"/>
            <w:vAlign w:val="bottom"/>
          </w:tcPr>
          <w:p>
            <w:pPr>
              <w:spacing w:after="0"/>
              <w:rPr>
                <w:sz w:val="1"/>
                <w:szCs w:val="1"/>
                <w:color w:val="auto"/>
              </w:rPr>
            </w:pPr>
          </w:p>
        </w:tc>
      </w:tr>
      <w:tr>
        <w:trPr>
          <w:trHeight w:val="86"/>
        </w:trPr>
        <w:tc>
          <w:tcPr>
            <w:tcW w:w="2220" w:type="dxa"/>
            <w:vAlign w:val="bottom"/>
            <w:tcBorders>
              <w:left w:val="single" w:sz="8" w:color="auto"/>
              <w:right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 (LOXO-305)</w:t>
            </w:r>
          </w:p>
        </w:tc>
        <w:tc>
          <w:tcPr>
            <w:tcW w:w="21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20" w:type="dxa"/>
            <w:vAlign w:val="bottom"/>
            <w:tcBorders>
              <w:left w:val="single" w:sz="8" w:color="auto"/>
              <w:right w:val="single" w:sz="8" w:color="auto"/>
            </w:tcBorders>
            <w:vMerge w:val="continue"/>
          </w:tcPr>
          <w:p>
            <w:pPr>
              <w:spacing w:after="0"/>
              <w:rPr>
                <w:sz w:val="14"/>
                <w:szCs w:val="14"/>
                <w:color w:val="auto"/>
              </w:rPr>
            </w:pPr>
          </w:p>
        </w:tc>
        <w:tc>
          <w:tcPr>
            <w:tcW w:w="218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Chronic lymphocytic</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52"/>
        </w:trPr>
        <w:tc>
          <w:tcPr>
            <w:tcW w:w="2220" w:type="dxa"/>
            <w:vAlign w:val="bottom"/>
            <w:tcBorders>
              <w:left w:val="single" w:sz="8" w:color="auto"/>
              <w:right w:val="single" w:sz="8" w:color="auto"/>
            </w:tcBorders>
          </w:tcPr>
          <w:p>
            <w:pPr>
              <w:spacing w:after="0"/>
              <w:rPr>
                <w:sz w:val="13"/>
                <w:szCs w:val="13"/>
                <w:color w:val="auto"/>
              </w:rPr>
            </w:pP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leukemia</w:t>
            </w:r>
          </w:p>
        </w:tc>
        <w:tc>
          <w:tcPr>
            <w:tcW w:w="162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gridSpan w:val="2"/>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220" w:type="dxa"/>
            <w:vAlign w:val="bottom"/>
            <w:tcBorders>
              <w:left w:val="single" w:sz="8" w:color="auto"/>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B-cell malignancies</w:t>
            </w: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74"/>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2180" w:type="dxa"/>
            <w:vAlign w:val="bottom"/>
            <w:tcBorders>
              <w:right w:val="single" w:sz="8" w:color="auto"/>
            </w:tcBorders>
            <w:gridSpan w:val="2"/>
          </w:tcPr>
          <w:p>
            <w:pPr>
              <w:spacing w:after="0" w:line="174" w:lineRule="exact"/>
              <w:rPr>
                <w:sz w:val="20"/>
                <w:szCs w:val="20"/>
                <w:color w:val="auto"/>
              </w:rPr>
            </w:pPr>
            <w:r>
              <w:rPr>
                <w:rFonts w:ascii="Arial" w:cs="Arial" w:eastAsia="Arial" w:hAnsi="Arial"/>
                <w:sz w:val="18"/>
                <w:szCs w:val="18"/>
                <w:color w:val="auto"/>
              </w:rPr>
              <w:t>ER+HER2- metastatic</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53"/>
        </w:trPr>
        <w:tc>
          <w:tcPr>
            <w:tcW w:w="2220" w:type="dxa"/>
            <w:vAlign w:val="bottom"/>
            <w:tcBorders>
              <w:left w:val="single" w:sz="8" w:color="auto"/>
              <w:right w:val="single" w:sz="8" w:color="auto"/>
            </w:tcBorders>
            <w:vMerge w:val="continue"/>
          </w:tcPr>
          <w:p>
            <w:pPr>
              <w:spacing w:after="0"/>
              <w:rPr>
                <w:sz w:val="13"/>
                <w:szCs w:val="13"/>
                <w:color w:val="auto"/>
              </w:rPr>
            </w:pP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breast cancer</w:t>
            </w:r>
          </w:p>
        </w:tc>
        <w:tc>
          <w:tcPr>
            <w:tcW w:w="1620" w:type="dxa"/>
            <w:vAlign w:val="bottom"/>
            <w:tcBorders>
              <w:right w:val="single" w:sz="8" w:color="auto"/>
            </w:tcBorders>
            <w:vMerge w:val="continue"/>
          </w:tcPr>
          <w:p>
            <w:pPr>
              <w:spacing w:after="0"/>
              <w:rPr>
                <w:sz w:val="13"/>
                <w:szCs w:val="13"/>
                <w:color w:val="auto"/>
              </w:rPr>
            </w:pPr>
          </w:p>
        </w:tc>
        <w:tc>
          <w:tcPr>
            <w:tcW w:w="5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gridSpan w:val="2"/>
            <w:vMerge w:val="continue"/>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right w:val="single" w:sz="8" w:color="auto"/>
            </w:tcBorders>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8"/>
                <w:szCs w:val="18"/>
                <w:color w:val="auto"/>
              </w:rPr>
              <w:t>In the first quarter of 2022 the FDA issued a complete response</w:t>
            </w:r>
          </w:p>
        </w:tc>
        <w:tc>
          <w:tcPr>
            <w:tcW w:w="0" w:type="dxa"/>
            <w:vAlign w:val="bottom"/>
          </w:tcPr>
          <w:p>
            <w:pPr>
              <w:spacing w:after="0"/>
              <w:rPr>
                <w:sz w:val="1"/>
                <w:szCs w:val="1"/>
                <w:color w:val="auto"/>
              </w:rPr>
            </w:pPr>
          </w:p>
        </w:tc>
      </w:tr>
      <w:tr>
        <w:trPr>
          <w:trHeight w:val="184"/>
        </w:trPr>
        <w:tc>
          <w:tcPr>
            <w:tcW w:w="2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Sintilimab injection</w:t>
            </w:r>
            <w:r>
              <w:rPr>
                <w:rFonts w:ascii="Arial" w:cs="Arial" w:eastAsia="Arial" w:hAnsi="Arial"/>
                <w:sz w:val="23"/>
                <w:szCs w:val="23"/>
                <w:color w:val="auto"/>
                <w:vertAlign w:val="superscript"/>
              </w:rPr>
              <w:t>(5)</w:t>
            </w:r>
          </w:p>
        </w:tc>
        <w:tc>
          <w:tcPr>
            <w:tcW w:w="2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Lung cancer</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Not approved</w:t>
            </w: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letter indicating that the FDA did not approve the application in</w:t>
            </w:r>
          </w:p>
        </w:tc>
        <w:tc>
          <w:tcPr>
            <w:tcW w:w="0" w:type="dxa"/>
            <w:vAlign w:val="bottom"/>
          </w:tcPr>
          <w:p>
            <w:pPr>
              <w:spacing w:after="0"/>
              <w:rPr>
                <w:sz w:val="1"/>
                <w:szCs w:val="1"/>
                <w:color w:val="auto"/>
              </w:rPr>
            </w:pPr>
          </w:p>
        </w:tc>
      </w:tr>
      <w:tr>
        <w:trPr>
          <w:trHeight w:val="181"/>
        </w:trPr>
        <w:tc>
          <w:tcPr>
            <w:tcW w:w="2220" w:type="dxa"/>
            <w:vAlign w:val="bottom"/>
            <w:tcBorders>
              <w:left w:val="single" w:sz="8" w:color="auto"/>
              <w:right w:val="single" w:sz="8" w:color="auto"/>
            </w:tcBorders>
            <w:vMerge w:val="continue"/>
          </w:tcPr>
          <w:p>
            <w:pPr>
              <w:spacing w:after="0"/>
              <w:rPr>
                <w:sz w:val="15"/>
                <w:szCs w:val="15"/>
                <w:color w:val="auto"/>
              </w:rPr>
            </w:pPr>
          </w:p>
        </w:tc>
        <w:tc>
          <w:tcPr>
            <w:tcW w:w="2180" w:type="dxa"/>
            <w:vAlign w:val="bottom"/>
            <w:tcBorders>
              <w:right w:val="single" w:sz="8" w:color="auto"/>
            </w:tcBorders>
            <w:gridSpan w:val="2"/>
            <w:vMerge w:val="continue"/>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524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its current form and recommended an additional multiregional</w:t>
            </w:r>
          </w:p>
        </w:tc>
        <w:tc>
          <w:tcPr>
            <w:tcW w:w="0" w:type="dxa"/>
            <w:vAlign w:val="bottom"/>
          </w:tcPr>
          <w:p>
            <w:pPr>
              <w:spacing w:after="0"/>
              <w:rPr>
                <w:sz w:val="1"/>
                <w:szCs w:val="1"/>
                <w:color w:val="auto"/>
              </w:rPr>
            </w:pP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21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clinical study be performed. In collaboration with Innovent, we</w:t>
            </w: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are assessing next steps in the U.S.</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Fast Track designation is designed to expedite the development and review of new therapies to treat serious conditions and address unmet medical needs.</w:t>
      </w:r>
    </w:p>
    <w:p>
      <w:pPr>
        <w:spacing w:after="0" w:line="14" w:lineRule="exact"/>
        <w:rPr>
          <w:rFonts w:ascii="Arial" w:cs="Arial" w:eastAsia="Arial" w:hAnsi="Arial"/>
          <w:sz w:val="9"/>
          <w:szCs w:val="9"/>
          <w:color w:val="auto"/>
        </w:rPr>
      </w:pPr>
    </w:p>
    <w:p>
      <w:pPr>
        <w:ind w:left="180" w:right="80" w:hanging="172"/>
        <w:spacing w:after="0" w:line="261" w:lineRule="auto"/>
        <w:tabs>
          <w:tab w:leader="none" w:pos="172" w:val="left"/>
        </w:tabs>
        <w:numPr>
          <w:ilvl w:val="0"/>
          <w:numId w:val="16"/>
        </w:numPr>
        <w:rPr>
          <w:rFonts w:ascii="Arial" w:cs="Arial" w:eastAsia="Arial" w:hAnsi="Arial"/>
          <w:sz w:val="9"/>
          <w:szCs w:val="9"/>
          <w:color w:val="auto"/>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ind w:left="160" w:hanging="152"/>
        <w:spacing w:after="0" w:line="203"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ind w:left="140" w:hanging="132"/>
        <w:spacing w:after="0" w:line="229" w:lineRule="auto"/>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In collaboration with Innovent Biologics, Inc.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38" w:name="page39"/>
    <w:bookmarkEnd w:id="38"/>
    <w:p>
      <w:pPr>
        <w:ind w:right="28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Our pipeline also contains several new indication line extension (NILEX) products. The following certain NILEX products for use in the indication described are currently in Phase II or Phase III clinical trials or have been submitted for regulatory review in the U.S., Europe, or Japan. The following table reflects the status of these NILEX products, including certain other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2021.</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1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6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5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Diabetes</w:t>
            </w:r>
          </w:p>
        </w:tc>
        <w:tc>
          <w:tcPr>
            <w:tcW w:w="2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Heart failure with</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the U.S. and Europe in the first quarter of 2022 and</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preserved ejection fraction</w:t>
            </w:r>
          </w:p>
        </w:tc>
        <w:tc>
          <w:tcPr>
            <w:tcW w:w="1640" w:type="dxa"/>
            <w:vAlign w:val="bottom"/>
            <w:tcBorders>
              <w:right w:val="single" w:sz="8" w:color="auto"/>
            </w:tcBorders>
            <w:vMerge w:val="continue"/>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Japan in April 2022.</w:t>
            </w:r>
          </w:p>
        </w:tc>
        <w:tc>
          <w:tcPr>
            <w:tcW w:w="0" w:type="dxa"/>
            <w:vAlign w:val="bottom"/>
          </w:tcPr>
          <w:p>
            <w:pPr>
              <w:spacing w:after="0"/>
              <w:rPr>
                <w:sz w:val="1"/>
                <w:szCs w:val="1"/>
                <w:color w:val="auto"/>
              </w:rPr>
            </w:pPr>
          </w:p>
        </w:tc>
      </w:tr>
      <w:tr>
        <w:trPr>
          <w:trHeight w:val="112"/>
        </w:trPr>
        <w:tc>
          <w:tcPr>
            <w:tcW w:w="2200" w:type="dxa"/>
            <w:vAlign w:val="bottom"/>
            <w:tcBorders>
              <w:left w:val="single" w:sz="8" w:color="auto"/>
              <w:right w:val="single" w:sz="8" w:color="auto"/>
            </w:tcBorders>
            <w:vMerge w:val="restart"/>
          </w:tcPr>
          <w:p>
            <w:pPr>
              <w:ind w:left="40"/>
              <w:spacing w:after="0" w:line="193" w:lineRule="exact"/>
              <w:rPr>
                <w:sz w:val="20"/>
                <w:szCs w:val="20"/>
                <w:color w:val="auto"/>
              </w:rPr>
            </w:pPr>
            <w:r>
              <w:rPr>
                <w:rFonts w:ascii="Arial" w:cs="Arial" w:eastAsia="Arial" w:hAnsi="Arial"/>
                <w:sz w:val="17"/>
                <w:szCs w:val="17"/>
                <w:color w:val="auto"/>
              </w:rPr>
              <w:t>Empagliflozin (Jardiance</w:t>
            </w:r>
            <w:r>
              <w:rPr>
                <w:rFonts w:ascii="Arial" w:cs="Arial" w:eastAsia="Arial" w:hAnsi="Arial"/>
                <w:sz w:val="22"/>
                <w:szCs w:val="22"/>
                <w:color w:val="auto"/>
                <w:vertAlign w:val="superscript"/>
              </w:rPr>
              <w:t>®</w:t>
            </w:r>
            <w:r>
              <w:rPr>
                <w:rFonts w:ascii="Arial" w:cs="Arial" w:eastAsia="Arial" w:hAnsi="Arial"/>
                <w:sz w:val="17"/>
                <w:szCs w:val="17"/>
                <w:color w:val="auto"/>
              </w:rPr>
              <w:t>)</w:t>
            </w:r>
          </w:p>
        </w:tc>
        <w:tc>
          <w:tcPr>
            <w:tcW w:w="218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200" w:type="dxa"/>
            <w:vAlign w:val="bottom"/>
            <w:tcBorders>
              <w:left w:val="single" w:sz="8" w:color="auto"/>
              <w:right w:val="single" w:sz="8" w:color="auto"/>
            </w:tcBorders>
            <w:vMerge w:val="continue"/>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5240" w:type="dxa"/>
            <w:vAlign w:val="bottom"/>
            <w:tcBorders>
              <w:right w:val="single" w:sz="8" w:color="auto"/>
            </w:tcBorders>
            <w:vMerge w:val="restart"/>
          </w:tcPr>
          <w:p>
            <w:pPr>
              <w:ind w:left="20"/>
              <w:spacing w:after="0" w:line="183"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1"/>
                <w:szCs w:val="21"/>
                <w:color w:val="auto"/>
                <w:vertAlign w:val="superscript"/>
              </w:rPr>
              <w:t>(2)</w:t>
            </w:r>
            <w:r>
              <w:rPr>
                <w:rFonts w:ascii="Arial" w:cs="Arial" w:eastAsia="Arial" w:hAnsi="Arial"/>
                <w:sz w:val="17"/>
                <w:szCs w:val="17"/>
                <w:color w:val="auto"/>
              </w:rPr>
              <w:t>. In the first quarter of</w:t>
            </w:r>
          </w:p>
        </w:tc>
        <w:tc>
          <w:tcPr>
            <w:tcW w:w="0" w:type="dxa"/>
            <w:vAlign w:val="bottom"/>
          </w:tcPr>
          <w:p>
            <w:pPr>
              <w:spacing w:after="0"/>
              <w:rPr>
                <w:sz w:val="1"/>
                <w:szCs w:val="1"/>
                <w:color w:val="auto"/>
              </w:rPr>
            </w:pPr>
          </w:p>
        </w:tc>
      </w:tr>
      <w:tr>
        <w:trPr>
          <w:trHeight w:val="121"/>
        </w:trPr>
        <w:tc>
          <w:tcPr>
            <w:tcW w:w="2200" w:type="dxa"/>
            <w:vAlign w:val="bottom"/>
            <w:tcBorders>
              <w:left w:val="single" w:sz="8" w:color="auto"/>
              <w:right w:val="single" w:sz="8" w:color="auto"/>
            </w:tcBorders>
          </w:tcPr>
          <w:p>
            <w:pPr>
              <w:ind w:left="40"/>
              <w:spacing w:after="0" w:line="122" w:lineRule="exact"/>
              <w:rPr>
                <w:sz w:val="20"/>
                <w:szCs w:val="20"/>
                <w:color w:val="auto"/>
              </w:rPr>
            </w:pPr>
            <w:r>
              <w:rPr>
                <w:rFonts w:ascii="Arial" w:cs="Arial" w:eastAsia="Arial" w:hAnsi="Arial"/>
                <w:sz w:val="12"/>
                <w:szCs w:val="12"/>
                <w:color w:val="auto"/>
              </w:rPr>
              <w:t>(1)</w:t>
            </w:r>
          </w:p>
        </w:tc>
        <w:tc>
          <w:tcPr>
            <w:tcW w:w="21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5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2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kidney disease</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5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2022 the Independent Data Monitoring Committee</w:t>
            </w:r>
          </w:p>
        </w:tc>
        <w:tc>
          <w:tcPr>
            <w:tcW w:w="0" w:type="dxa"/>
            <w:vAlign w:val="bottom"/>
          </w:tcPr>
          <w:p>
            <w:pPr>
              <w:spacing w:after="0"/>
              <w:rPr>
                <w:sz w:val="1"/>
                <w:szCs w:val="1"/>
                <w:color w:val="auto"/>
              </w:rPr>
            </w:pPr>
          </w:p>
        </w:tc>
      </w:tr>
      <w:tr>
        <w:trPr>
          <w:trHeight w:val="144"/>
        </w:trPr>
        <w:tc>
          <w:tcPr>
            <w:tcW w:w="220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5240" w:type="dxa"/>
            <w:vAlign w:val="bottom"/>
            <w:tcBorders>
              <w:right w:val="single" w:sz="8" w:color="auto"/>
            </w:tcBorders>
            <w:vMerge w:val="restart"/>
          </w:tcPr>
          <w:p>
            <w:pPr>
              <w:ind w:left="20"/>
              <w:spacing w:after="0" w:line="181" w:lineRule="exact"/>
              <w:rPr>
                <w:sz w:val="20"/>
                <w:szCs w:val="20"/>
                <w:color w:val="auto"/>
              </w:rPr>
            </w:pPr>
            <w:r>
              <w:rPr>
                <w:rFonts w:ascii="Arial" w:cs="Arial" w:eastAsia="Arial" w:hAnsi="Arial"/>
                <w:sz w:val="18"/>
                <w:szCs w:val="18"/>
                <w:color w:val="auto"/>
              </w:rPr>
              <w:t>recommended stopping the Phase III trial early due to clear</w:t>
            </w:r>
          </w:p>
        </w:tc>
        <w:tc>
          <w:tcPr>
            <w:tcW w:w="0" w:type="dxa"/>
            <w:vAlign w:val="bottom"/>
          </w:tcPr>
          <w:p>
            <w:pPr>
              <w:spacing w:after="0"/>
              <w:rPr>
                <w:sz w:val="1"/>
                <w:szCs w:val="1"/>
                <w:color w:val="auto"/>
              </w:rPr>
            </w:pPr>
          </w:p>
        </w:tc>
      </w:tr>
      <w:tr>
        <w:trPr>
          <w:trHeight w:val="37"/>
        </w:trPr>
        <w:tc>
          <w:tcPr>
            <w:tcW w:w="2200" w:type="dxa"/>
            <w:vAlign w:val="bottom"/>
            <w:tcBorders>
              <w:left w:val="single" w:sz="8" w:color="auto"/>
              <w:right w:val="single" w:sz="8" w:color="auto"/>
            </w:tcBorders>
          </w:tcPr>
          <w:p>
            <w:pPr>
              <w:spacing w:after="0"/>
              <w:rPr>
                <w:sz w:val="3"/>
                <w:szCs w:val="3"/>
                <w:color w:val="auto"/>
              </w:rPr>
            </w:pPr>
          </w:p>
        </w:tc>
        <w:tc>
          <w:tcPr>
            <w:tcW w:w="2180" w:type="dxa"/>
            <w:vAlign w:val="bottom"/>
            <w:tcBorders>
              <w:right w:val="single" w:sz="8" w:color="auto"/>
            </w:tcBorders>
          </w:tcPr>
          <w:p>
            <w:pPr>
              <w:spacing w:after="0"/>
              <w:rPr>
                <w:sz w:val="3"/>
                <w:szCs w:val="3"/>
                <w:color w:val="auto"/>
              </w:rPr>
            </w:pPr>
          </w:p>
        </w:tc>
        <w:tc>
          <w:tcPr>
            <w:tcW w:w="1640" w:type="dxa"/>
            <w:vAlign w:val="bottom"/>
            <w:tcBorders>
              <w:right w:val="single" w:sz="8" w:color="auto"/>
            </w:tcBorders>
          </w:tcPr>
          <w:p>
            <w:pPr>
              <w:spacing w:after="0"/>
              <w:rPr>
                <w:sz w:val="3"/>
                <w:szCs w:val="3"/>
                <w:color w:val="auto"/>
              </w:rPr>
            </w:pPr>
          </w:p>
        </w:tc>
        <w:tc>
          <w:tcPr>
            <w:tcW w:w="52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positive efficacy.</w:t>
            </w:r>
          </w:p>
        </w:tc>
        <w:tc>
          <w:tcPr>
            <w:tcW w:w="0" w:type="dxa"/>
            <w:vAlign w:val="bottom"/>
          </w:tcPr>
          <w:p>
            <w:pPr>
              <w:spacing w:after="0"/>
              <w:rPr>
                <w:sz w:val="1"/>
                <w:szCs w:val="1"/>
                <w:color w:val="auto"/>
              </w:rPr>
            </w:pPr>
          </w:p>
        </w:tc>
      </w:tr>
      <w:tr>
        <w:trPr>
          <w:trHeight w:val="225"/>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Emergency Use</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in the U.S. and the FDA granted priority review in the</w:t>
            </w:r>
          </w:p>
        </w:tc>
        <w:tc>
          <w:tcPr>
            <w:tcW w:w="0" w:type="dxa"/>
            <w:vAlign w:val="bottom"/>
          </w:tcPr>
          <w:p>
            <w:pPr>
              <w:spacing w:after="0"/>
              <w:rPr>
                <w:sz w:val="1"/>
                <w:szCs w:val="1"/>
                <w:color w:val="auto"/>
              </w:rPr>
            </w:pPr>
          </w:p>
        </w:tc>
      </w:tr>
      <w:tr>
        <w:trPr>
          <w:trHeight w:val="314"/>
        </w:trPr>
        <w:tc>
          <w:tcPr>
            <w:tcW w:w="22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vMerge w:val="continue"/>
          </w:tcPr>
          <w:p>
            <w:pPr>
              <w:spacing w:after="0"/>
              <w:rPr>
                <w:sz w:val="24"/>
                <w:szCs w:val="24"/>
                <w:color w:val="auto"/>
              </w:rPr>
            </w:pP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Authorization</w:t>
            </w:r>
            <w:r>
              <w:rPr>
                <w:rFonts w:ascii="Arial" w:cs="Arial" w:eastAsia="Arial" w:hAnsi="Arial"/>
                <w:sz w:val="23"/>
                <w:szCs w:val="23"/>
                <w:color w:val="auto"/>
                <w:vertAlign w:val="superscript"/>
              </w:rPr>
              <w:t>(3)</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first quarter of 2022.</w:t>
            </w:r>
          </w:p>
        </w:tc>
        <w:tc>
          <w:tcPr>
            <w:tcW w:w="0" w:type="dxa"/>
            <w:vAlign w:val="bottom"/>
          </w:tcPr>
          <w:p>
            <w:pPr>
              <w:spacing w:after="0"/>
              <w:rPr>
                <w:sz w:val="1"/>
                <w:szCs w:val="1"/>
                <w:color w:val="auto"/>
              </w:rPr>
            </w:pPr>
          </w:p>
        </w:tc>
      </w:tr>
      <w:tr>
        <w:trPr>
          <w:trHeight w:val="37"/>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Baricitinib (Olumiant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5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vMerge w:val="continue"/>
          </w:tcPr>
          <w:p>
            <w:pPr>
              <w:spacing w:after="0"/>
              <w:rPr>
                <w:sz w:val="22"/>
                <w:szCs w:val="22"/>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Alopecia areata</w:t>
            </w:r>
          </w:p>
        </w:tc>
        <w:tc>
          <w:tcPr>
            <w:tcW w:w="1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 designation</w:t>
            </w:r>
            <w:r>
              <w:rPr>
                <w:rFonts w:ascii="Arial" w:cs="Arial" w:eastAsia="Arial" w:hAnsi="Arial"/>
                <w:sz w:val="23"/>
                <w:szCs w:val="23"/>
                <w:color w:val="auto"/>
                <w:vertAlign w:val="superscript"/>
              </w:rPr>
              <w:t>(4)</w:t>
            </w:r>
            <w:r>
              <w:rPr>
                <w:rFonts w:ascii="Arial" w:cs="Arial" w:eastAsia="Arial" w:hAnsi="Arial"/>
                <w:sz w:val="18"/>
                <w:szCs w:val="18"/>
                <w:color w:val="auto"/>
              </w:rPr>
              <w:t>. Submitted in</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right w:val="single" w:sz="8" w:color="auto"/>
            </w:tcBorders>
          </w:tcPr>
          <w:p>
            <w:pPr>
              <w:spacing w:after="0"/>
              <w:rPr>
                <w:sz w:val="16"/>
                <w:szCs w:val="16"/>
                <w:color w:val="auto"/>
              </w:rPr>
            </w:pPr>
          </w:p>
        </w:tc>
        <w:tc>
          <w:tcPr>
            <w:tcW w:w="2180" w:type="dxa"/>
            <w:vAlign w:val="bottom"/>
            <w:tcBorders>
              <w:right w:val="single" w:sz="8" w:color="auto"/>
            </w:tcBorders>
            <w:vMerge w:val="continue"/>
          </w:tcPr>
          <w:p>
            <w:pPr>
              <w:spacing w:after="0"/>
              <w:rPr>
                <w:sz w:val="16"/>
                <w:szCs w:val="16"/>
                <w:color w:val="auto"/>
              </w:rPr>
            </w:pPr>
          </w:p>
        </w:tc>
        <w:tc>
          <w:tcPr>
            <w:tcW w:w="1640" w:type="dxa"/>
            <w:vAlign w:val="bottom"/>
            <w:tcBorders>
              <w:right w:val="single" w:sz="8" w:color="auto"/>
            </w:tcBorders>
            <w:vMerge w:val="continue"/>
          </w:tcPr>
          <w:p>
            <w:pPr>
              <w:spacing w:after="0"/>
              <w:rPr>
                <w:sz w:val="16"/>
                <w:szCs w:val="16"/>
                <w:color w:val="auto"/>
              </w:rPr>
            </w:pPr>
          </w:p>
        </w:tc>
        <w:tc>
          <w:tcPr>
            <w:tcW w:w="52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U.S., Europe, and Japan in 2021. In the first quarter of 2022 the</w:t>
            </w:r>
          </w:p>
        </w:tc>
        <w:tc>
          <w:tcPr>
            <w:tcW w:w="0" w:type="dxa"/>
            <w:vAlign w:val="bottom"/>
          </w:tcPr>
          <w:p>
            <w:pPr>
              <w:spacing w:after="0"/>
              <w:rPr>
                <w:sz w:val="1"/>
                <w:szCs w:val="1"/>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FDA granted priority review in severe alopecia areata.</w:t>
            </w:r>
          </w:p>
        </w:tc>
        <w:tc>
          <w:tcPr>
            <w:tcW w:w="0" w:type="dxa"/>
            <w:vAlign w:val="bottom"/>
          </w:tcPr>
          <w:p>
            <w:pPr>
              <w:spacing w:after="0"/>
              <w:rPr>
                <w:sz w:val="1"/>
                <w:szCs w:val="1"/>
                <w:color w:val="auto"/>
              </w:rPr>
            </w:pPr>
          </w:p>
        </w:tc>
      </w:tr>
      <w:tr>
        <w:trPr>
          <w:trHeight w:val="99"/>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rPr>
              <w:t>Abemaciclib (Verzenio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Prostate cancer</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5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Fast Track designation is designed to expedite the development and review of new therapies to treat serious conditions and address unmet medical needs.</w:t>
      </w:r>
    </w:p>
    <w:p>
      <w:pPr>
        <w:spacing w:after="0" w:line="14" w:lineRule="exact"/>
        <w:rPr>
          <w:rFonts w:ascii="Arial" w:cs="Arial" w:eastAsia="Arial" w:hAnsi="Arial"/>
          <w:sz w:val="9"/>
          <w:szCs w:val="9"/>
          <w:color w:val="auto"/>
        </w:rPr>
      </w:pPr>
    </w:p>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4"/>
          <w:szCs w:val="14"/>
          <w:color w:val="auto"/>
        </w:rPr>
        <w:t>The FDA granted EUA for treatment with or without remdesivir in hospitalized COVID-19 patients.</w:t>
      </w:r>
    </w:p>
    <w:p>
      <w:pPr>
        <w:spacing w:after="0" w:line="14" w:lineRule="exact"/>
        <w:rPr>
          <w:rFonts w:ascii="Arial" w:cs="Arial" w:eastAsia="Arial" w:hAnsi="Arial"/>
          <w:sz w:val="9"/>
          <w:szCs w:val="9"/>
          <w:color w:val="auto"/>
        </w:rPr>
      </w:pPr>
    </w:p>
    <w:p>
      <w:pPr>
        <w:ind w:left="180" w:right="100" w:hanging="172"/>
        <w:spacing w:after="0" w:line="229" w:lineRule="auto"/>
        <w:tabs>
          <w:tab w:leader="none" w:pos="158"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June 2021, our vitamin regimen patents for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worldwide. Following the loss of patent exclusivity in major European countries and Japan, we faced, and remain exposed to, generic competition which has eroded revenue and is likely to continue to rapidly and severely erode revenue from current levels. In the U.S., we expect pediatric data exclusivity to provide us with protection through May 2022. However, we and Eagle Pharmaceuticals, Inc. (Eagle) reached an agreement in December 2019 to settle all pending U.S. patent litigation, allowing Eagle a limited initial entry into the market with an alternative form of pemetrexed during the first quarter of 2022 (up to an approximate three-week supply) and subsequent unlimited entry starting April 2022. We expect that the entry of multiple generics in the U.S. following the loss of exclusivity will cause a rapid and severe decline in revenue and will have a material adverse effect on our consolidated results of operations and cash flows. See Note 9 to the consolidated condensed financial statements for a more detailed account of the legal proceedings currently pending regarding, among others, our Alimta patents.</w:t>
      </w:r>
    </w:p>
    <w:p>
      <w:pPr>
        <w:spacing w:after="0" w:line="8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Our compound patent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has a similar version of insulin lispro in the U.S. and in certain European markets. While it is difficult to estimate the severity of the impact of insulin lispro products entering the market, we do not expect and have not experienced a rapid and severe decline in revenue; however, we expect additional pricing pressure and some loss of market share that may continue over time.</w:t>
      </w:r>
    </w:p>
    <w:p>
      <w:pPr>
        <w:spacing w:after="0" w:line="82"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Our formulation and use patents for 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have expired in major markets. We expect further decline in revenue as a result of the entry of generic and biosimilar competition due to the loss of patent exclusivity in major markets.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Foreign Currency Exchange Rates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operating expenses. While there is uncertainty in the future movements in foreign exchange rates, fluctuations in these rates could adversely impact our future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Trends Affecting Pharmaceutical Pricing, Reimbursement, and Access</w:t>
      </w:r>
    </w:p>
    <w:p>
      <w:pPr>
        <w:spacing w:after="0" w:line="11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Global concern over access to and affordability of pharmaceutical products continues to drive regulatory and legislative debate, as well as worldwide cost containment efforts by governmental authorities. Such measures may include the use of mandated discounts, price reporting requirements, mandated reference prices, restrictive formularies, changes to available intellectual property protections, as well as other efforts. In addition, consolidation of private payors in the U.S. has significantly impacted the market for pharmaceuticals by increasing payor leverage in negotiating manufacturer price concessions and pharmacy reimbursement rates. Furthermore, restrictive or unfavorable pricing, coverage, or reimbursement determinations for our medicines or product candidates by governments, regulatory agencies, or private payers, such as the Centers for Medicare &amp; Medicaid Services' recently released National Coverage Determination for monoclonal antibodies for the treatment of Alzheimer's Disease, may adversely impact our business and financial results. We expect that these actions may intensify and could particularly affect certain products, such as insulin, as governments manage and emerge from the COVID-19 pandemic, which could adversely affect our business. In addition, we are engaged in litigation and investigations related to our 340B program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evolving regulatory priorities have intensified governmental scrutiny of our operations and our industry, including with respect to current Good Manufacturing Practices, quality assurance, and similar regulations, and increased focus on business combinations in our industry. Any regulatory issues concerning these matters could lead to regulatory and legal actions, product recalls and seizures, fines and penalties, interruption of production leading to product shortages, import bans or denials of import certifications, delays or denials in the approvals of new products or supplemental approvals of current products pending resolution of the issues, impediments to the completion of business combinations, and reputational harm, any of which would adversely affect our business.</w:t>
      </w:r>
    </w:p>
    <w:p>
      <w:pPr>
        <w:spacing w:after="0" w:line="74" w:lineRule="exact"/>
        <w:rPr>
          <w:sz w:val="20"/>
          <w:szCs w:val="20"/>
          <w:color w:val="auto"/>
        </w:rPr>
      </w:pPr>
    </w:p>
    <w:p>
      <w:pPr>
        <w:ind w:right="10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"Business - Regulations and Private Payer Actions Affecting Pharmaceutical Pricing, Reimbursement, and Access" in Part I,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See also Note 9 to the consolidated condensed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In 2017, the U.S. enacted the Tax Cuts and Jobs Act (the 2017 Tax Act), which contains a provision that requires capitalization and amortization of research and development expenses for tax purposes starting in 2022. Previously, these expenses could be deducted in the year incurred. The implementation of this provision is expected to increase our 2022 cash payments of income taxes by up to $1.50 billion and subsequently decrease our cash payments of income taxes moderately over the five-year amortization period. For the three months ended March 31, 2022, the implementation of this provision favorably impacted other tax items that decreased our effective tax rate by approximately 4 percentage points. If this provision of the 2017 Tax Act is deferred or repealed by Congress effective for 2022, we expect our effective tax rate to be approximately 13 percent to 14 percent for 2022.</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U.S. and countries around the world are actively considering and enacting tax law changes. Tax proposals introduced by Congress and the U.S. presidential administration contain significant changes, including increases to the tax rates at which both domestic and foreign income of U.S. companies would be taxed. In addition, tax authorities in the U.S. and other jurisdictions in which we do business routinely examine our tax returns and are intensifying their scrutiny and examinations of profit allocations among jurisdictions, which could adversely impact our future consolidated results of operations and cash flows. Further, actions taken with respect to tax-related matters by associations such as the Organisation for Economic Co-operation and Development and the European Commission could influence tax laws in countries in which we operate.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Acquisitions</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opportunistically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our pipeline and strengthen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further discussion regarding our recent acquisitions.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1"/>
                <w:szCs w:val="11"/>
                <w:color w:val="auto"/>
              </w:rPr>
            </w:pPr>
          </w:p>
        </w:tc>
        <w:tc>
          <w:tcPr>
            <w:tcW w:w="1220" w:type="dxa"/>
            <w:vAlign w:val="bottom"/>
          </w:tcPr>
          <w:p>
            <w:pPr>
              <w:ind w:left="400"/>
              <w:spacing w:after="0" w:line="13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6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5,174.6</w:t>
            </w:r>
          </w:p>
        </w:tc>
        <w:tc>
          <w:tcPr>
            <w:tcW w:w="12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3,941.3</w:t>
            </w:r>
          </w:p>
        </w:tc>
        <w:tc>
          <w:tcPr>
            <w:tcW w:w="12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1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2,635.4</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2,864.3</w:t>
            </w:r>
          </w:p>
        </w:tc>
        <w:tc>
          <w:tcPr>
            <w:tcW w:w="12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7,810.0</w:t>
            </w:r>
          </w:p>
        </w:tc>
        <w:tc>
          <w:tcPr>
            <w:tcW w:w="12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6,805.6</w:t>
            </w:r>
          </w:p>
        </w:tc>
        <w:tc>
          <w:tcPr>
            <w:tcW w:w="122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92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rPr>
              <w:t>Three Months Ended March 31,</w:t>
            </w:r>
          </w:p>
        </w:tc>
        <w:tc>
          <w:tcPr>
            <w:tcW w:w="166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rPr>
              <w:t>2022 vs. 2021</w:t>
            </w:r>
          </w:p>
        </w:tc>
        <w:tc>
          <w:tcPr>
            <w:tcW w:w="1660" w:type="dxa"/>
            <w:vAlign w:val="bottom"/>
            <w:tcBorders>
              <w:bottom w:val="single" w:sz="8" w:color="auto"/>
            </w:tcBorders>
          </w:tcPr>
          <w:p>
            <w:pPr>
              <w:spacing w:after="0"/>
              <w:rPr>
                <w:sz w:val="17"/>
                <w:szCs w:val="17"/>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U.S.</w:t>
            </w:r>
          </w:p>
        </w:tc>
        <w:tc>
          <w:tcPr>
            <w:tcW w:w="9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516"/>
              <w:spacing w:after="0"/>
              <w:rPr>
                <w:sz w:val="20"/>
                <w:szCs w:val="20"/>
                <w:color w:val="auto"/>
              </w:rPr>
            </w:pPr>
            <w:r>
              <w:rPr>
                <w:rFonts w:ascii="Arial" w:cs="Arial" w:eastAsia="Arial" w:hAnsi="Arial"/>
                <w:sz w:val="14"/>
                <w:szCs w:val="14"/>
                <w:b w:val="1"/>
                <w:bCs w:val="1"/>
                <w:color w:val="auto"/>
              </w:rPr>
              <w:t>Outside U.S.</w:t>
            </w:r>
          </w:p>
        </w:tc>
        <w:tc>
          <w:tcPr>
            <w:tcW w:w="16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32 %</w:t>
            </w:r>
          </w:p>
        </w:tc>
        <w:tc>
          <w:tcPr>
            <w:tcW w:w="20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(1)</w:t>
            </w:r>
          </w:p>
        </w:tc>
        <w:tc>
          <w:tcPr>
            <w:tcW w:w="2020" w:type="dxa"/>
            <w:vAlign w:val="bottom"/>
          </w:tcPr>
          <w:p>
            <w:pPr>
              <w:jc w:val="right"/>
              <w:ind w:right="436"/>
              <w:spacing w:after="0"/>
              <w:rPr>
                <w:sz w:val="20"/>
                <w:szCs w:val="20"/>
                <w:color w:val="auto"/>
              </w:rPr>
            </w:pPr>
            <w:r>
              <w:rPr>
                <w:rFonts w:ascii="Arial" w:cs="Arial" w:eastAsia="Arial" w:hAnsi="Arial"/>
                <w:sz w:val="18"/>
                <w:szCs w:val="18"/>
                <w:color w:val="auto"/>
              </w:rPr>
              <w:t>(7)</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(3)</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rPr>
              <w:t>(5)</w:t>
            </w:r>
          </w:p>
        </w:tc>
        <w:tc>
          <w:tcPr>
            <w:tcW w:w="16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1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31 %</w:t>
            </w:r>
          </w:p>
        </w:tc>
        <w:tc>
          <w:tcPr>
            <w:tcW w:w="20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(8)%</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10" w:lineRule="exact"/>
        <w:rPr>
          <w:sz w:val="20"/>
          <w:szCs w:val="20"/>
          <w:color w:val="auto"/>
        </w:rPr>
      </w:pPr>
    </w:p>
    <w:p>
      <w:pPr>
        <w:ind w:right="500"/>
        <w:spacing w:after="0" w:line="232" w:lineRule="auto"/>
        <w:rPr>
          <w:sz w:val="20"/>
          <w:szCs w:val="20"/>
          <w:color w:val="auto"/>
        </w:rPr>
      </w:pPr>
      <w:r>
        <w:rPr>
          <w:rFonts w:ascii="Arial" w:cs="Arial" w:eastAsia="Arial" w:hAnsi="Arial"/>
          <w:sz w:val="18"/>
          <w:szCs w:val="18"/>
          <w:color w:val="auto"/>
        </w:rPr>
        <w:t>In the U.S. for the three months ended March 31, 2022, the increase in volume was primarily driven by COVID-19 antibodies, Trulicity</w:t>
      </w:r>
      <w:r>
        <w:rPr>
          <w:rFonts w:ascii="Arial" w:cs="Arial" w:eastAsia="Arial" w:hAnsi="Arial"/>
          <w:sz w:val="23"/>
          <w:szCs w:val="23"/>
          <w:color w:val="auto"/>
          <w:vertAlign w:val="superscript"/>
        </w:rPr>
        <w:t>®</w:t>
      </w:r>
      <w:r>
        <w:rPr>
          <w:rFonts w:ascii="Arial" w:cs="Arial" w:eastAsia="Arial" w:hAnsi="Arial"/>
          <w:sz w:val="18"/>
          <w:szCs w:val="18"/>
          <w:color w:val="auto"/>
        </w:rPr>
        <w:t>, Verzenio, and Jardiance.</w:t>
      </w:r>
    </w:p>
    <w:p>
      <w:pPr>
        <w:spacing w:after="0" w:line="8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Outside the U.S. for the three months ended March 31, 2022, the increase in volume was largely driven by Trulicity, Verzenio, Tyvyt</w:t>
      </w:r>
      <w:r>
        <w:rPr>
          <w:rFonts w:ascii="Arial" w:cs="Arial" w:eastAsia="Arial" w:hAnsi="Arial"/>
          <w:sz w:val="23"/>
          <w:szCs w:val="23"/>
          <w:color w:val="auto"/>
          <w:vertAlign w:val="superscript"/>
        </w:rPr>
        <w:t>®</w:t>
      </w:r>
      <w:r>
        <w:rPr>
          <w:rFonts w:ascii="Arial" w:cs="Arial" w:eastAsia="Arial" w:hAnsi="Arial"/>
          <w:sz w:val="18"/>
          <w:szCs w:val="18"/>
          <w:color w:val="auto"/>
        </w:rPr>
        <w:t>, Taltz</w:t>
      </w:r>
      <w:r>
        <w:rPr>
          <w:rFonts w:ascii="Arial" w:cs="Arial" w:eastAsia="Arial" w:hAnsi="Arial"/>
          <w:sz w:val="23"/>
          <w:szCs w:val="23"/>
          <w:color w:val="auto"/>
          <w:vertAlign w:val="superscript"/>
        </w:rPr>
        <w:t>®</w:t>
      </w:r>
      <w:r>
        <w:rPr>
          <w:rFonts w:ascii="Arial" w:cs="Arial" w:eastAsia="Arial" w:hAnsi="Arial"/>
          <w:sz w:val="18"/>
          <w:szCs w:val="18"/>
          <w:color w:val="auto"/>
        </w:rPr>
        <w:t>, and Jardiance, as well as sales of our rights to Cialis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Taiwan and Saudi Arabia. This increase in volume outside the U.S. for the three months ended March 31, 2022 was partially offset by decreased volume for Alimta and Cymbalta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resulting from the entry of generic competition, as well as decreased volume for COVID-19 antibodies. Outside the U.S. for the three months ended March 31, 2022, the decrease in realized prices was primarily driven by the impact of the National Reimbursement Drug List formulary for certain products in China, particularly Tyvyt.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table summarizes our revenue activity by product for the three months ended March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420" w:type="dxa"/>
            <w:vAlign w:val="bottom"/>
          </w:tcPr>
          <w:p>
            <w:pPr>
              <w:spacing w:after="0"/>
              <w:rPr>
                <w:sz w:val="17"/>
                <w:szCs w:val="17"/>
                <w:color w:val="auto"/>
              </w:rPr>
            </w:pPr>
          </w:p>
        </w:tc>
      </w:tr>
      <w:tr>
        <w:trPr>
          <w:trHeight w:val="34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1,313.9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427.4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20</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COVID-19 antibodies</w:t>
            </w:r>
            <w:r>
              <w:rPr>
                <w:rFonts w:ascii="Arial" w:cs="Arial" w:eastAsia="Arial" w:hAnsi="Arial"/>
                <w:sz w:val="23"/>
                <w:szCs w:val="23"/>
                <w:b w:val="1"/>
                <w:bCs w:val="1"/>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1,455.2</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14.7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1,469.8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810.1</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81</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368.9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249.3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307.2</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180.8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403.2</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21</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301.5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74</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229.8</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189.7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312.0</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34</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254.3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89.7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(38)</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190.4</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82.8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321.7</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(15)</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32</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79.2</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151.1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240.5</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Cialis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210.8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72</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119.3</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72.2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246.6</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(22)</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41.0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Forteo</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70.2</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67.3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(31)</w:t>
            </w: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9.6</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83.5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95.8</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(3)</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85.5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(22)</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Cymbalta</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9.1</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71.9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176.6</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(54)</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169.8</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252.5</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5,174.6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2,635.4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7,810.0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6,805.6</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 w:lineRule="exact"/>
        <w:rPr>
          <w:sz w:val="20"/>
          <w:szCs w:val="20"/>
          <w:color w:val="auto"/>
        </w:rPr>
      </w:pPr>
    </w:p>
    <w:p>
      <w:pPr>
        <w:ind w:left="180" w:right="300" w:hanging="172"/>
        <w:spacing w:after="0" w:line="261" w:lineRule="auto"/>
        <w:tabs>
          <w:tab w:leader="none" w:pos="158" w:val="left"/>
        </w:tabs>
        <w:numPr>
          <w:ilvl w:val="0"/>
          <w:numId w:val="18"/>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EUAs or similar regulatory authorizations.</w:t>
      </w:r>
    </w:p>
    <w:p>
      <w:pPr>
        <w:ind w:left="140" w:hanging="132"/>
        <w:spacing w:after="0" w:line="228" w:lineRule="auto"/>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40" w:hanging="132"/>
        <w:spacing w:after="0" w:line="211" w:lineRule="auto"/>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Olumiant revenue includes sales for baricitinib, for treatment in hospitalized COVID-19 patients, that were made pursuant to EUA or similar regulatory authorizations.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or multiple cardiovascular risk factors, increased 18 percent in the U.S. during the three months ended March 31, 2022, driven by increased demand, partially offset by lower realized prices as well as wholesale and retail buying patterns. Revenue outside the U.S. increased 27 percent during the three months ended March 31, 2022, driven by increased volume, partially offset by the unfavorable impact of foreign exchange rates and, to a lesser extent, lower realized prices.</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 of COVID-19 antibodies, treatments for mild to moderate COVID-19 for higher-risk patients and for post-exposure prophylaxis in certain individuals for the prevention of SARS-CoV-2 infection, was $ 1.46 billion in the U.S. during the three months ended March 31, 2022. Revenue outside the U.S. was $14.7 million during the three months ended March 31, 2022. The availability of superior or competitive therapies, including therapies that can be administered more easily, or preventative measures, such as vaccines, coupled with the unpredictable nature of pandemics, have and could further negatively impact or eliminate demand for these COVID-19 antibodies. The FDA has revised, and may in the future revise, any EUA for our COVID-19 antibodies in response to the prevalence of variants against which our antibodies have varying degrees of efficacy. Our agreement with the U.S. government includes an option to supply up to 500,000 doses of bebtelovimab no later than July 31, 2022, but it is uncertain whether the option will be exercised. In general, we expect additional revenue from sales of our COVID-19 antibodies will be limited beginning with the second quarter of 2022.</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42" w:name="page43"/>
    <w:bookmarkEnd w:id="42"/>
    <w:p>
      <w:pPr>
        <w:jc w:val="both"/>
        <w:ind w:right="400"/>
        <w:spacing w:after="0" w:line="272" w:lineRule="auto"/>
        <w:rPr>
          <w:sz w:val="20"/>
          <w:szCs w:val="20"/>
          <w:color w:val="auto"/>
        </w:rPr>
      </w:pPr>
      <w:r>
        <w:rPr>
          <w:rFonts w:ascii="Arial" w:cs="Arial" w:eastAsia="Arial" w:hAnsi="Arial"/>
          <w:sz w:val="17"/>
          <w:szCs w:val="17"/>
          <w:color w:val="auto"/>
        </w:rPr>
        <w:t>Revenue of Humalog, an injectable human insulin analog for the treatment of diabetes, increased 11 percent in the U.S. during the three months ended March 31, 2022, primarily driven by higher realized prices due to changes to estimates for rebates and discounts in both periods and, to a lesser extent, increased demand. Revenue outside the U.S. decreased 12 percent during the three months ended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March 31, 2022, driven by decreased volume, the unfavorable impact of foreign exchange rates and, to a lesser extent, lower realized prices. While it is difficult to estimate the severity of the impact of insulin lispro products entering the market, we do not expect and have not experienced a rapid and severe decline in revenue. However, due to the impact of competition and due to pricing pressure in the U.S. and some international markets, we expect some realized price decline and loss of market share to continue over time.</w:t>
      </w:r>
    </w:p>
    <w:p>
      <w:pPr>
        <w:spacing w:after="0" w:line="7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Revenue of Taltz, a treatment for moderate-to-severe plaque psoriasis, active psoriatic arthritis, ankylosing spondylitis, and active non-radiographic axial spondyloarthritis, increased 23 percent in the U.S. during the three months ended March 31, 2022, driven by increased demand and higher realized prices due to segment mix, partially offset by specialty pharmacy buying patterns. Revenue outside the U.S. increased 18 percent during the three months ended March 31, 2022, driven by increased volume, partially offset by lower realized prices and the unfavorable impact of foreign exchange rates.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 of Verzenio, a treatment for HR+, HER2- metastatic breast cancer and high risk early breast cancer, increased 74 percent in the U.S. during the three months ended March 31, 2022, primarily driven by increased demand. Revenue outside the U.S. increased 74 percent during the three months ended March 31, 2022, largely driven by increased volume, partially offset by the unfavorable impact of foreign exchange rates.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Revenue of Jardiance, a treatment for type 2 diabetes, to reduce the risk of cardiovascular death in adult patients with type 2 diabetes and established cardiovascular disease, and to reduce the risk of cardiovascular death and hospitalization for heart failure in adults with heart failure, regardless of left ventricular ejection fraction, increased 52 percent in the U.S. during the three months ended March 31, 2022, primarily driven by increased demand. Revenue outside the U.S. increased 18 percent during the three months ended March 31, 2022, driven by increased volume, partially offset by the unfavorable impact of foreign exchange rates. See Note 4 to the consolidated condensed financial statements for information regarding our collaboration with Boehringer Ingelheim involving Jardiance.</w:t>
      </w:r>
    </w:p>
    <w:p>
      <w:pPr>
        <w:spacing w:after="0" w:line="7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 of Alimta, a treatment for various cancers, decreased 3 percent in the U.S. during the three months ended March 31, 2022, driven by decreased volume, partially offset by higher realized prices. Revenue outside the U.S. decreased 70 percent during the three months ended March 31, 2022, largely driven by decreased volume due to entry of generic competition in certain major markets and, to a lesser extent, lower realized prices. Following the loss of exclusivity in major European countries and Japan in June 2021, we faced, and remain exposed to, generic competition which has eroded revenue and is likely to continue to rapidly and severely erode revenue from current levels. In the U.S., an alternative form of pemetrexed launched during the first quarter of 2022, and we expect multiple generics to launch in the second quarter of 2022, causing a rapid and severe decline in revenue. See "Executive Overview - Other Matters- Patent Matters"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Gross margin as a percent of revenue was 73.5 percent for the three months ended March 31, 2022, an increase of 1.1 percentage points compared with the three months ended March 31, 2021, primarily driven by an unfavorable effect in the three months ended March 31, 2021 of foreign exchange rates on international inventories sold, partially offset by increased sales of COVID-19 antibodies and, to a lesser extent, lower realized prices.</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Research and development expenses decreased 4 percent to $ 1.61 billion for the three months ended March 31, 2022, largely driven by lower development expenses for COVID-19 antibodies, partially offset by higher development expenses for late-stage assets.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Marketing, selling, and administrative expenses decreased 1 percent to $1.56 billion for the three months ended March 31, 2022.</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recognized $165.6 million of acquired IPR&amp;D and development milestones for the three months ended March 31, 2022, primarily related to a purchase of a Priority Review Voucher. We recognized $312.0 million of acquired IPR&amp;D and development milestones for the three months ended March 31, 2021, primarily related to acquired IPR&amp;D charges from business development transactions with Rigel and Precision. See Note 3 to the consolidated condensed financial statements for additional information.</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There were no asset impairment, restructuring, and other special charges recognized for the three months ended March 31, 2022. We recognized asset impairment, restructuring, and other special charges of $211.6 million for the three months ended March 31, 2021, largely related to an intangible asset impairment resulting from the sale of the rights to Qbrexza, as well as acquisition and integration costs associated with the acquisition of Prevail.</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Other–net, (income) expense was expense of $350.7 million for the three months ended March 31, 2022, primarily driven by net investment losses on equity securities. Other–net, (income) expense was income of $321.1 million for the three months ended March 31, 2021, primarily driven by net investment gains on equity securities.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effective tax rate was 7.3 percent for the three months ended March 31, 2022, compared with 8.2 percent for the three months ended March 31, 2021. The lower effective tax rate for the three months ended March 31, 2022 was largely driven by decreased tax expense related to net investment losses on equity securities compared to net investment gains on equity securities for the three months ended March 31, 2021 and decreased tax expense related to the implementation of the provision in the 2017 Tax Act that requires capitalization and amortization of research and development expenses for tax purposes starting in 2022, partially offset by a lower net discrete tax benefit compared to the three months ended March 31, 2021. If this provision of the 2017 Tax Act is deferred or repealed by Congress effective for 2022, we expect our effective tax rate to be approximately 13 percent to 14 percent for 2022.</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17" w:lineRule="exact"/>
        <w:rPr>
          <w:sz w:val="20"/>
          <w:szCs w:val="20"/>
          <w:color w:val="auto"/>
        </w:rPr>
      </w:pPr>
    </w:p>
    <w:p>
      <w:pPr>
        <w:ind w:right="14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2021.</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and cash equivalents decreased to $ 2.46 billion as of March 31, 2022, compared with $3.82 billion as of December 31, 2021. Refer to the consolidated condensed statements of cash flows for additional information on the significant sources and uses of cash for the three months ended March 31, 2022 and 2021.</w:t>
      </w:r>
    </w:p>
    <w:p>
      <w:pPr>
        <w:spacing w:after="0" w:line="6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$2.84 billion and $3.30 billion as of March 31, 2022 and December 31, 2021, respectively. See Note 6 to the consolidated condensed financial statements for additional information.</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31, 2022, total debt was $ 16.51 billion, a decrease of $375.9 million compared with $16.88 billion as of December 31, 2021. See Note 6 to the consolidated condensed financial statements for additional information.</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March 31, 2022, we had a total of $5.26 billion of unused committed bank credit facilities, $5.00 billion of which is available to support our commercial paper program. We believe that amounts accessible through existing commercial paper markets should be adequate to fund short-term borrowing needs.</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During the three months ended March 31, 2022, we repurchased $1.50 billion of shares under our $5.00 billion share repurchase program authorized in May 2021. As of March 31, 2022, we had $3.25 billion remaining under this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we paid dividends of $885.5 million, or $0.98 per share, to our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fluctuations in interest rates, foreign currency exchange rates (see "Executive Overview - Other Matters - Foreign Currency Exchange Rates"), and fair values of equity securities.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69" w:lineRule="exact"/>
        <w:rPr>
          <w:sz w:val="20"/>
          <w:szCs w:val="20"/>
          <w:color w:val="auto"/>
        </w:rPr>
      </w:pPr>
    </w:p>
    <w:p>
      <w:pPr>
        <w:ind w:left="660" w:hanging="652"/>
        <w:spacing w:after="0" w:line="257"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Securities and Exchange Commission (SEC)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4" w:lineRule="exact"/>
        <w:rPr>
          <w:rFonts w:ascii="Arial" w:cs="Arial" w:eastAsia="Arial" w:hAnsi="Arial"/>
          <w:sz w:val="18"/>
          <w:szCs w:val="18"/>
          <w:color w:val="auto"/>
        </w:rPr>
      </w:pPr>
    </w:p>
    <w:p>
      <w:pPr>
        <w:ind w:left="660" w:right="2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A. Ricks, president and chief executive officer, and Anat Ashkenazi, senior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as of March 31, 2022, and concluded that they were effective.</w:t>
      </w:r>
    </w:p>
    <w:p>
      <w:pPr>
        <w:spacing w:after="0" w:line="44" w:lineRule="exact"/>
        <w:rPr>
          <w:rFonts w:ascii="Arial" w:cs="Arial" w:eastAsia="Arial" w:hAnsi="Arial"/>
          <w:sz w:val="17"/>
          <w:szCs w:val="17"/>
          <w:color w:val="auto"/>
        </w:rPr>
      </w:pPr>
    </w:p>
    <w:p>
      <w:pPr>
        <w:ind w:left="660" w:right="100" w:hanging="652"/>
        <w:spacing w:after="0" w:line="287"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first quarter of 2022,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2" w:right="479" w:bottom="1440" w:gutter="0" w:footer="0" w:header="0"/>
        </w:sectPr>
      </w:pPr>
    </w:p>
    <w:bookmarkStart w:id="46" w:name="page47"/>
    <w:bookmarkEnd w:id="46"/>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99" w:lineRule="exact"/>
        <w:rPr>
          <w:sz w:val="20"/>
          <w:szCs w:val="20"/>
          <w:color w:val="auto"/>
        </w:rPr>
      </w:pPr>
    </w:p>
    <w:p>
      <w:pPr>
        <w:ind w:right="40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1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2021.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Information relating to the principal market for our common stock and related shareholder matters is described in "Management's Discussion and Analysis of Results of Operations and Financial Condition" in Part II, Item 7 and in "Security Ownership of Certain Beneficial Owners and Management and Related Stockholder Matters" in Part III, Item 12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2022:</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Number of Shares</w:t>
            </w: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Number of</w:t>
            </w:r>
          </w:p>
        </w:tc>
        <w:tc>
          <w:tcPr>
            <w:tcW w:w="1720" w:type="dxa"/>
            <w:vAlign w:val="bottom"/>
          </w:tcPr>
          <w:p>
            <w:pPr>
              <w:spacing w:after="0"/>
              <w:rPr>
                <w:sz w:val="12"/>
                <w:szCs w:val="12"/>
                <w:color w:val="auto"/>
              </w:rPr>
            </w:pPr>
          </w:p>
        </w:tc>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Purchased as Part of</w:t>
            </w:r>
          </w:p>
        </w:tc>
        <w:tc>
          <w:tcPr>
            <w:tcW w:w="2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7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Average Price Paid</w:t>
            </w:r>
          </w:p>
        </w:tc>
        <w:tc>
          <w:tcPr>
            <w:tcW w:w="2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Publicly Announced</w:t>
            </w:r>
          </w:p>
        </w:tc>
        <w:tc>
          <w:tcPr>
            <w:tcW w:w="2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Shares Purchased</w:t>
            </w:r>
          </w:p>
        </w:tc>
        <w:tc>
          <w:tcPr>
            <w:tcW w:w="1720" w:type="dxa"/>
            <w:vAlign w:val="bottom"/>
            <w:vMerge w:val="continue"/>
          </w:tcPr>
          <w:p>
            <w:pPr>
              <w:spacing w:after="0"/>
              <w:rPr>
                <w:sz w:val="12"/>
                <w:szCs w:val="12"/>
                <w:color w:val="auto"/>
              </w:rPr>
            </w:pPr>
          </w:p>
        </w:tc>
        <w:tc>
          <w:tcPr>
            <w:tcW w:w="25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Plans or Programs</w:t>
            </w: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per Share</w:t>
            </w:r>
          </w:p>
        </w:tc>
        <w:tc>
          <w:tcPr>
            <w:tcW w:w="2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2022</w:t>
            </w:r>
          </w:p>
        </w:tc>
        <w:tc>
          <w:tcPr>
            <w:tcW w:w="20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February 2022</w:t>
            </w:r>
          </w:p>
        </w:tc>
        <w:tc>
          <w:tcPr>
            <w:tcW w:w="1740" w:type="dxa"/>
            <w:vAlign w:val="bottom"/>
          </w:tcPr>
          <w:p>
            <w:pPr>
              <w:jc w:val="right"/>
              <w:spacing w:after="0"/>
              <w:rPr>
                <w:sz w:val="20"/>
                <w:szCs w:val="20"/>
                <w:color w:val="auto"/>
              </w:rPr>
            </w:pPr>
            <w:r>
              <w:rPr>
                <w:rFonts w:ascii="Arial" w:cs="Arial" w:eastAsia="Arial" w:hAnsi="Arial"/>
                <w:sz w:val="18"/>
                <w:szCs w:val="18"/>
                <w:color w:val="auto"/>
              </w:rPr>
              <w:t>3,394</w:t>
            </w:r>
          </w:p>
        </w:tc>
        <w:tc>
          <w:tcPr>
            <w:tcW w:w="280" w:type="dxa"/>
            <w:vAlign w:val="bottom"/>
          </w:tcPr>
          <w:p>
            <w:pPr>
              <w:spacing w:after="0"/>
              <w:rPr>
                <w:sz w:val="19"/>
                <w:szCs w:val="19"/>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261.69</w:t>
            </w:r>
          </w:p>
        </w:tc>
        <w:tc>
          <w:tcPr>
            <w:tcW w:w="2300" w:type="dxa"/>
            <w:vAlign w:val="bottom"/>
          </w:tcPr>
          <w:p>
            <w:pPr>
              <w:jc w:val="right"/>
              <w:spacing w:after="0"/>
              <w:rPr>
                <w:sz w:val="20"/>
                <w:szCs w:val="20"/>
                <w:color w:val="auto"/>
              </w:rPr>
            </w:pPr>
            <w:r>
              <w:rPr>
                <w:rFonts w:ascii="Arial" w:cs="Arial" w:eastAsia="Arial" w:hAnsi="Arial"/>
                <w:sz w:val="18"/>
                <w:szCs w:val="18"/>
                <w:color w:val="auto"/>
              </w:rPr>
              <w:t>3,394</w:t>
            </w:r>
          </w:p>
        </w:tc>
        <w:tc>
          <w:tcPr>
            <w:tcW w:w="240" w:type="dxa"/>
            <w:vAlign w:val="bottom"/>
          </w:tcPr>
          <w:p>
            <w:pPr>
              <w:spacing w:after="0"/>
              <w:rPr>
                <w:sz w:val="19"/>
                <w:szCs w:val="19"/>
                <w:color w:val="auto"/>
              </w:rPr>
            </w:pP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3,861.9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276.52</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280" w:type="dxa"/>
            <w:vAlign w:val="bottom"/>
          </w:tcPr>
          <w:p>
            <w:pPr>
              <w:spacing w:after="0"/>
              <w:rPr>
                <w:sz w:val="20"/>
                <w:szCs w:val="20"/>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267.54</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During the three months ended March 31, 2022, we repurchased $1.50 billion of shares under our $5.00 billion share repurchase program authorized in May 2021.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64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8640" w:type="dxa"/>
            <w:vAlign w:val="bottom"/>
            <w:gridSpan w:val="9"/>
          </w:tcPr>
          <w:p>
            <w:pPr>
              <w:spacing w:after="0"/>
              <w:rPr>
                <w:rFonts w:ascii="Arial" w:cs="Arial" w:eastAsia="Arial" w:hAnsi="Arial"/>
                <w:sz w:val="18"/>
                <w:szCs w:val="18"/>
                <w:color w:val="0000FF"/>
              </w:rPr>
            </w:pPr>
            <w:hyperlink r:id="rId76">
              <w:r>
                <w:rPr>
                  <w:rFonts w:ascii="Arial" w:cs="Arial" w:eastAsia="Arial" w:hAnsi="Arial"/>
                  <w:sz w:val="18"/>
                  <w:szCs w:val="18"/>
                  <w:color w:val="0000FF"/>
                </w:rPr>
                <w:t>Amended Articles of Incorporation are incorporated by reference to Exhibit 3.1 to the Company's Annual</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Report on Form 10-K for the year ended December 31, 2013</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640" w:type="dxa"/>
            <w:vAlign w:val="bottom"/>
            <w:gridSpan w:val="9"/>
          </w:tcPr>
          <w:p>
            <w:pPr>
              <w:spacing w:after="0"/>
              <w:rPr>
                <w:rFonts w:ascii="Arial" w:cs="Arial" w:eastAsia="Arial" w:hAnsi="Arial"/>
                <w:sz w:val="18"/>
                <w:szCs w:val="18"/>
                <w:color w:val="0000FF"/>
              </w:rPr>
            </w:pPr>
            <w:hyperlink r:id="rId77">
              <w:r>
                <w:rPr>
                  <w:rFonts w:ascii="Arial" w:cs="Arial" w:eastAsia="Arial" w:hAnsi="Arial"/>
                  <w:sz w:val="18"/>
                  <w:szCs w:val="18"/>
                  <w:color w:val="0000FF"/>
                </w:rPr>
                <w:t>Bylaws, as amended, are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8-K filed on December 16, 2021</w:t>
              </w:r>
            </w:hyperlink>
          </w:p>
        </w:tc>
        <w:tc>
          <w:tcPr>
            <w:tcW w:w="60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8640" w:type="dxa"/>
            <w:vAlign w:val="bottom"/>
            <w:gridSpan w:val="9"/>
          </w:tcPr>
          <w:p>
            <w:pPr>
              <w:spacing w:after="0"/>
              <w:rPr>
                <w:sz w:val="20"/>
                <w:szCs w:val="20"/>
                <w:color w:val="auto"/>
              </w:rPr>
            </w:pPr>
            <w:r>
              <w:rPr>
                <w:rFonts w:ascii="Arial" w:cs="Arial" w:eastAsia="Arial" w:hAnsi="Arial"/>
                <w:sz w:val="18"/>
                <w:szCs w:val="18"/>
                <w:color w:val="0000FF"/>
              </w:rPr>
              <w:t>Rule 13a-14(a) Certification of David A. Ricks, Chair, President, and Chief Executive Officer</w:t>
            </w:r>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48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77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Anat Ashkenazi, Senior Vice President and Chief Financial Officer</w:t>
            </w:r>
          </w:p>
        </w:tc>
        <w:tc>
          <w:tcPr>
            <w:tcW w:w="940" w:type="dxa"/>
            <w:vAlign w:val="bottom"/>
            <w:gridSpan w:val="3"/>
          </w:tcPr>
          <w:p>
            <w:pPr>
              <w:spacing w:after="0"/>
              <w:rPr>
                <w:sz w:val="24"/>
                <w:szCs w:val="24"/>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640" w:type="dxa"/>
            <w:vAlign w:val="bottom"/>
            <w:gridSpan w:val="9"/>
          </w:tcPr>
          <w:p>
            <w:pPr>
              <w:spacing w:after="0"/>
              <w:rPr>
                <w:sz w:val="20"/>
                <w:szCs w:val="20"/>
                <w:color w:val="auto"/>
              </w:rPr>
            </w:pPr>
            <w:r>
              <w:rPr>
                <w:rFonts w:ascii="Arial" w:cs="Arial" w:eastAsia="Arial" w:hAnsi="Arial"/>
                <w:sz w:val="18"/>
                <w:szCs w:val="18"/>
                <w:color w:val="0000FF"/>
              </w:rPr>
              <w:t>Section 1350 Certification</w:t>
            </w:r>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r>
      <w:tr>
        <w:trPr>
          <w:trHeight w:val="524"/>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64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500"/>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864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74" w:lineRule="exact"/>
        <w:rPr>
          <w:sz w:val="20"/>
          <w:szCs w:val="20"/>
          <w:color w:val="auto"/>
        </w:rPr>
      </w:pPr>
    </w:p>
    <w:p>
      <w:pPr>
        <w:ind w:right="120" w:firstLine="8"/>
        <w:spacing w:after="0" w:line="261"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ELI LILLY AND COMPANY</w:t>
            </w:r>
          </w:p>
        </w:tc>
      </w:tr>
      <w:tr>
        <w:trPr>
          <w:trHeight w:val="254"/>
        </w:trPr>
        <w:tc>
          <w:tcPr>
            <w:tcW w:w="5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(Registrant)</w:t>
            </w:r>
          </w:p>
        </w:tc>
        <w:tc>
          <w:tcPr>
            <w:tcW w:w="6560" w:type="dxa"/>
            <w:vAlign w:val="bottom"/>
          </w:tcPr>
          <w:p>
            <w:pPr>
              <w:spacing w:after="0"/>
              <w:rPr>
                <w:sz w:val="22"/>
                <w:szCs w:val="22"/>
                <w:color w:val="auto"/>
              </w:rPr>
            </w:pPr>
          </w:p>
        </w:tc>
      </w:tr>
      <w:tr>
        <w:trPr>
          <w:trHeight w:val="49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Pr>
          <w:p>
            <w:pPr>
              <w:ind w:left="120"/>
              <w:spacing w:after="0"/>
              <w:rPr>
                <w:sz w:val="20"/>
                <w:szCs w:val="20"/>
                <w:color w:val="auto"/>
              </w:rPr>
            </w:pPr>
            <w:r>
              <w:rPr>
                <w:rFonts w:ascii="Arial" w:cs="Arial" w:eastAsia="Arial" w:hAnsi="Arial"/>
                <w:sz w:val="18"/>
                <w:szCs w:val="18"/>
                <w:color w:val="auto"/>
              </w:rPr>
              <w:t>April 29, 2022</w:t>
            </w:r>
          </w:p>
        </w:tc>
        <w:tc>
          <w:tcPr>
            <w:tcW w:w="8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Anat Ashkenazi</w:t>
            </w:r>
          </w:p>
        </w:tc>
      </w:tr>
      <w:tr>
        <w:trPr>
          <w:trHeight w:val="218"/>
        </w:trPr>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Anat Ashkenazi</w:t>
            </w:r>
          </w:p>
        </w:tc>
      </w:tr>
      <w:tr>
        <w:trPr>
          <w:trHeight w:val="230"/>
        </w:trPr>
        <w:tc>
          <w:tcPr>
            <w:tcW w:w="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Pr>
          <w:p>
            <w:pPr>
              <w:ind w:left="120"/>
              <w:spacing w:after="0"/>
              <w:rPr>
                <w:sz w:val="20"/>
                <w:szCs w:val="20"/>
                <w:color w:val="auto"/>
              </w:rPr>
            </w:pPr>
            <w:r>
              <w:rPr>
                <w:rFonts w:ascii="Arial" w:cs="Arial" w:eastAsia="Arial" w:hAnsi="Arial"/>
                <w:sz w:val="18"/>
                <w:szCs w:val="18"/>
                <w:color w:val="auto"/>
              </w:rPr>
              <w:t>April 29, 2022</w:t>
            </w:r>
          </w:p>
        </w:tc>
        <w:tc>
          <w:tcPr>
            <w:tcW w:w="8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Donald A. Zakrowski</w:t>
            </w:r>
          </w:p>
        </w:tc>
      </w:tr>
      <w:tr>
        <w:trPr>
          <w:trHeight w:val="218"/>
        </w:trPr>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Donald A. Zakrowski</w:t>
            </w:r>
          </w:p>
        </w:tc>
      </w:tr>
      <w:tr>
        <w:trPr>
          <w:trHeight w:val="239"/>
        </w:trPr>
        <w:tc>
          <w:tcPr>
            <w:tcW w:w="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720" w:type="dxa"/>
            <w:vAlign w:val="bottom"/>
            <w:gridSpan w:val="2"/>
          </w:tcPr>
          <w:p>
            <w:pPr>
              <w:ind w:left="20"/>
              <w:spacing w:after="0"/>
              <w:rPr>
                <w:sz w:val="20"/>
                <w:szCs w:val="20"/>
                <w:color w:val="auto"/>
              </w:rPr>
            </w:pPr>
            <w:r>
              <w:rPr>
                <w:rFonts w:ascii="Arial" w:cs="Arial" w:eastAsia="Arial" w:hAnsi="Arial"/>
                <w:sz w:val="18"/>
                <w:szCs w:val="18"/>
                <w:color w:val="auto"/>
              </w:rPr>
              <w:t>Vice President, Finance, and Chief Accounting Officer</w:t>
            </w:r>
          </w:p>
        </w:tc>
      </w:tr>
      <w:tr>
        <w:trPr>
          <w:trHeight w:val="864"/>
        </w:trPr>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720" w:type="dxa"/>
            <w:vAlign w:val="bottom"/>
            <w:gridSpan w:val="2"/>
          </w:tcPr>
          <w:p>
            <w:pPr>
              <w:ind w:left="302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220"/>
          </w:cols>
          <w:pgMar w:left="320" w:top="1000"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EXHIBIT 31.1 Rule 13a-14(a) Certification of David A. Ricks, Chair, President, and Chief Executive Officer</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00" w:hanging="324"/>
        <w:spacing w:after="0" w:line="268"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40" w:hanging="324"/>
        <w:spacing w:after="0" w:line="268"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April 29, 2022</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A. Ricks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A. Ricks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114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31.2 Rule 13a-14(a) Certification of Anat Ashkenazi, Senior Vice President and Chief Financial Officer</w:t>
      </w:r>
    </w:p>
    <w:p>
      <w:pPr>
        <w:spacing w:after="0" w:line="252" w:lineRule="exact"/>
        <w:rPr>
          <w:sz w:val="20"/>
          <w:szCs w:val="20"/>
          <w:color w:val="auto"/>
        </w:rPr>
      </w:pPr>
    </w:p>
    <w:p>
      <w:pPr>
        <w:jc w:val="right"/>
        <w:ind w:right="4840"/>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jc w:val="right"/>
        <w:ind w:right="4840"/>
        <w:spacing w:after="0"/>
        <w:rPr>
          <w:sz w:val="20"/>
          <w:szCs w:val="20"/>
          <w:color w:val="auto"/>
        </w:rPr>
      </w:pPr>
      <w:r>
        <w:rPr>
          <w:rFonts w:ascii="Arial" w:cs="Arial" w:eastAsia="Arial" w:hAnsi="Arial"/>
          <w:sz w:val="17"/>
          <w:szCs w:val="17"/>
          <w:color w:val="auto"/>
        </w:rPr>
        <w:t>I, Anat Ashkenazi, Senior Vice President and Chief Financial Officer, certify that:</w:t>
      </w:r>
    </w:p>
    <w:p>
      <w:pPr>
        <w:spacing w:after="0" w:line="18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00" w:hanging="324"/>
        <w:spacing w:after="0" w:line="268"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40" w:hanging="324"/>
        <w:spacing w:after="0" w:line="268"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April 29, 2022</w:t>
            </w:r>
          </w:p>
        </w:tc>
      </w:tr>
      <w:tr>
        <w:trPr>
          <w:trHeight w:val="49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Anat Ashkenazi</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Anat Ashkenazi</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20"/>
          </w:cols>
          <w:pgMar w:left="320" w:top="114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Quarterly Report on Form 10-Q for the quarter ended March 31, 2022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April 29, 2022</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David A. Ricks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A. Ricks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April 29, 2022</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Anat Ashkenazi</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Anat Ashkenazi</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Letter"/>
      <w:start w:val="3"/>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Roman"/>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15" Type="http://schemas.openxmlformats.org/officeDocument/2006/relationships/hyperlink" Target="https://www.sec.gov/Archives/edgar/data/0000059478/000005947822000068/lly-20211231.htm" TargetMode="External"/><Relationship Id="rId76" Type="http://schemas.openxmlformats.org/officeDocument/2006/relationships/hyperlink" Target="http://www.sec.gov/Archives/edgar/data/59478/000005947814000078/lly-20131231x10kexhibit31.htm" TargetMode="External"/><Relationship Id="rId77" Type="http://schemas.openxmlformats.org/officeDocument/2006/relationships/hyperlink" Target="https://www.sec.gov/Archives/edgar/data/0000059478/000119312521359144/d24657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2022-04-29T11:05:31Z</dcterms:created>
  <dcterms:modified xsi:type="dcterms:W3CDTF">2022-04-29T11:05:31Z</dcterms:modified>
</cp:coreProperties>
</file>