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Under Section 13 or 15(d) of the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001-6351</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ELI LILLY AND COMPANY</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7"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0" w:type="dxa"/>
            <w:vAlign w:val="bottom"/>
            <w:gridSpan w:val="3"/>
          </w:tcPr>
          <w:p>
            <w:pPr>
              <w:jc w:val="center"/>
              <w:ind w:right="3540"/>
              <w:spacing w:after="0"/>
              <w:rPr>
                <w:sz w:val="20"/>
                <w:szCs w:val="20"/>
                <w:color w:val="auto"/>
              </w:rPr>
            </w:pPr>
            <w:r>
              <w:rPr>
                <w:rFonts w:ascii="Arial" w:cs="Arial" w:eastAsia="Arial" w:hAnsi="Arial"/>
                <w:sz w:val="16"/>
                <w:szCs w:val="16"/>
                <w:color w:val="auto"/>
              </w:rPr>
              <w:t>Indiana</w:t>
            </w:r>
          </w:p>
        </w:tc>
        <w:tc>
          <w:tcPr>
            <w:tcW w:w="3160" w:type="dxa"/>
            <w:vAlign w:val="bottom"/>
          </w:tcPr>
          <w:p>
            <w:pPr>
              <w:jc w:val="center"/>
              <w:ind w:left="246"/>
              <w:spacing w:after="0"/>
              <w:rPr>
                <w:sz w:val="20"/>
                <w:szCs w:val="20"/>
                <w:color w:val="auto"/>
              </w:rPr>
            </w:pPr>
            <w:r>
              <w:rPr>
                <w:rFonts w:ascii="Arial" w:cs="Arial" w:eastAsia="Arial" w:hAnsi="Arial"/>
                <w:sz w:val="16"/>
                <w:szCs w:val="16"/>
                <w:color w:val="auto"/>
              </w:rPr>
              <w:t>35-0470950</w:t>
            </w:r>
          </w:p>
        </w:tc>
      </w:tr>
      <w:tr>
        <w:trPr>
          <w:trHeight w:val="216"/>
        </w:trPr>
        <w:tc>
          <w:tcPr>
            <w:tcW w:w="1280" w:type="dxa"/>
            <w:vAlign w:val="bottom"/>
          </w:tcPr>
          <w:p>
            <w:pPr>
              <w:spacing w:after="0"/>
              <w:rPr>
                <w:sz w:val="18"/>
                <w:szCs w:val="18"/>
                <w:color w:val="auto"/>
              </w:rPr>
            </w:pPr>
          </w:p>
        </w:tc>
        <w:tc>
          <w:tcPr>
            <w:tcW w:w="5480" w:type="dxa"/>
            <w:vAlign w:val="bottom"/>
            <w:gridSpan w:val="4"/>
          </w:tcPr>
          <w:p>
            <w:pPr>
              <w:jc w:val="center"/>
              <w:ind w:right="2660"/>
              <w:spacing w:after="0"/>
              <w:rPr>
                <w:sz w:val="20"/>
                <w:szCs w:val="20"/>
                <w:color w:val="auto"/>
              </w:rPr>
            </w:pPr>
            <w:r>
              <w:rPr>
                <w:rFonts w:ascii="Arial" w:cs="Arial" w:eastAsia="Arial" w:hAnsi="Arial"/>
                <w:sz w:val="16"/>
                <w:szCs w:val="16"/>
                <w:color w:val="auto"/>
              </w:rPr>
              <w:t>(State or other jurisdiction of</w:t>
            </w:r>
          </w:p>
        </w:tc>
        <w:tc>
          <w:tcPr>
            <w:tcW w:w="3160" w:type="dxa"/>
            <w:vAlign w:val="bottom"/>
          </w:tcPr>
          <w:p>
            <w:pPr>
              <w:jc w:val="center"/>
              <w:ind w:left="246"/>
              <w:spacing w:after="0"/>
              <w:rPr>
                <w:sz w:val="20"/>
                <w:szCs w:val="20"/>
                <w:color w:val="auto"/>
              </w:rPr>
            </w:pPr>
            <w:r>
              <w:rPr>
                <w:rFonts w:ascii="Arial" w:cs="Arial" w:eastAsia="Arial" w:hAnsi="Arial"/>
                <w:sz w:val="16"/>
                <w:szCs w:val="16"/>
                <w:color w:val="auto"/>
              </w:rPr>
              <w:t>(I.R.S. Employer</w:t>
            </w:r>
          </w:p>
        </w:tc>
      </w:tr>
      <w:tr>
        <w:trPr>
          <w:trHeight w:val="219"/>
        </w:trPr>
        <w:tc>
          <w:tcPr>
            <w:tcW w:w="1280" w:type="dxa"/>
            <w:vAlign w:val="bottom"/>
          </w:tcPr>
          <w:p>
            <w:pPr>
              <w:spacing w:after="0"/>
              <w:rPr>
                <w:sz w:val="19"/>
                <w:szCs w:val="19"/>
                <w:color w:val="auto"/>
              </w:rPr>
            </w:pPr>
          </w:p>
        </w:tc>
        <w:tc>
          <w:tcPr>
            <w:tcW w:w="5480" w:type="dxa"/>
            <w:vAlign w:val="bottom"/>
            <w:gridSpan w:val="4"/>
          </w:tcPr>
          <w:p>
            <w:pPr>
              <w:jc w:val="center"/>
              <w:ind w:right="2660"/>
              <w:spacing w:after="0"/>
              <w:rPr>
                <w:sz w:val="20"/>
                <w:szCs w:val="20"/>
                <w:color w:val="auto"/>
              </w:rPr>
            </w:pPr>
            <w:r>
              <w:rPr>
                <w:rFonts w:ascii="Arial" w:cs="Arial" w:eastAsia="Arial" w:hAnsi="Arial"/>
                <w:sz w:val="16"/>
                <w:szCs w:val="16"/>
                <w:color w:val="auto"/>
              </w:rPr>
              <w:t>incorporation or organization)</w:t>
            </w:r>
          </w:p>
        </w:tc>
        <w:tc>
          <w:tcPr>
            <w:tcW w:w="3160" w:type="dxa"/>
            <w:vAlign w:val="bottom"/>
          </w:tcPr>
          <w:p>
            <w:pPr>
              <w:jc w:val="center"/>
              <w:ind w:left="266"/>
              <w:spacing w:after="0"/>
              <w:rPr>
                <w:sz w:val="20"/>
                <w:szCs w:val="20"/>
                <w:color w:val="auto"/>
              </w:rPr>
            </w:pPr>
            <w:r>
              <w:rPr>
                <w:rFonts w:ascii="Arial" w:cs="Arial" w:eastAsia="Arial" w:hAnsi="Arial"/>
                <w:sz w:val="16"/>
                <w:szCs w:val="16"/>
                <w:color w:val="auto"/>
              </w:rPr>
              <w:t>Identification No.)</w:t>
            </w:r>
          </w:p>
        </w:tc>
      </w:tr>
      <w:tr>
        <w:trPr>
          <w:trHeight w:val="335"/>
        </w:trPr>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200" w:type="dxa"/>
            <w:vAlign w:val="bottom"/>
            <w:gridSpan w:val="3"/>
          </w:tcPr>
          <w:p>
            <w:pPr>
              <w:jc w:val="center"/>
              <w:ind w:right="2446"/>
              <w:spacing w:after="0"/>
              <w:rPr>
                <w:sz w:val="20"/>
                <w:szCs w:val="20"/>
                <w:color w:val="auto"/>
              </w:rPr>
            </w:pPr>
            <w:r>
              <w:rPr>
                <w:rFonts w:ascii="Arial" w:cs="Arial" w:eastAsia="Arial" w:hAnsi="Arial"/>
                <w:sz w:val="16"/>
                <w:szCs w:val="16"/>
                <w:color w:val="auto"/>
              </w:rPr>
              <w:t>Lilly Corporate Center, Indianapolis, Indiana 46285</w:t>
            </w:r>
          </w:p>
        </w:tc>
      </w:tr>
      <w:tr>
        <w:trPr>
          <w:trHeight w:val="219"/>
        </w:trPr>
        <w:tc>
          <w:tcPr>
            <w:tcW w:w="1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200" w:type="dxa"/>
            <w:vAlign w:val="bottom"/>
            <w:gridSpan w:val="3"/>
          </w:tcPr>
          <w:p>
            <w:pPr>
              <w:jc w:val="center"/>
              <w:ind w:right="2446"/>
              <w:spacing w:after="0"/>
              <w:rPr>
                <w:sz w:val="20"/>
                <w:szCs w:val="20"/>
                <w:color w:val="auto"/>
              </w:rPr>
            </w:pPr>
            <w:r>
              <w:rPr>
                <w:rFonts w:ascii="Arial" w:cs="Arial" w:eastAsia="Arial" w:hAnsi="Arial"/>
                <w:sz w:val="16"/>
                <w:szCs w:val="16"/>
                <w:color w:val="auto"/>
              </w:rPr>
              <w:t>(Address of principal executive offices)</w:t>
            </w:r>
          </w:p>
        </w:tc>
      </w:tr>
      <w:tr>
        <w:trPr>
          <w:trHeight w:val="243"/>
        </w:trPr>
        <w:tc>
          <w:tcPr>
            <w:tcW w:w="1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760" w:type="dxa"/>
            <w:vAlign w:val="bottom"/>
            <w:gridSpan w:val="4"/>
          </w:tcPr>
          <w:p>
            <w:pPr>
              <w:jc w:val="center"/>
              <w:ind w:right="886"/>
              <w:spacing w:after="0"/>
              <w:rPr>
                <w:sz w:val="20"/>
                <w:szCs w:val="20"/>
                <w:color w:val="auto"/>
              </w:rPr>
            </w:pPr>
            <w:r>
              <w:rPr>
                <w:rFonts w:ascii="Arial" w:cs="Arial" w:eastAsia="Arial" w:hAnsi="Arial"/>
                <w:sz w:val="16"/>
                <w:szCs w:val="16"/>
                <w:color w:val="auto"/>
              </w:rPr>
              <w:t>Registrant’s telephone number, including area code (317) 276-2000</w:t>
            </w:r>
          </w:p>
        </w:tc>
      </w:tr>
      <w:tr>
        <w:trPr>
          <w:trHeight w:val="251"/>
        </w:trPr>
        <w:tc>
          <w:tcPr>
            <w:tcW w:w="1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760" w:type="dxa"/>
            <w:vAlign w:val="bottom"/>
            <w:gridSpan w:val="4"/>
          </w:tcPr>
          <w:p>
            <w:pPr>
              <w:jc w:val="center"/>
              <w:ind w:right="866"/>
              <w:spacing w:after="0"/>
              <w:rPr>
                <w:sz w:val="20"/>
                <w:szCs w:val="20"/>
                <w:color w:val="auto"/>
              </w:rPr>
            </w:pPr>
            <w:r>
              <w:rPr>
                <w:rFonts w:ascii="Arial" w:cs="Arial" w:eastAsia="Arial" w:hAnsi="Arial"/>
                <w:sz w:val="16"/>
                <w:szCs w:val="16"/>
                <w:b w:val="1"/>
                <w:bCs w:val="1"/>
                <w:color w:val="auto"/>
              </w:rPr>
              <w:t>Securities registered pursuant to Section 12(b) of the Exchange Act:</w:t>
            </w:r>
          </w:p>
        </w:tc>
      </w:tr>
      <w:tr>
        <w:trPr>
          <w:trHeight w:val="318"/>
        </w:trPr>
        <w:tc>
          <w:tcPr>
            <w:tcW w:w="1280" w:type="dxa"/>
            <w:vAlign w:val="bottom"/>
          </w:tcPr>
          <w:p>
            <w:pPr>
              <w:spacing w:after="0"/>
              <w:rPr>
                <w:sz w:val="20"/>
                <w:szCs w:val="20"/>
                <w:color w:val="auto"/>
              </w:rPr>
            </w:pPr>
            <w:r>
              <w:rPr>
                <w:rFonts w:ascii="Arial" w:cs="Arial" w:eastAsia="Arial" w:hAnsi="Arial"/>
                <w:sz w:val="14"/>
                <w:szCs w:val="14"/>
                <w:b w:val="1"/>
                <w:bCs w:val="1"/>
                <w:color w:val="auto"/>
              </w:rPr>
              <w:t>Title of Each Class</w:t>
            </w: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Trading Symbol</w:t>
            </w:r>
          </w:p>
        </w:tc>
        <w:tc>
          <w:tcPr>
            <w:tcW w:w="3160" w:type="dxa"/>
            <w:vAlign w:val="bottom"/>
          </w:tcPr>
          <w:p>
            <w:pP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12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r>
        <w:trPr>
          <w:trHeight w:val="196"/>
        </w:trPr>
        <w:tc>
          <w:tcPr>
            <w:tcW w:w="2160" w:type="dxa"/>
            <w:vAlign w:val="bottom"/>
            <w:gridSpan w:val="2"/>
          </w:tcPr>
          <w:p>
            <w:pPr>
              <w:spacing w:after="0"/>
              <w:rPr>
                <w:sz w:val="20"/>
                <w:szCs w:val="20"/>
                <w:color w:val="auto"/>
              </w:rPr>
            </w:pPr>
            <w:r>
              <w:rPr>
                <w:rFonts w:ascii="Arial" w:cs="Arial" w:eastAsia="Arial" w:hAnsi="Arial"/>
                <w:sz w:val="14"/>
                <w:szCs w:val="14"/>
                <w:color w:val="auto"/>
              </w:rPr>
              <w:t>Common Stock (no par value)</w:t>
            </w:r>
          </w:p>
        </w:tc>
        <w:tc>
          <w:tcPr>
            <w:tcW w:w="4600" w:type="dxa"/>
            <w:vAlign w:val="bottom"/>
            <w:gridSpan w:val="3"/>
          </w:tcPr>
          <w:p>
            <w:pPr>
              <w:ind w:left="1560"/>
              <w:spacing w:after="0"/>
              <w:rPr>
                <w:sz w:val="20"/>
                <w:szCs w:val="20"/>
                <w:color w:val="auto"/>
              </w:rPr>
            </w:pPr>
            <w:r>
              <w:rPr>
                <w:rFonts w:ascii="Arial" w:cs="Arial" w:eastAsia="Arial" w:hAnsi="Arial"/>
                <w:sz w:val="14"/>
                <w:szCs w:val="14"/>
                <w:color w:val="auto"/>
              </w:rPr>
              <w:t>LLY</w:t>
            </w:r>
          </w:p>
        </w:tc>
        <w:tc>
          <w:tcPr>
            <w:tcW w:w="3160" w:type="dxa"/>
            <w:vAlign w:val="bottom"/>
          </w:tcPr>
          <w:p>
            <w:pPr>
              <w:spacing w:after="0"/>
              <w:rPr>
                <w:sz w:val="20"/>
                <w:szCs w:val="20"/>
                <w:color w:val="auto"/>
              </w:rPr>
            </w:pPr>
            <w:r>
              <w:rPr>
                <w:rFonts w:ascii="Arial" w:cs="Arial" w:eastAsia="Arial" w:hAnsi="Arial"/>
                <w:sz w:val="14"/>
                <w:szCs w:val="14"/>
                <w:color w:val="auto"/>
              </w:rPr>
              <w:t>New York Stock Exchange</w:t>
            </w:r>
          </w:p>
        </w:tc>
      </w:tr>
      <w:tr>
        <w:trPr>
          <w:trHeight w:val="189"/>
        </w:trPr>
        <w:tc>
          <w:tcPr>
            <w:tcW w:w="2160" w:type="dxa"/>
            <w:vAlign w:val="bottom"/>
            <w:gridSpan w:val="2"/>
          </w:tcPr>
          <w:p>
            <w:pPr>
              <w:spacing w:after="0"/>
              <w:rPr>
                <w:sz w:val="20"/>
                <w:szCs w:val="20"/>
                <w:color w:val="auto"/>
              </w:rPr>
            </w:pPr>
            <w:r>
              <w:rPr>
                <w:rFonts w:ascii="Arial" w:cs="Arial" w:eastAsia="Arial" w:hAnsi="Arial"/>
                <w:sz w:val="14"/>
                <w:szCs w:val="14"/>
                <w:color w:val="auto"/>
              </w:rPr>
              <w:t>1.000% Notes due 2022</w:t>
            </w:r>
          </w:p>
        </w:tc>
        <w:tc>
          <w:tcPr>
            <w:tcW w:w="4600" w:type="dxa"/>
            <w:vAlign w:val="bottom"/>
            <w:gridSpan w:val="3"/>
          </w:tcPr>
          <w:p>
            <w:pPr>
              <w:ind w:left="1560"/>
              <w:spacing w:after="0"/>
              <w:rPr>
                <w:sz w:val="20"/>
                <w:szCs w:val="20"/>
                <w:color w:val="auto"/>
              </w:rPr>
            </w:pPr>
            <w:r>
              <w:rPr>
                <w:rFonts w:ascii="Arial" w:cs="Arial" w:eastAsia="Arial" w:hAnsi="Arial"/>
                <w:sz w:val="14"/>
                <w:szCs w:val="14"/>
                <w:color w:val="auto"/>
              </w:rPr>
              <w:t>LLY22</w:t>
            </w:r>
          </w:p>
        </w:tc>
        <w:tc>
          <w:tcPr>
            <w:tcW w:w="3160" w:type="dxa"/>
            <w:vAlign w:val="bottom"/>
          </w:tcPr>
          <w:p>
            <w:pPr>
              <w:spacing w:after="0"/>
              <w:rPr>
                <w:sz w:val="20"/>
                <w:szCs w:val="20"/>
                <w:color w:val="auto"/>
              </w:rPr>
            </w:pPr>
            <w:r>
              <w:rPr>
                <w:rFonts w:ascii="Arial" w:cs="Arial" w:eastAsia="Arial" w:hAnsi="Arial"/>
                <w:sz w:val="14"/>
                <w:szCs w:val="14"/>
                <w:color w:val="auto"/>
              </w:rPr>
              <w:t>New York Stock Exchange</w:t>
            </w:r>
          </w:p>
        </w:tc>
      </w:tr>
      <w:tr>
        <w:trPr>
          <w:trHeight w:val="189"/>
        </w:trPr>
        <w:tc>
          <w:tcPr>
            <w:tcW w:w="2160" w:type="dxa"/>
            <w:vAlign w:val="bottom"/>
            <w:gridSpan w:val="2"/>
          </w:tcPr>
          <w:p>
            <w:pPr>
              <w:spacing w:after="0"/>
              <w:rPr>
                <w:sz w:val="20"/>
                <w:szCs w:val="20"/>
                <w:color w:val="auto"/>
              </w:rPr>
            </w:pPr>
            <w:r>
              <w:rPr>
                <w:rFonts w:ascii="Arial" w:cs="Arial" w:eastAsia="Arial" w:hAnsi="Arial"/>
                <w:sz w:val="14"/>
                <w:szCs w:val="14"/>
                <w:color w:val="auto"/>
              </w:rPr>
              <w:t>7 1/8% Notes due 2025</w:t>
            </w:r>
          </w:p>
        </w:tc>
        <w:tc>
          <w:tcPr>
            <w:tcW w:w="4600" w:type="dxa"/>
            <w:vAlign w:val="bottom"/>
            <w:gridSpan w:val="3"/>
          </w:tcPr>
          <w:p>
            <w:pPr>
              <w:ind w:left="1560"/>
              <w:spacing w:after="0"/>
              <w:rPr>
                <w:sz w:val="20"/>
                <w:szCs w:val="20"/>
                <w:color w:val="auto"/>
              </w:rPr>
            </w:pPr>
            <w:r>
              <w:rPr>
                <w:rFonts w:ascii="Arial" w:cs="Arial" w:eastAsia="Arial" w:hAnsi="Arial"/>
                <w:sz w:val="14"/>
                <w:szCs w:val="14"/>
                <w:color w:val="auto"/>
              </w:rPr>
              <w:t>LLY25</w:t>
            </w:r>
          </w:p>
        </w:tc>
        <w:tc>
          <w:tcPr>
            <w:tcW w:w="3160" w:type="dxa"/>
            <w:vAlign w:val="bottom"/>
          </w:tcPr>
          <w:p>
            <w:pPr>
              <w:spacing w:after="0"/>
              <w:rPr>
                <w:sz w:val="20"/>
                <w:szCs w:val="20"/>
                <w:color w:val="auto"/>
              </w:rPr>
            </w:pPr>
            <w:r>
              <w:rPr>
                <w:rFonts w:ascii="Arial" w:cs="Arial" w:eastAsia="Arial" w:hAnsi="Arial"/>
                <w:sz w:val="14"/>
                <w:szCs w:val="14"/>
                <w:color w:val="auto"/>
              </w:rPr>
              <w:t>New York Stock Exchange</w:t>
            </w:r>
          </w:p>
        </w:tc>
      </w:tr>
      <w:tr>
        <w:trPr>
          <w:trHeight w:val="189"/>
        </w:trPr>
        <w:tc>
          <w:tcPr>
            <w:tcW w:w="2160" w:type="dxa"/>
            <w:vAlign w:val="bottom"/>
            <w:gridSpan w:val="2"/>
          </w:tcPr>
          <w:p>
            <w:pPr>
              <w:spacing w:after="0"/>
              <w:rPr>
                <w:sz w:val="20"/>
                <w:szCs w:val="20"/>
                <w:color w:val="auto"/>
              </w:rPr>
            </w:pPr>
            <w:r>
              <w:rPr>
                <w:rFonts w:ascii="Arial" w:cs="Arial" w:eastAsia="Arial" w:hAnsi="Arial"/>
                <w:sz w:val="14"/>
                <w:szCs w:val="14"/>
                <w:color w:val="auto"/>
              </w:rPr>
              <w:t>1.625% Notes due 2026</w:t>
            </w:r>
          </w:p>
        </w:tc>
        <w:tc>
          <w:tcPr>
            <w:tcW w:w="4600" w:type="dxa"/>
            <w:vAlign w:val="bottom"/>
            <w:gridSpan w:val="3"/>
          </w:tcPr>
          <w:p>
            <w:pPr>
              <w:ind w:left="1560"/>
              <w:spacing w:after="0"/>
              <w:rPr>
                <w:sz w:val="20"/>
                <w:szCs w:val="20"/>
                <w:color w:val="auto"/>
              </w:rPr>
            </w:pPr>
            <w:r>
              <w:rPr>
                <w:rFonts w:ascii="Arial" w:cs="Arial" w:eastAsia="Arial" w:hAnsi="Arial"/>
                <w:sz w:val="14"/>
                <w:szCs w:val="14"/>
                <w:color w:val="auto"/>
              </w:rPr>
              <w:t>LLY26</w:t>
            </w:r>
          </w:p>
        </w:tc>
        <w:tc>
          <w:tcPr>
            <w:tcW w:w="3160" w:type="dxa"/>
            <w:vAlign w:val="bottom"/>
          </w:tcPr>
          <w:p>
            <w:pPr>
              <w:spacing w:after="0"/>
              <w:rPr>
                <w:sz w:val="20"/>
                <w:szCs w:val="20"/>
                <w:color w:val="auto"/>
              </w:rPr>
            </w:pPr>
            <w:r>
              <w:rPr>
                <w:rFonts w:ascii="Arial" w:cs="Arial" w:eastAsia="Arial" w:hAnsi="Arial"/>
                <w:sz w:val="14"/>
                <w:szCs w:val="14"/>
                <w:color w:val="auto"/>
              </w:rPr>
              <w:t>New York Stock Exchange</w:t>
            </w:r>
          </w:p>
        </w:tc>
      </w:tr>
      <w:tr>
        <w:trPr>
          <w:trHeight w:val="189"/>
        </w:trPr>
        <w:tc>
          <w:tcPr>
            <w:tcW w:w="2160" w:type="dxa"/>
            <w:vAlign w:val="bottom"/>
            <w:gridSpan w:val="2"/>
          </w:tcPr>
          <w:p>
            <w:pPr>
              <w:spacing w:after="0"/>
              <w:rPr>
                <w:sz w:val="20"/>
                <w:szCs w:val="20"/>
                <w:color w:val="auto"/>
              </w:rPr>
            </w:pPr>
            <w:r>
              <w:rPr>
                <w:rFonts w:ascii="Arial" w:cs="Arial" w:eastAsia="Arial" w:hAnsi="Arial"/>
                <w:sz w:val="14"/>
                <w:szCs w:val="14"/>
                <w:color w:val="auto"/>
              </w:rPr>
              <w:t>2.125% Notes due 2030</w:t>
            </w:r>
          </w:p>
        </w:tc>
        <w:tc>
          <w:tcPr>
            <w:tcW w:w="4600" w:type="dxa"/>
            <w:vAlign w:val="bottom"/>
            <w:gridSpan w:val="3"/>
          </w:tcPr>
          <w:p>
            <w:pPr>
              <w:ind w:left="1560"/>
              <w:spacing w:after="0"/>
              <w:rPr>
                <w:sz w:val="20"/>
                <w:szCs w:val="20"/>
                <w:color w:val="auto"/>
              </w:rPr>
            </w:pPr>
            <w:r>
              <w:rPr>
                <w:rFonts w:ascii="Arial" w:cs="Arial" w:eastAsia="Arial" w:hAnsi="Arial"/>
                <w:sz w:val="14"/>
                <w:szCs w:val="14"/>
                <w:color w:val="auto"/>
              </w:rPr>
              <w:t>LLY30</w:t>
            </w:r>
          </w:p>
        </w:tc>
        <w:tc>
          <w:tcPr>
            <w:tcW w:w="3160" w:type="dxa"/>
            <w:vAlign w:val="bottom"/>
          </w:tcPr>
          <w:p>
            <w:pPr>
              <w:spacing w:after="0"/>
              <w:rPr>
                <w:sz w:val="20"/>
                <w:szCs w:val="20"/>
                <w:color w:val="auto"/>
              </w:rPr>
            </w:pPr>
            <w:r>
              <w:rPr>
                <w:rFonts w:ascii="Arial" w:cs="Arial" w:eastAsia="Arial" w:hAnsi="Arial"/>
                <w:sz w:val="14"/>
                <w:szCs w:val="14"/>
                <w:color w:val="auto"/>
              </w:rPr>
              <w:t>New York Stock Exchange</w:t>
            </w:r>
          </w:p>
        </w:tc>
      </w:tr>
      <w:tr>
        <w:trPr>
          <w:trHeight w:val="189"/>
        </w:trPr>
        <w:tc>
          <w:tcPr>
            <w:tcW w:w="2160" w:type="dxa"/>
            <w:vAlign w:val="bottom"/>
            <w:gridSpan w:val="2"/>
          </w:tcPr>
          <w:p>
            <w:pPr>
              <w:spacing w:after="0"/>
              <w:rPr>
                <w:sz w:val="20"/>
                <w:szCs w:val="20"/>
                <w:color w:val="auto"/>
              </w:rPr>
            </w:pPr>
            <w:r>
              <w:rPr>
                <w:rFonts w:ascii="Arial" w:cs="Arial" w:eastAsia="Arial" w:hAnsi="Arial"/>
                <w:sz w:val="14"/>
                <w:szCs w:val="14"/>
                <w:color w:val="auto"/>
              </w:rPr>
              <w:t>0.625% Notes due 2031</w:t>
            </w:r>
          </w:p>
        </w:tc>
        <w:tc>
          <w:tcPr>
            <w:tcW w:w="4600" w:type="dxa"/>
            <w:vAlign w:val="bottom"/>
            <w:gridSpan w:val="3"/>
          </w:tcPr>
          <w:p>
            <w:pPr>
              <w:ind w:left="1560"/>
              <w:spacing w:after="0"/>
              <w:rPr>
                <w:sz w:val="20"/>
                <w:szCs w:val="20"/>
                <w:color w:val="auto"/>
              </w:rPr>
            </w:pPr>
            <w:r>
              <w:rPr>
                <w:rFonts w:ascii="Arial" w:cs="Arial" w:eastAsia="Arial" w:hAnsi="Arial"/>
                <w:sz w:val="14"/>
                <w:szCs w:val="14"/>
                <w:color w:val="auto"/>
              </w:rPr>
              <w:t>LLY31</w:t>
            </w:r>
          </w:p>
        </w:tc>
        <w:tc>
          <w:tcPr>
            <w:tcW w:w="3160" w:type="dxa"/>
            <w:vAlign w:val="bottom"/>
          </w:tcPr>
          <w:p>
            <w:pPr>
              <w:spacing w:after="0"/>
              <w:rPr>
                <w:sz w:val="20"/>
                <w:szCs w:val="20"/>
                <w:color w:val="auto"/>
              </w:rPr>
            </w:pPr>
            <w:r>
              <w:rPr>
                <w:rFonts w:ascii="Arial" w:cs="Arial" w:eastAsia="Arial" w:hAnsi="Arial"/>
                <w:sz w:val="14"/>
                <w:szCs w:val="14"/>
                <w:color w:val="auto"/>
              </w:rPr>
              <w:t>New York Stock Exchange</w:t>
            </w:r>
          </w:p>
        </w:tc>
      </w:tr>
      <w:tr>
        <w:trPr>
          <w:trHeight w:val="189"/>
        </w:trPr>
        <w:tc>
          <w:tcPr>
            <w:tcW w:w="2160" w:type="dxa"/>
            <w:vAlign w:val="bottom"/>
            <w:gridSpan w:val="2"/>
          </w:tcPr>
          <w:p>
            <w:pPr>
              <w:spacing w:after="0"/>
              <w:rPr>
                <w:sz w:val="20"/>
                <w:szCs w:val="20"/>
                <w:color w:val="auto"/>
              </w:rPr>
            </w:pPr>
            <w:r>
              <w:rPr>
                <w:rFonts w:ascii="Arial" w:cs="Arial" w:eastAsia="Arial" w:hAnsi="Arial"/>
                <w:sz w:val="14"/>
                <w:szCs w:val="14"/>
                <w:color w:val="auto"/>
              </w:rPr>
              <w:t>6.77% Notes due 2036</w:t>
            </w:r>
          </w:p>
        </w:tc>
        <w:tc>
          <w:tcPr>
            <w:tcW w:w="4600" w:type="dxa"/>
            <w:vAlign w:val="bottom"/>
            <w:gridSpan w:val="3"/>
          </w:tcPr>
          <w:p>
            <w:pPr>
              <w:ind w:left="1560"/>
              <w:spacing w:after="0"/>
              <w:rPr>
                <w:sz w:val="20"/>
                <w:szCs w:val="20"/>
                <w:color w:val="auto"/>
              </w:rPr>
            </w:pPr>
            <w:r>
              <w:rPr>
                <w:rFonts w:ascii="Arial" w:cs="Arial" w:eastAsia="Arial" w:hAnsi="Arial"/>
                <w:sz w:val="14"/>
                <w:szCs w:val="14"/>
                <w:color w:val="auto"/>
              </w:rPr>
              <w:t>LLY36</w:t>
            </w:r>
          </w:p>
        </w:tc>
        <w:tc>
          <w:tcPr>
            <w:tcW w:w="3160" w:type="dxa"/>
            <w:vAlign w:val="bottom"/>
          </w:tcPr>
          <w:p>
            <w:pPr>
              <w:spacing w:after="0"/>
              <w:rPr>
                <w:sz w:val="20"/>
                <w:szCs w:val="20"/>
                <w:color w:val="auto"/>
              </w:rPr>
            </w:pPr>
            <w:r>
              <w:rPr>
                <w:rFonts w:ascii="Arial" w:cs="Arial" w:eastAsia="Arial" w:hAnsi="Arial"/>
                <w:sz w:val="14"/>
                <w:szCs w:val="14"/>
                <w:color w:val="auto"/>
              </w:rPr>
              <w:t>New York Stock Exchange</w:t>
            </w:r>
          </w:p>
        </w:tc>
      </w:tr>
      <w:tr>
        <w:trPr>
          <w:trHeight w:val="194"/>
        </w:trPr>
        <w:tc>
          <w:tcPr>
            <w:tcW w:w="2160" w:type="dxa"/>
            <w:vAlign w:val="bottom"/>
            <w:gridSpan w:val="2"/>
          </w:tcPr>
          <w:p>
            <w:pPr>
              <w:spacing w:after="0"/>
              <w:rPr>
                <w:sz w:val="20"/>
                <w:szCs w:val="20"/>
                <w:color w:val="auto"/>
              </w:rPr>
            </w:pPr>
            <w:r>
              <w:rPr>
                <w:rFonts w:ascii="Arial" w:cs="Arial" w:eastAsia="Arial" w:hAnsi="Arial"/>
                <w:sz w:val="14"/>
                <w:szCs w:val="14"/>
                <w:color w:val="auto"/>
              </w:rPr>
              <w:t>1.700% Notes due 2049</w:t>
            </w:r>
          </w:p>
        </w:tc>
        <w:tc>
          <w:tcPr>
            <w:tcW w:w="4600" w:type="dxa"/>
            <w:vAlign w:val="bottom"/>
            <w:gridSpan w:val="3"/>
          </w:tcPr>
          <w:p>
            <w:pPr>
              <w:ind w:left="1560"/>
              <w:spacing w:after="0"/>
              <w:rPr>
                <w:sz w:val="20"/>
                <w:szCs w:val="20"/>
                <w:color w:val="auto"/>
              </w:rPr>
            </w:pPr>
            <w:r>
              <w:rPr>
                <w:rFonts w:ascii="Arial" w:cs="Arial" w:eastAsia="Arial" w:hAnsi="Arial"/>
                <w:sz w:val="14"/>
                <w:szCs w:val="14"/>
                <w:color w:val="auto"/>
              </w:rPr>
              <w:t>LLY49A</w:t>
            </w:r>
          </w:p>
        </w:tc>
        <w:tc>
          <w:tcPr>
            <w:tcW w:w="3160" w:type="dxa"/>
            <w:vAlign w:val="bottom"/>
          </w:tcPr>
          <w:p>
            <w:pPr>
              <w:spacing w:after="0"/>
              <w:rPr>
                <w:sz w:val="20"/>
                <w:szCs w:val="20"/>
                <w:color w:val="auto"/>
              </w:rPr>
            </w:pPr>
            <w:r>
              <w:rPr>
                <w:rFonts w:ascii="Arial" w:cs="Arial" w:eastAsia="Arial" w:hAnsi="Arial"/>
                <w:sz w:val="14"/>
                <w:szCs w:val="14"/>
                <w:color w:val="auto"/>
              </w:rPr>
              <w:t>New York Stock Exchange</w:t>
            </w:r>
          </w:p>
        </w:tc>
      </w:tr>
    </w:tbl>
    <w:p>
      <w:pPr>
        <w:spacing w:after="0" w:line="57" w:lineRule="exact"/>
        <w:rPr>
          <w:sz w:val="24"/>
          <w:szCs w:val="24"/>
          <w:color w:val="auto"/>
        </w:rPr>
      </w:pPr>
    </w:p>
    <w:p>
      <w:pPr>
        <w:ind w:right="400"/>
        <w:spacing w:after="0" w:line="252"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380"/>
        <w:spacing w:after="0" w:line="25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4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a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660" w:type="dxa"/>
        <w:tblCellMar>
          <w:top w:w="0" w:type="dxa"/>
          <w:left w:w="0" w:type="dxa"/>
          <w:bottom w:w="0" w:type="dxa"/>
          <w:right w:w="0" w:type="dxa"/>
        </w:tblCellMar>
      </w:tblPr>
      <w:tr>
        <w:trPr>
          <w:trHeight w:val="237"/>
        </w:trPr>
        <w:tc>
          <w:tcPr>
            <w:tcW w:w="5040" w:type="dxa"/>
            <w:vAlign w:val="bottom"/>
          </w:tcPr>
          <w:p>
            <w:pPr>
              <w:spacing w:after="0" w:line="196"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7"/>
                <w:szCs w:val="17"/>
                <w:color w:val="auto"/>
              </w:rPr>
              <w:t>☒</w:t>
            </w:r>
          </w:p>
        </w:tc>
        <w:tc>
          <w:tcPr>
            <w:tcW w:w="5280" w:type="dxa"/>
            <w:vAlign w:val="bottom"/>
          </w:tcPr>
          <w:p>
            <w:pPr>
              <w:jc w:val="right"/>
              <w:ind w:right="19"/>
              <w:spacing w:after="0"/>
              <w:rPr>
                <w:sz w:val="20"/>
                <w:szCs w:val="20"/>
                <w:color w:val="auto"/>
              </w:rPr>
            </w:pPr>
            <w:r>
              <w:rPr>
                <w:rFonts w:ascii="Arial" w:cs="Arial" w:eastAsia="Arial" w:hAnsi="Arial"/>
                <w:sz w:val="16"/>
                <w:szCs w:val="16"/>
                <w:color w:val="auto"/>
              </w:rPr>
              <w:t>Accelerated filer</w:t>
            </w:r>
          </w:p>
        </w:tc>
        <w:tc>
          <w:tcPr>
            <w:tcW w:w="240" w:type="dxa"/>
            <w:vAlign w:val="bottom"/>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5040" w:type="dxa"/>
            <w:vAlign w:val="bottom"/>
          </w:tcPr>
          <w:p>
            <w:pPr>
              <w:ind w:left="1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tc>
        <w:tc>
          <w:tcPr>
            <w:tcW w:w="5280" w:type="dxa"/>
            <w:vAlign w:val="bottom"/>
          </w:tcPr>
          <w:p>
            <w:pPr>
              <w:jc w:val="right"/>
              <w:ind w:right="19"/>
              <w:spacing w:after="0"/>
              <w:rPr>
                <w:sz w:val="20"/>
                <w:szCs w:val="20"/>
                <w:color w:val="auto"/>
              </w:rPr>
            </w:pPr>
            <w:r>
              <w:rPr>
                <w:rFonts w:ascii="Arial" w:cs="Arial" w:eastAsia="Arial" w:hAnsi="Arial"/>
                <w:sz w:val="16"/>
                <w:szCs w:val="16"/>
                <w:color w:val="auto"/>
              </w:rPr>
              <w:t>Smaller reporting company</w:t>
            </w:r>
          </w:p>
        </w:tc>
        <w:tc>
          <w:tcPr>
            <w:tcW w:w="240" w:type="dxa"/>
            <w:vAlign w:val="bottom"/>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5040" w:type="dxa"/>
            <w:vAlign w:val="bottom"/>
          </w:tcPr>
          <w:p>
            <w:pPr>
              <w:spacing w:after="0"/>
              <w:rPr>
                <w:sz w:val="22"/>
                <w:szCs w:val="22"/>
                <w:color w:val="auto"/>
              </w:rPr>
            </w:pPr>
          </w:p>
        </w:tc>
        <w:tc>
          <w:tcPr>
            <w:tcW w:w="5280" w:type="dxa"/>
            <w:vAlign w:val="bottom"/>
          </w:tcPr>
          <w:p>
            <w:pPr>
              <w:jc w:val="right"/>
              <w:ind w:right="19"/>
              <w:spacing w:after="0"/>
              <w:rPr>
                <w:sz w:val="20"/>
                <w:szCs w:val="20"/>
                <w:color w:val="auto"/>
              </w:rPr>
            </w:pPr>
            <w:r>
              <w:rPr>
                <w:rFonts w:ascii="Arial" w:cs="Arial" w:eastAsia="Arial" w:hAnsi="Arial"/>
                <w:sz w:val="16"/>
                <w:szCs w:val="16"/>
                <w:color w:val="auto"/>
              </w:rPr>
              <w:t>Emerging growth company</w:t>
            </w:r>
          </w:p>
        </w:tc>
        <w:tc>
          <w:tcPr>
            <w:tcW w:w="240" w:type="dxa"/>
            <w:vAlign w:val="bottom"/>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4" w:lineRule="exact"/>
        <w:rPr>
          <w:sz w:val="24"/>
          <w:szCs w:val="24"/>
          <w:color w:val="auto"/>
        </w:rPr>
      </w:pPr>
    </w:p>
    <w:p>
      <w:pPr>
        <w:ind w:right="14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35"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45"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common stock outstanding as of October 26, 2020:</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880" w:type="dxa"/>
            <w:vAlign w:val="bottom"/>
            <w:gridSpan w:val="2"/>
          </w:tcPr>
          <w:p>
            <w:pPr>
              <w:jc w:val="center"/>
              <w:ind w:right="440"/>
              <w:spacing w:after="0"/>
              <w:rPr>
                <w:sz w:val="20"/>
                <w:szCs w:val="20"/>
                <w:color w:val="auto"/>
              </w:rPr>
            </w:pPr>
            <w:r>
              <w:rPr>
                <w:rFonts w:ascii="Arial" w:cs="Arial" w:eastAsia="Arial" w:hAnsi="Arial"/>
                <w:sz w:val="14"/>
                <w:szCs w:val="14"/>
                <w:color w:val="auto"/>
              </w:rPr>
              <w:t>Class</w:t>
            </w:r>
          </w:p>
        </w:tc>
        <w:tc>
          <w:tcPr>
            <w:tcW w:w="5340" w:type="dxa"/>
            <w:vAlign w:val="bottom"/>
            <w:gridSpan w:val="2"/>
          </w:tcPr>
          <w:p>
            <w:pPr>
              <w:ind w:left="1660"/>
              <w:spacing w:after="0"/>
              <w:rPr>
                <w:sz w:val="20"/>
                <w:szCs w:val="20"/>
                <w:color w:val="auto"/>
              </w:rPr>
            </w:pPr>
            <w:r>
              <w:rPr>
                <w:rFonts w:ascii="Arial" w:cs="Arial" w:eastAsia="Arial" w:hAnsi="Arial"/>
                <w:sz w:val="14"/>
                <w:szCs w:val="14"/>
                <w:color w:val="auto"/>
              </w:rPr>
              <w:t>Number of Shares Outstanding</w:t>
            </w:r>
          </w:p>
        </w:tc>
      </w:tr>
      <w:tr>
        <w:trPr>
          <w:trHeight w:val="236"/>
        </w:trPr>
        <w:tc>
          <w:tcPr>
            <w:tcW w:w="20" w:type="dxa"/>
            <w:vAlign w:val="bottom"/>
            <w:tcBorders>
              <w:top w:val="single" w:sz="8" w:color="auto"/>
            </w:tcBorders>
          </w:tcPr>
          <w:p>
            <w:pPr>
              <w:spacing w:after="0"/>
              <w:rPr>
                <w:sz w:val="20"/>
                <w:szCs w:val="20"/>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Common</w:t>
            </w:r>
          </w:p>
        </w:tc>
        <w:tc>
          <w:tcPr>
            <w:tcW w:w="420" w:type="dxa"/>
            <w:vAlign w:val="bottom"/>
          </w:tcPr>
          <w:p>
            <w:pPr>
              <w:spacing w:after="0"/>
              <w:rPr>
                <w:sz w:val="20"/>
                <w:szCs w:val="20"/>
                <w:color w:val="auto"/>
              </w:rPr>
            </w:pPr>
          </w:p>
        </w:tc>
        <w:tc>
          <w:tcPr>
            <w:tcW w:w="5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956,581,598</w:t>
            </w:r>
          </w:p>
        </w:tc>
        <w:tc>
          <w:tcPr>
            <w:tcW w:w="20" w:type="dxa"/>
            <w:vAlign w:val="bottom"/>
          </w:tcPr>
          <w:p>
            <w:pPr>
              <w:spacing w:after="0"/>
              <w:rPr>
                <w:sz w:val="20"/>
                <w:szCs w:val="20"/>
                <w:color w:val="auto"/>
              </w:rPr>
            </w:pPr>
          </w:p>
        </w:tc>
      </w:tr>
      <w:tr>
        <w:trPr>
          <w:trHeight w:val="108"/>
        </w:trPr>
        <w:tc>
          <w:tcPr>
            <w:tcW w:w="20" w:type="dxa"/>
            <w:vAlign w:val="bottom"/>
          </w:tcPr>
          <w:p>
            <w:pPr>
              <w:spacing w:after="0"/>
              <w:rPr>
                <w:sz w:val="9"/>
                <w:szCs w:val="9"/>
                <w:color w:val="auto"/>
              </w:rPr>
            </w:pPr>
          </w:p>
        </w:tc>
        <w:tc>
          <w:tcPr>
            <w:tcW w:w="54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28"/>
        </w:trPr>
        <w:tc>
          <w:tcPr>
            <w:tcW w:w="2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965"/>
        </w:trPr>
        <w:tc>
          <w:tcPr>
            <w:tcW w:w="2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66" w:right="339" w:bottom="1440" w:gutter="0" w:footer="0" w:header="0"/>
        </w:sectPr>
      </w:pPr>
    </w:p>
    <w:bookmarkStart w:id="1" w:name="page2"/>
    <w:bookmarkEnd w:id="1"/>
    <w:p>
      <w:pPr>
        <w:ind w:left="4680"/>
        <w:spacing w:after="0"/>
        <w:rPr>
          <w:sz w:val="20"/>
          <w:szCs w:val="20"/>
          <w:color w:val="auto"/>
        </w:rPr>
      </w:pPr>
      <w:r>
        <w:rPr>
          <w:rFonts w:ascii="Arial" w:cs="Arial" w:eastAsia="Arial" w:hAnsi="Arial"/>
          <w:sz w:val="18"/>
          <w:szCs w:val="18"/>
          <w:b w:val="1"/>
          <w:bCs w:val="1"/>
          <w:color w:val="auto"/>
        </w:rPr>
        <w:t>Eli Lilly and Company</w:t>
      </w:r>
    </w:p>
    <w:p>
      <w:pPr>
        <w:spacing w:after="0" w:line="11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Form 10-Q</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2020</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540" w:type="dxa"/>
            <w:vAlign w:val="bottom"/>
            <w:gridSpan w:val="2"/>
          </w:tcPr>
          <w:p>
            <w:pPr>
              <w:spacing w:after="0"/>
              <w:rPr>
                <w:sz w:val="20"/>
                <w:szCs w:val="20"/>
                <w:color w:val="auto"/>
              </w:rPr>
            </w:pPr>
            <w:r>
              <w:rPr>
                <w:rFonts w:ascii="Arial" w:cs="Arial" w:eastAsia="Arial" w:hAnsi="Arial"/>
                <w:sz w:val="18"/>
                <w:szCs w:val="18"/>
                <w:b w:val="1"/>
                <w:bCs w:val="1"/>
                <w:color w:val="auto"/>
              </w:rPr>
              <w:t>Page</w:t>
            </w:r>
          </w:p>
        </w:tc>
      </w:tr>
      <w:tr>
        <w:trPr>
          <w:trHeight w:val="254"/>
        </w:trPr>
        <w:tc>
          <w:tcPr>
            <w:tcW w:w="2760" w:type="dxa"/>
            <w:vAlign w:val="bottom"/>
          </w:tcPr>
          <w:p>
            <w:pPr>
              <w:ind w:lef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PART I. Financial Information</w:t>
              </w:r>
            </w:hyperlink>
          </w:p>
        </w:tc>
        <w:tc>
          <w:tcPr>
            <w:tcW w:w="7940" w:type="dxa"/>
            <w:vAlign w:val="bottom"/>
          </w:tcPr>
          <w:p>
            <w:pPr>
              <w:spacing w:after="0"/>
              <w:rPr>
                <w:sz w:val="22"/>
                <w:szCs w:val="22"/>
                <w:color w:val="auto"/>
              </w:rPr>
            </w:pPr>
          </w:p>
        </w:tc>
        <w:tc>
          <w:tcPr>
            <w:tcW w:w="420" w:type="dxa"/>
            <w:vAlign w:val="bottom"/>
            <w:tcBorders>
              <w:top w:val="single" w:sz="8" w:color="auto"/>
            </w:tcBorders>
          </w:tcPr>
          <w:p>
            <w:pPr>
              <w:jc w:val="center"/>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4</w:t>
              </w:r>
            </w:hyperlink>
          </w:p>
        </w:tc>
        <w:tc>
          <w:tcPr>
            <w:tcW w:w="120" w:type="dxa"/>
            <w:vAlign w:val="bottom"/>
          </w:tcPr>
          <w:p>
            <w:pPr>
              <w:spacing w:after="0"/>
              <w:rPr>
                <w:sz w:val="22"/>
                <w:szCs w:val="22"/>
                <w:color w:val="auto"/>
              </w:rPr>
            </w:pPr>
          </w:p>
        </w:tc>
      </w:tr>
      <w:tr>
        <w:trPr>
          <w:trHeight w:val="486"/>
        </w:trPr>
        <w:tc>
          <w:tcPr>
            <w:tcW w:w="2760" w:type="dxa"/>
            <w:vAlign w:val="bottom"/>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w:t>
              </w:r>
            </w:hyperlink>
          </w:p>
        </w:tc>
        <w:tc>
          <w:tcPr>
            <w:tcW w:w="7940" w:type="dxa"/>
            <w:vAlign w:val="bottom"/>
          </w:tcPr>
          <w:p>
            <w:pPr>
              <w:ind w:left="3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Financial Statements</w:t>
              </w:r>
            </w:hyperlink>
          </w:p>
        </w:tc>
        <w:tc>
          <w:tcPr>
            <w:tcW w:w="420" w:type="dxa"/>
            <w:vAlign w:val="bottom"/>
          </w:tcPr>
          <w:p>
            <w:pPr>
              <w:jc w:val="center"/>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4</w:t>
              </w:r>
            </w:hyperlink>
          </w:p>
        </w:tc>
        <w:tc>
          <w:tcPr>
            <w:tcW w:w="120" w:type="dxa"/>
            <w:vAlign w:val="bottom"/>
          </w:tcPr>
          <w:p>
            <w:pPr>
              <w:spacing w:after="0"/>
              <w:rPr>
                <w:sz w:val="24"/>
                <w:szCs w:val="24"/>
                <w:color w:val="auto"/>
              </w:rPr>
            </w:pPr>
          </w:p>
        </w:tc>
      </w:tr>
      <w:tr>
        <w:trPr>
          <w:trHeight w:val="229"/>
        </w:trPr>
        <w:tc>
          <w:tcPr>
            <w:tcW w:w="2760" w:type="dxa"/>
            <w:vAlign w:val="bottom"/>
          </w:tcPr>
          <w:p>
            <w:pPr>
              <w:spacing w:after="0"/>
              <w:rPr>
                <w:sz w:val="19"/>
                <w:szCs w:val="19"/>
                <w:color w:val="auto"/>
              </w:rPr>
            </w:pPr>
          </w:p>
        </w:tc>
        <w:tc>
          <w:tcPr>
            <w:tcW w:w="7940" w:type="dxa"/>
            <w:vAlign w:val="bottom"/>
          </w:tcPr>
          <w:p>
            <w:pPr>
              <w:ind w:left="5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Consolidated Condensed Statements of Operations</w:t>
              </w:r>
            </w:hyperlink>
          </w:p>
        </w:tc>
        <w:tc>
          <w:tcPr>
            <w:tcW w:w="420" w:type="dxa"/>
            <w:vAlign w:val="bottom"/>
          </w:tcPr>
          <w:p>
            <w:pPr>
              <w:jc w:val="center"/>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4</w:t>
              </w:r>
            </w:hyperlink>
          </w:p>
        </w:tc>
        <w:tc>
          <w:tcPr>
            <w:tcW w:w="120" w:type="dxa"/>
            <w:vAlign w:val="bottom"/>
          </w:tcPr>
          <w:p>
            <w:pPr>
              <w:spacing w:after="0"/>
              <w:rPr>
                <w:sz w:val="19"/>
                <w:szCs w:val="19"/>
                <w:color w:val="auto"/>
              </w:rPr>
            </w:pPr>
          </w:p>
        </w:tc>
      </w:tr>
      <w:tr>
        <w:trPr>
          <w:trHeight w:val="229"/>
        </w:trPr>
        <w:tc>
          <w:tcPr>
            <w:tcW w:w="2760" w:type="dxa"/>
            <w:vAlign w:val="bottom"/>
          </w:tcPr>
          <w:p>
            <w:pPr>
              <w:spacing w:after="0"/>
              <w:rPr>
                <w:sz w:val="19"/>
                <w:szCs w:val="19"/>
                <w:color w:val="auto"/>
              </w:rPr>
            </w:pPr>
          </w:p>
        </w:tc>
        <w:tc>
          <w:tcPr>
            <w:tcW w:w="7940" w:type="dxa"/>
            <w:vAlign w:val="bottom"/>
          </w:tcPr>
          <w:p>
            <w:pPr>
              <w:ind w:left="5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Consolidated Condensed Statements of Comprehensive Income (Loss)</w:t>
              </w:r>
            </w:hyperlink>
          </w:p>
        </w:tc>
        <w:tc>
          <w:tcPr>
            <w:tcW w:w="420" w:type="dxa"/>
            <w:vAlign w:val="bottom"/>
          </w:tcPr>
          <w:p>
            <w:pPr>
              <w:jc w:val="center"/>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5</w:t>
              </w:r>
            </w:hyperlink>
          </w:p>
        </w:tc>
        <w:tc>
          <w:tcPr>
            <w:tcW w:w="120" w:type="dxa"/>
            <w:vAlign w:val="bottom"/>
          </w:tcPr>
          <w:p>
            <w:pPr>
              <w:spacing w:after="0"/>
              <w:rPr>
                <w:sz w:val="19"/>
                <w:szCs w:val="19"/>
                <w:color w:val="auto"/>
              </w:rPr>
            </w:pPr>
          </w:p>
        </w:tc>
      </w:tr>
      <w:tr>
        <w:trPr>
          <w:trHeight w:val="230"/>
        </w:trPr>
        <w:tc>
          <w:tcPr>
            <w:tcW w:w="2760" w:type="dxa"/>
            <w:vAlign w:val="bottom"/>
          </w:tcPr>
          <w:p>
            <w:pPr>
              <w:spacing w:after="0"/>
              <w:rPr>
                <w:sz w:val="19"/>
                <w:szCs w:val="19"/>
                <w:color w:val="auto"/>
              </w:rPr>
            </w:pPr>
          </w:p>
        </w:tc>
        <w:tc>
          <w:tcPr>
            <w:tcW w:w="7940" w:type="dxa"/>
            <w:vAlign w:val="bottom"/>
          </w:tcPr>
          <w:p>
            <w:pPr>
              <w:ind w:left="58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Consolidated Condensed Balance Sheets</w:t>
              </w:r>
            </w:hyperlink>
          </w:p>
        </w:tc>
        <w:tc>
          <w:tcPr>
            <w:tcW w:w="420" w:type="dxa"/>
            <w:vAlign w:val="bottom"/>
          </w:tcPr>
          <w:p>
            <w:pPr>
              <w:jc w:val="center"/>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6</w:t>
              </w:r>
            </w:hyperlink>
          </w:p>
        </w:tc>
        <w:tc>
          <w:tcPr>
            <w:tcW w:w="120" w:type="dxa"/>
            <w:vAlign w:val="bottom"/>
          </w:tcPr>
          <w:p>
            <w:pPr>
              <w:spacing w:after="0"/>
              <w:rPr>
                <w:sz w:val="19"/>
                <w:szCs w:val="19"/>
                <w:color w:val="auto"/>
              </w:rPr>
            </w:pPr>
          </w:p>
        </w:tc>
      </w:tr>
      <w:tr>
        <w:trPr>
          <w:trHeight w:val="229"/>
        </w:trPr>
        <w:tc>
          <w:tcPr>
            <w:tcW w:w="2760" w:type="dxa"/>
            <w:vAlign w:val="bottom"/>
          </w:tcPr>
          <w:p>
            <w:pPr>
              <w:spacing w:after="0"/>
              <w:rPr>
                <w:sz w:val="19"/>
                <w:szCs w:val="19"/>
                <w:color w:val="auto"/>
              </w:rPr>
            </w:pPr>
          </w:p>
        </w:tc>
        <w:tc>
          <w:tcPr>
            <w:tcW w:w="7940" w:type="dxa"/>
            <w:vAlign w:val="bottom"/>
          </w:tcPr>
          <w:p>
            <w:pPr>
              <w:ind w:left="58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Consolidated Condensed Statements of Equity</w:t>
              </w:r>
            </w:hyperlink>
          </w:p>
        </w:tc>
        <w:tc>
          <w:tcPr>
            <w:tcW w:w="420" w:type="dxa"/>
            <w:vAlign w:val="bottom"/>
          </w:tcPr>
          <w:p>
            <w:pPr>
              <w:jc w:val="center"/>
              <w:spacing w:after="0"/>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7</w:t>
              </w:r>
            </w:hyperlink>
          </w:p>
        </w:tc>
        <w:tc>
          <w:tcPr>
            <w:tcW w:w="120" w:type="dxa"/>
            <w:vAlign w:val="bottom"/>
          </w:tcPr>
          <w:p>
            <w:pPr>
              <w:spacing w:after="0"/>
              <w:rPr>
                <w:sz w:val="19"/>
                <w:szCs w:val="19"/>
                <w:color w:val="auto"/>
              </w:rPr>
            </w:pPr>
          </w:p>
        </w:tc>
      </w:tr>
      <w:tr>
        <w:trPr>
          <w:trHeight w:val="229"/>
        </w:trPr>
        <w:tc>
          <w:tcPr>
            <w:tcW w:w="2760" w:type="dxa"/>
            <w:vAlign w:val="bottom"/>
          </w:tcPr>
          <w:p>
            <w:pPr>
              <w:spacing w:after="0"/>
              <w:rPr>
                <w:sz w:val="19"/>
                <w:szCs w:val="19"/>
                <w:color w:val="auto"/>
              </w:rPr>
            </w:pPr>
          </w:p>
        </w:tc>
        <w:tc>
          <w:tcPr>
            <w:tcW w:w="7940" w:type="dxa"/>
            <w:vAlign w:val="bottom"/>
          </w:tcPr>
          <w:p>
            <w:pPr>
              <w:ind w:left="58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Consolidated Condensed Statements of Cash Flows</w:t>
              </w:r>
            </w:hyperlink>
          </w:p>
        </w:tc>
        <w:tc>
          <w:tcPr>
            <w:tcW w:w="420" w:type="dxa"/>
            <w:vAlign w:val="bottom"/>
          </w:tcPr>
          <w:p>
            <w:pPr>
              <w:jc w:val="center"/>
              <w:spacing w:after="0"/>
              <w:rPr>
                <w:rFonts w:ascii="Arial" w:cs="Arial" w:eastAsia="Arial" w:hAnsi="Arial"/>
                <w:sz w:val="18"/>
                <w:szCs w:val="18"/>
                <w:u w:val="single" w:color="auto"/>
                <w:color w:val="0000FF"/>
                <w:w w:val="99"/>
              </w:rPr>
            </w:pPr>
            <w:hyperlink w:anchor="page8">
              <w:r>
                <w:rPr>
                  <w:rFonts w:ascii="Arial" w:cs="Arial" w:eastAsia="Arial" w:hAnsi="Arial"/>
                  <w:sz w:val="18"/>
                  <w:szCs w:val="18"/>
                  <w:u w:val="single" w:color="auto"/>
                  <w:color w:val="0000FF"/>
                  <w:w w:val="99"/>
                </w:rPr>
                <w:t>9</w:t>
              </w:r>
            </w:hyperlink>
          </w:p>
        </w:tc>
        <w:tc>
          <w:tcPr>
            <w:tcW w:w="120" w:type="dxa"/>
            <w:vAlign w:val="bottom"/>
          </w:tcPr>
          <w:p>
            <w:pPr>
              <w:spacing w:after="0"/>
              <w:rPr>
                <w:sz w:val="19"/>
                <w:szCs w:val="19"/>
                <w:color w:val="auto"/>
              </w:rPr>
            </w:pPr>
          </w:p>
        </w:tc>
      </w:tr>
      <w:tr>
        <w:trPr>
          <w:trHeight w:val="230"/>
        </w:trPr>
        <w:tc>
          <w:tcPr>
            <w:tcW w:w="2760" w:type="dxa"/>
            <w:vAlign w:val="bottom"/>
          </w:tcPr>
          <w:p>
            <w:pPr>
              <w:spacing w:after="0"/>
              <w:rPr>
                <w:sz w:val="19"/>
                <w:szCs w:val="19"/>
                <w:color w:val="auto"/>
              </w:rPr>
            </w:pPr>
          </w:p>
        </w:tc>
        <w:tc>
          <w:tcPr>
            <w:tcW w:w="7940" w:type="dxa"/>
            <w:vAlign w:val="bottom"/>
          </w:tcPr>
          <w:p>
            <w:pPr>
              <w:ind w:left="38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Notes to Consolidated Condensed Financial Statements</w:t>
              </w:r>
            </w:hyperlink>
          </w:p>
        </w:tc>
        <w:tc>
          <w:tcPr>
            <w:tcW w:w="420" w:type="dxa"/>
            <w:vAlign w:val="bottom"/>
          </w:tcPr>
          <w:p>
            <w:pPr>
              <w:jc w:val="center"/>
              <w:spacing w:after="0"/>
              <w:rPr>
                <w:rFonts w:ascii="Arial" w:cs="Arial" w:eastAsia="Arial" w:hAnsi="Arial"/>
                <w:sz w:val="18"/>
                <w:szCs w:val="18"/>
                <w:u w:val="single" w:color="auto"/>
                <w:color w:val="0000FF"/>
                <w:w w:val="99"/>
              </w:rPr>
            </w:pPr>
            <w:hyperlink w:anchor="page9">
              <w:r>
                <w:rPr>
                  <w:rFonts w:ascii="Arial" w:cs="Arial" w:eastAsia="Arial" w:hAnsi="Arial"/>
                  <w:sz w:val="18"/>
                  <w:szCs w:val="18"/>
                  <w:u w:val="single" w:color="auto"/>
                  <w:color w:val="0000FF"/>
                  <w:w w:val="99"/>
                </w:rPr>
                <w:t>10</w:t>
              </w:r>
            </w:hyperlink>
          </w:p>
        </w:tc>
        <w:tc>
          <w:tcPr>
            <w:tcW w:w="120" w:type="dxa"/>
            <w:vAlign w:val="bottom"/>
          </w:tcPr>
          <w:p>
            <w:pPr>
              <w:spacing w:after="0"/>
              <w:rPr>
                <w:sz w:val="19"/>
                <w:szCs w:val="19"/>
                <w:color w:val="auto"/>
              </w:rPr>
            </w:pPr>
          </w:p>
        </w:tc>
      </w:tr>
      <w:tr>
        <w:trPr>
          <w:trHeight w:val="229"/>
        </w:trPr>
        <w:tc>
          <w:tcPr>
            <w:tcW w:w="2760" w:type="dxa"/>
            <w:vAlign w:val="bottom"/>
          </w:tcPr>
          <w:p>
            <w:pPr>
              <w:ind w:left="2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Item 2.</w:t>
              </w:r>
            </w:hyperlink>
          </w:p>
        </w:tc>
        <w:tc>
          <w:tcPr>
            <w:tcW w:w="7940" w:type="dxa"/>
            <w:vAlign w:val="bottom"/>
          </w:tcPr>
          <w:p>
            <w:pPr>
              <w:ind w:left="38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Management's Discussion and Analysis of Results of Operations and Financial Condition</w:t>
              </w:r>
            </w:hyperlink>
          </w:p>
        </w:tc>
        <w:tc>
          <w:tcPr>
            <w:tcW w:w="420" w:type="dxa"/>
            <w:vAlign w:val="bottom"/>
          </w:tcPr>
          <w:p>
            <w:pPr>
              <w:jc w:val="center"/>
              <w:spacing w:after="0"/>
              <w:rPr>
                <w:rFonts w:ascii="Arial" w:cs="Arial" w:eastAsia="Arial" w:hAnsi="Arial"/>
                <w:sz w:val="18"/>
                <w:szCs w:val="18"/>
                <w:u w:val="single" w:color="auto"/>
                <w:color w:val="0000FF"/>
                <w:w w:val="99"/>
              </w:rPr>
            </w:pPr>
            <w:hyperlink w:anchor="page34">
              <w:r>
                <w:rPr>
                  <w:rFonts w:ascii="Arial" w:cs="Arial" w:eastAsia="Arial" w:hAnsi="Arial"/>
                  <w:sz w:val="18"/>
                  <w:szCs w:val="18"/>
                  <w:u w:val="single" w:color="auto"/>
                  <w:color w:val="0000FF"/>
                  <w:w w:val="99"/>
                </w:rPr>
                <w:t>35</w:t>
              </w:r>
            </w:hyperlink>
          </w:p>
        </w:tc>
        <w:tc>
          <w:tcPr>
            <w:tcW w:w="120" w:type="dxa"/>
            <w:vAlign w:val="bottom"/>
          </w:tcPr>
          <w:p>
            <w:pPr>
              <w:spacing w:after="0"/>
              <w:rPr>
                <w:sz w:val="19"/>
                <w:szCs w:val="19"/>
                <w:color w:val="auto"/>
              </w:rPr>
            </w:pPr>
          </w:p>
        </w:tc>
      </w:tr>
      <w:tr>
        <w:trPr>
          <w:trHeight w:val="230"/>
        </w:trPr>
        <w:tc>
          <w:tcPr>
            <w:tcW w:w="2760" w:type="dxa"/>
            <w:vAlign w:val="bottom"/>
          </w:tcPr>
          <w:p>
            <w:pPr>
              <w:spacing w:after="0"/>
              <w:rPr>
                <w:sz w:val="19"/>
                <w:szCs w:val="19"/>
                <w:color w:val="auto"/>
              </w:rPr>
            </w:pPr>
          </w:p>
        </w:tc>
        <w:tc>
          <w:tcPr>
            <w:tcW w:w="7940" w:type="dxa"/>
            <w:vAlign w:val="bottom"/>
          </w:tcPr>
          <w:p>
            <w:pPr>
              <w:ind w:left="58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Executive Overview</w:t>
              </w:r>
            </w:hyperlink>
          </w:p>
        </w:tc>
        <w:tc>
          <w:tcPr>
            <w:tcW w:w="420" w:type="dxa"/>
            <w:vAlign w:val="bottom"/>
          </w:tcPr>
          <w:p>
            <w:pPr>
              <w:jc w:val="center"/>
              <w:spacing w:after="0"/>
              <w:rPr>
                <w:rFonts w:ascii="Arial" w:cs="Arial" w:eastAsia="Arial" w:hAnsi="Arial"/>
                <w:sz w:val="18"/>
                <w:szCs w:val="18"/>
                <w:u w:val="single" w:color="auto"/>
                <w:color w:val="0000FF"/>
                <w:w w:val="99"/>
              </w:rPr>
            </w:pPr>
            <w:hyperlink w:anchor="page35">
              <w:r>
                <w:rPr>
                  <w:rFonts w:ascii="Arial" w:cs="Arial" w:eastAsia="Arial" w:hAnsi="Arial"/>
                  <w:sz w:val="18"/>
                  <w:szCs w:val="18"/>
                  <w:u w:val="single" w:color="auto"/>
                  <w:color w:val="0000FF"/>
                  <w:w w:val="99"/>
                </w:rPr>
                <w:t>35</w:t>
              </w:r>
            </w:hyperlink>
          </w:p>
        </w:tc>
        <w:tc>
          <w:tcPr>
            <w:tcW w:w="120" w:type="dxa"/>
            <w:vAlign w:val="bottom"/>
          </w:tcPr>
          <w:p>
            <w:pPr>
              <w:spacing w:after="0"/>
              <w:rPr>
                <w:sz w:val="19"/>
                <w:szCs w:val="19"/>
                <w:color w:val="auto"/>
              </w:rPr>
            </w:pPr>
          </w:p>
        </w:tc>
      </w:tr>
      <w:tr>
        <w:trPr>
          <w:trHeight w:val="229"/>
        </w:trPr>
        <w:tc>
          <w:tcPr>
            <w:tcW w:w="2760" w:type="dxa"/>
            <w:vAlign w:val="bottom"/>
          </w:tcPr>
          <w:p>
            <w:pPr>
              <w:spacing w:after="0"/>
              <w:rPr>
                <w:sz w:val="19"/>
                <w:szCs w:val="19"/>
                <w:color w:val="auto"/>
              </w:rPr>
            </w:pPr>
          </w:p>
        </w:tc>
        <w:tc>
          <w:tcPr>
            <w:tcW w:w="7940" w:type="dxa"/>
            <w:vAlign w:val="bottom"/>
          </w:tcPr>
          <w:p>
            <w:pPr>
              <w:ind w:left="58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Revenue</w:t>
              </w:r>
            </w:hyperlink>
          </w:p>
        </w:tc>
        <w:tc>
          <w:tcPr>
            <w:tcW w:w="420" w:type="dxa"/>
            <w:vAlign w:val="bottom"/>
          </w:tcPr>
          <w:p>
            <w:pPr>
              <w:jc w:val="center"/>
              <w:spacing w:after="0"/>
              <w:rPr>
                <w:rFonts w:ascii="Arial" w:cs="Arial" w:eastAsia="Arial" w:hAnsi="Arial"/>
                <w:sz w:val="18"/>
                <w:szCs w:val="18"/>
                <w:u w:val="single" w:color="auto"/>
                <w:color w:val="0000FF"/>
                <w:w w:val="99"/>
              </w:rPr>
            </w:pPr>
            <w:hyperlink w:anchor="page43">
              <w:r>
                <w:rPr>
                  <w:rFonts w:ascii="Arial" w:cs="Arial" w:eastAsia="Arial" w:hAnsi="Arial"/>
                  <w:sz w:val="18"/>
                  <w:szCs w:val="18"/>
                  <w:u w:val="single" w:color="auto"/>
                  <w:color w:val="0000FF"/>
                  <w:w w:val="99"/>
                </w:rPr>
                <w:t>44</w:t>
              </w:r>
            </w:hyperlink>
          </w:p>
        </w:tc>
        <w:tc>
          <w:tcPr>
            <w:tcW w:w="120" w:type="dxa"/>
            <w:vAlign w:val="bottom"/>
          </w:tcPr>
          <w:p>
            <w:pPr>
              <w:spacing w:after="0"/>
              <w:rPr>
                <w:sz w:val="19"/>
                <w:szCs w:val="19"/>
                <w:color w:val="auto"/>
              </w:rPr>
            </w:pPr>
          </w:p>
        </w:tc>
      </w:tr>
      <w:tr>
        <w:trPr>
          <w:trHeight w:val="229"/>
        </w:trPr>
        <w:tc>
          <w:tcPr>
            <w:tcW w:w="2760" w:type="dxa"/>
            <w:vAlign w:val="bottom"/>
          </w:tcPr>
          <w:p>
            <w:pPr>
              <w:spacing w:after="0"/>
              <w:rPr>
                <w:sz w:val="19"/>
                <w:szCs w:val="19"/>
                <w:color w:val="auto"/>
              </w:rPr>
            </w:pPr>
          </w:p>
        </w:tc>
        <w:tc>
          <w:tcPr>
            <w:tcW w:w="7940" w:type="dxa"/>
            <w:vAlign w:val="bottom"/>
          </w:tcPr>
          <w:p>
            <w:pPr>
              <w:ind w:left="58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Gross Margin, Costs, and Expenses</w:t>
              </w:r>
            </w:hyperlink>
          </w:p>
        </w:tc>
        <w:tc>
          <w:tcPr>
            <w:tcW w:w="420" w:type="dxa"/>
            <w:vAlign w:val="bottom"/>
          </w:tcPr>
          <w:p>
            <w:pPr>
              <w:jc w:val="center"/>
              <w:spacing w:after="0"/>
              <w:rPr>
                <w:rFonts w:ascii="Arial" w:cs="Arial" w:eastAsia="Arial" w:hAnsi="Arial"/>
                <w:sz w:val="18"/>
                <w:szCs w:val="18"/>
                <w:u w:val="single" w:color="auto"/>
                <w:color w:val="0000FF"/>
                <w:w w:val="99"/>
              </w:rPr>
            </w:pPr>
            <w:hyperlink w:anchor="page48">
              <w:r>
                <w:rPr>
                  <w:rFonts w:ascii="Arial" w:cs="Arial" w:eastAsia="Arial" w:hAnsi="Arial"/>
                  <w:sz w:val="18"/>
                  <w:szCs w:val="18"/>
                  <w:u w:val="single" w:color="auto"/>
                  <w:color w:val="0000FF"/>
                  <w:w w:val="99"/>
                </w:rPr>
                <w:t>49</w:t>
              </w:r>
            </w:hyperlink>
          </w:p>
        </w:tc>
        <w:tc>
          <w:tcPr>
            <w:tcW w:w="120" w:type="dxa"/>
            <w:vAlign w:val="bottom"/>
          </w:tcPr>
          <w:p>
            <w:pPr>
              <w:spacing w:after="0"/>
              <w:rPr>
                <w:sz w:val="19"/>
                <w:szCs w:val="19"/>
                <w:color w:val="auto"/>
              </w:rPr>
            </w:pPr>
          </w:p>
        </w:tc>
      </w:tr>
      <w:tr>
        <w:trPr>
          <w:trHeight w:val="230"/>
        </w:trPr>
        <w:tc>
          <w:tcPr>
            <w:tcW w:w="2760" w:type="dxa"/>
            <w:vAlign w:val="bottom"/>
          </w:tcPr>
          <w:p>
            <w:pPr>
              <w:spacing w:after="0"/>
              <w:rPr>
                <w:sz w:val="19"/>
                <w:szCs w:val="19"/>
                <w:color w:val="auto"/>
              </w:rPr>
            </w:pPr>
          </w:p>
        </w:tc>
        <w:tc>
          <w:tcPr>
            <w:tcW w:w="7940" w:type="dxa"/>
            <w:vAlign w:val="bottom"/>
          </w:tcPr>
          <w:p>
            <w:pPr>
              <w:ind w:left="58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Financial Condition</w:t>
              </w:r>
            </w:hyperlink>
          </w:p>
        </w:tc>
        <w:tc>
          <w:tcPr>
            <w:tcW w:w="420" w:type="dxa"/>
            <w:vAlign w:val="bottom"/>
          </w:tcPr>
          <w:p>
            <w:pPr>
              <w:jc w:val="center"/>
              <w:spacing w:after="0"/>
              <w:rPr>
                <w:rFonts w:ascii="Arial" w:cs="Arial" w:eastAsia="Arial" w:hAnsi="Arial"/>
                <w:sz w:val="18"/>
                <w:szCs w:val="18"/>
                <w:u w:val="single" w:color="auto"/>
                <w:color w:val="0000FF"/>
                <w:w w:val="99"/>
              </w:rPr>
            </w:pPr>
            <w:hyperlink w:anchor="page49">
              <w:r>
                <w:rPr>
                  <w:rFonts w:ascii="Arial" w:cs="Arial" w:eastAsia="Arial" w:hAnsi="Arial"/>
                  <w:sz w:val="18"/>
                  <w:szCs w:val="18"/>
                  <w:u w:val="single" w:color="auto"/>
                  <w:color w:val="0000FF"/>
                  <w:w w:val="99"/>
                </w:rPr>
                <w:t>50</w:t>
              </w:r>
            </w:hyperlink>
          </w:p>
        </w:tc>
        <w:tc>
          <w:tcPr>
            <w:tcW w:w="120" w:type="dxa"/>
            <w:vAlign w:val="bottom"/>
          </w:tcPr>
          <w:p>
            <w:pPr>
              <w:spacing w:after="0"/>
              <w:rPr>
                <w:sz w:val="19"/>
                <w:szCs w:val="19"/>
                <w:color w:val="auto"/>
              </w:rPr>
            </w:pPr>
          </w:p>
        </w:tc>
      </w:tr>
      <w:tr>
        <w:trPr>
          <w:trHeight w:val="229"/>
        </w:trPr>
        <w:tc>
          <w:tcPr>
            <w:tcW w:w="2760" w:type="dxa"/>
            <w:vAlign w:val="bottom"/>
          </w:tcPr>
          <w:p>
            <w:pPr>
              <w:spacing w:after="0"/>
              <w:rPr>
                <w:sz w:val="19"/>
                <w:szCs w:val="19"/>
                <w:color w:val="auto"/>
              </w:rPr>
            </w:pPr>
          </w:p>
        </w:tc>
        <w:tc>
          <w:tcPr>
            <w:tcW w:w="7940" w:type="dxa"/>
            <w:vAlign w:val="bottom"/>
          </w:tcPr>
          <w:p>
            <w:pPr>
              <w:ind w:left="38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Financial Expectations</w:t>
              </w:r>
            </w:hyperlink>
          </w:p>
        </w:tc>
        <w:tc>
          <w:tcPr>
            <w:tcW w:w="420" w:type="dxa"/>
            <w:vAlign w:val="bottom"/>
          </w:tcPr>
          <w:p>
            <w:pPr>
              <w:jc w:val="center"/>
              <w:spacing w:after="0"/>
              <w:rPr>
                <w:rFonts w:ascii="Arial" w:cs="Arial" w:eastAsia="Arial" w:hAnsi="Arial"/>
                <w:sz w:val="18"/>
                <w:szCs w:val="18"/>
                <w:u w:val="single" w:color="auto"/>
                <w:color w:val="0000FF"/>
                <w:w w:val="99"/>
              </w:rPr>
            </w:pPr>
            <w:hyperlink w:anchor="page50">
              <w:r>
                <w:rPr>
                  <w:rFonts w:ascii="Arial" w:cs="Arial" w:eastAsia="Arial" w:hAnsi="Arial"/>
                  <w:sz w:val="18"/>
                  <w:szCs w:val="18"/>
                  <w:u w:val="single" w:color="auto"/>
                  <w:color w:val="0000FF"/>
                  <w:w w:val="99"/>
                </w:rPr>
                <w:t>51</w:t>
              </w:r>
            </w:hyperlink>
          </w:p>
        </w:tc>
        <w:tc>
          <w:tcPr>
            <w:tcW w:w="120" w:type="dxa"/>
            <w:vAlign w:val="bottom"/>
          </w:tcPr>
          <w:p>
            <w:pPr>
              <w:spacing w:after="0"/>
              <w:rPr>
                <w:sz w:val="19"/>
                <w:szCs w:val="19"/>
                <w:color w:val="auto"/>
              </w:rPr>
            </w:pPr>
          </w:p>
        </w:tc>
      </w:tr>
      <w:tr>
        <w:trPr>
          <w:trHeight w:val="230"/>
        </w:trPr>
        <w:tc>
          <w:tcPr>
            <w:tcW w:w="2760" w:type="dxa"/>
            <w:vAlign w:val="bottom"/>
          </w:tcPr>
          <w:p>
            <w:pPr>
              <w:spacing w:after="0"/>
              <w:rPr>
                <w:sz w:val="19"/>
                <w:szCs w:val="19"/>
                <w:color w:val="auto"/>
              </w:rPr>
            </w:pPr>
          </w:p>
        </w:tc>
        <w:tc>
          <w:tcPr>
            <w:tcW w:w="7940" w:type="dxa"/>
            <w:vAlign w:val="bottom"/>
          </w:tcPr>
          <w:p>
            <w:pPr>
              <w:ind w:left="38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Available Information on our Website</w:t>
              </w:r>
            </w:hyperlink>
          </w:p>
        </w:tc>
        <w:tc>
          <w:tcPr>
            <w:tcW w:w="420" w:type="dxa"/>
            <w:vAlign w:val="bottom"/>
          </w:tcPr>
          <w:p>
            <w:pPr>
              <w:jc w:val="center"/>
              <w:spacing w:after="0"/>
              <w:rPr>
                <w:rFonts w:ascii="Arial" w:cs="Arial" w:eastAsia="Arial" w:hAnsi="Arial"/>
                <w:sz w:val="18"/>
                <w:szCs w:val="18"/>
                <w:u w:val="single" w:color="auto"/>
                <w:color w:val="0000FF"/>
                <w:w w:val="99"/>
              </w:rPr>
            </w:pPr>
            <w:hyperlink w:anchor="page51">
              <w:r>
                <w:rPr>
                  <w:rFonts w:ascii="Arial" w:cs="Arial" w:eastAsia="Arial" w:hAnsi="Arial"/>
                  <w:sz w:val="18"/>
                  <w:szCs w:val="18"/>
                  <w:u w:val="single" w:color="auto"/>
                  <w:color w:val="0000FF"/>
                  <w:w w:val="99"/>
                </w:rPr>
                <w:t>51</w:t>
              </w:r>
            </w:hyperlink>
          </w:p>
        </w:tc>
        <w:tc>
          <w:tcPr>
            <w:tcW w:w="120" w:type="dxa"/>
            <w:vAlign w:val="bottom"/>
          </w:tcPr>
          <w:p>
            <w:pPr>
              <w:spacing w:after="0"/>
              <w:rPr>
                <w:sz w:val="19"/>
                <w:szCs w:val="19"/>
                <w:color w:val="auto"/>
              </w:rPr>
            </w:pPr>
          </w:p>
        </w:tc>
      </w:tr>
      <w:tr>
        <w:trPr>
          <w:trHeight w:val="243"/>
        </w:trPr>
        <w:tc>
          <w:tcPr>
            <w:tcW w:w="2760" w:type="dxa"/>
            <w:vAlign w:val="bottom"/>
          </w:tcPr>
          <w:p>
            <w:pPr>
              <w:ind w:left="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Item 4.</w:t>
              </w:r>
            </w:hyperlink>
          </w:p>
        </w:tc>
        <w:tc>
          <w:tcPr>
            <w:tcW w:w="7940" w:type="dxa"/>
            <w:vAlign w:val="bottom"/>
          </w:tcPr>
          <w:p>
            <w:pPr>
              <w:ind w:left="38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Controls and Procedures</w:t>
              </w:r>
            </w:hyperlink>
          </w:p>
        </w:tc>
        <w:tc>
          <w:tcPr>
            <w:tcW w:w="420" w:type="dxa"/>
            <w:vAlign w:val="bottom"/>
          </w:tcPr>
          <w:p>
            <w:pPr>
              <w:jc w:val="center"/>
              <w:spacing w:after="0"/>
              <w:rPr>
                <w:rFonts w:ascii="Arial" w:cs="Arial" w:eastAsia="Arial" w:hAnsi="Arial"/>
                <w:sz w:val="18"/>
                <w:szCs w:val="18"/>
                <w:u w:val="single" w:color="auto"/>
                <w:color w:val="0000FF"/>
                <w:w w:val="99"/>
              </w:rPr>
            </w:pPr>
            <w:hyperlink w:anchor="page51">
              <w:r>
                <w:rPr>
                  <w:rFonts w:ascii="Arial" w:cs="Arial" w:eastAsia="Arial" w:hAnsi="Arial"/>
                  <w:sz w:val="18"/>
                  <w:szCs w:val="18"/>
                  <w:u w:val="single" w:color="auto"/>
                  <w:color w:val="0000FF"/>
                  <w:w w:val="99"/>
                </w:rPr>
                <w:t>52</w:t>
              </w:r>
            </w:hyperlink>
          </w:p>
        </w:tc>
        <w:tc>
          <w:tcPr>
            <w:tcW w:w="120" w:type="dxa"/>
            <w:vAlign w:val="bottom"/>
          </w:tcPr>
          <w:p>
            <w:pPr>
              <w:spacing w:after="0"/>
              <w:rPr>
                <w:sz w:val="21"/>
                <w:szCs w:val="21"/>
                <w:color w:val="auto"/>
              </w:rPr>
            </w:pPr>
          </w:p>
        </w:tc>
      </w:tr>
      <w:tr>
        <w:trPr>
          <w:trHeight w:val="499"/>
        </w:trPr>
        <w:tc>
          <w:tcPr>
            <w:tcW w:w="2760" w:type="dxa"/>
            <w:vAlign w:val="bottom"/>
          </w:tcPr>
          <w:p>
            <w:pPr>
              <w:ind w:left="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PART II. Other Information</w:t>
              </w:r>
            </w:hyperlink>
          </w:p>
        </w:tc>
        <w:tc>
          <w:tcPr>
            <w:tcW w:w="7940" w:type="dxa"/>
            <w:vAlign w:val="bottom"/>
          </w:tcPr>
          <w:p>
            <w:pPr>
              <w:spacing w:after="0"/>
              <w:rPr>
                <w:sz w:val="24"/>
                <w:szCs w:val="24"/>
                <w:color w:val="auto"/>
              </w:rPr>
            </w:pPr>
          </w:p>
        </w:tc>
        <w:tc>
          <w:tcPr>
            <w:tcW w:w="420" w:type="dxa"/>
            <w:vAlign w:val="bottom"/>
          </w:tcPr>
          <w:p>
            <w:pPr>
              <w:jc w:val="center"/>
              <w:spacing w:after="0"/>
              <w:rPr>
                <w:rFonts w:ascii="Arial" w:cs="Arial" w:eastAsia="Arial" w:hAnsi="Arial"/>
                <w:sz w:val="18"/>
                <w:szCs w:val="18"/>
                <w:u w:val="single" w:color="auto"/>
                <w:color w:val="0000FF"/>
                <w:w w:val="99"/>
              </w:rPr>
            </w:pPr>
            <w:hyperlink w:anchor="page52">
              <w:r>
                <w:rPr>
                  <w:rFonts w:ascii="Arial" w:cs="Arial" w:eastAsia="Arial" w:hAnsi="Arial"/>
                  <w:sz w:val="18"/>
                  <w:szCs w:val="18"/>
                  <w:u w:val="single" w:color="auto"/>
                  <w:color w:val="0000FF"/>
                  <w:w w:val="99"/>
                </w:rPr>
                <w:t>53</w:t>
              </w:r>
            </w:hyperlink>
          </w:p>
        </w:tc>
        <w:tc>
          <w:tcPr>
            <w:tcW w:w="120" w:type="dxa"/>
            <w:vAlign w:val="bottom"/>
          </w:tcPr>
          <w:p>
            <w:pPr>
              <w:spacing w:after="0"/>
              <w:rPr>
                <w:sz w:val="24"/>
                <w:szCs w:val="24"/>
                <w:color w:val="auto"/>
              </w:rPr>
            </w:pPr>
          </w:p>
        </w:tc>
      </w:tr>
      <w:tr>
        <w:trPr>
          <w:trHeight w:val="486"/>
        </w:trPr>
        <w:tc>
          <w:tcPr>
            <w:tcW w:w="2760" w:type="dxa"/>
            <w:vAlign w:val="bottom"/>
          </w:tcPr>
          <w:p>
            <w:pPr>
              <w:ind w:left="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Item 1.</w:t>
              </w:r>
            </w:hyperlink>
          </w:p>
        </w:tc>
        <w:tc>
          <w:tcPr>
            <w:tcW w:w="7940" w:type="dxa"/>
            <w:vAlign w:val="bottom"/>
          </w:tcPr>
          <w:p>
            <w:pPr>
              <w:ind w:left="38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Legal Proceedings</w:t>
              </w:r>
            </w:hyperlink>
          </w:p>
        </w:tc>
        <w:tc>
          <w:tcPr>
            <w:tcW w:w="420" w:type="dxa"/>
            <w:vAlign w:val="bottom"/>
          </w:tcPr>
          <w:p>
            <w:pPr>
              <w:jc w:val="center"/>
              <w:spacing w:after="0"/>
              <w:rPr>
                <w:rFonts w:ascii="Arial" w:cs="Arial" w:eastAsia="Arial" w:hAnsi="Arial"/>
                <w:sz w:val="18"/>
                <w:szCs w:val="18"/>
                <w:u w:val="single" w:color="auto"/>
                <w:color w:val="0000FF"/>
                <w:w w:val="99"/>
              </w:rPr>
            </w:pPr>
            <w:hyperlink w:anchor="page53">
              <w:r>
                <w:rPr>
                  <w:rFonts w:ascii="Arial" w:cs="Arial" w:eastAsia="Arial" w:hAnsi="Arial"/>
                  <w:sz w:val="18"/>
                  <w:szCs w:val="18"/>
                  <w:u w:val="single" w:color="auto"/>
                  <w:color w:val="0000FF"/>
                  <w:w w:val="99"/>
                </w:rPr>
                <w:t>53</w:t>
              </w:r>
            </w:hyperlink>
          </w:p>
        </w:tc>
        <w:tc>
          <w:tcPr>
            <w:tcW w:w="120" w:type="dxa"/>
            <w:vAlign w:val="bottom"/>
          </w:tcPr>
          <w:p>
            <w:pPr>
              <w:spacing w:after="0"/>
              <w:rPr>
                <w:sz w:val="24"/>
                <w:szCs w:val="24"/>
                <w:color w:val="auto"/>
              </w:rPr>
            </w:pPr>
          </w:p>
        </w:tc>
      </w:tr>
      <w:tr>
        <w:trPr>
          <w:trHeight w:val="230"/>
        </w:trPr>
        <w:tc>
          <w:tcPr>
            <w:tcW w:w="2760" w:type="dxa"/>
            <w:vAlign w:val="bottom"/>
          </w:tcPr>
          <w:p>
            <w:pPr>
              <w:ind w:left="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Item 1A.</w:t>
              </w:r>
            </w:hyperlink>
          </w:p>
        </w:tc>
        <w:tc>
          <w:tcPr>
            <w:tcW w:w="7940" w:type="dxa"/>
            <w:vAlign w:val="bottom"/>
          </w:tcPr>
          <w:p>
            <w:pPr>
              <w:ind w:left="38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Risk Factors</w:t>
              </w:r>
            </w:hyperlink>
          </w:p>
        </w:tc>
        <w:tc>
          <w:tcPr>
            <w:tcW w:w="420" w:type="dxa"/>
            <w:vAlign w:val="bottom"/>
          </w:tcPr>
          <w:p>
            <w:pPr>
              <w:jc w:val="center"/>
              <w:spacing w:after="0"/>
              <w:rPr>
                <w:rFonts w:ascii="Arial" w:cs="Arial" w:eastAsia="Arial" w:hAnsi="Arial"/>
                <w:sz w:val="18"/>
                <w:szCs w:val="18"/>
                <w:u w:val="single" w:color="auto"/>
                <w:color w:val="0000FF"/>
                <w:w w:val="99"/>
              </w:rPr>
            </w:pPr>
            <w:hyperlink w:anchor="page53">
              <w:r>
                <w:rPr>
                  <w:rFonts w:ascii="Arial" w:cs="Arial" w:eastAsia="Arial" w:hAnsi="Arial"/>
                  <w:sz w:val="18"/>
                  <w:szCs w:val="18"/>
                  <w:u w:val="single" w:color="auto"/>
                  <w:color w:val="0000FF"/>
                  <w:w w:val="99"/>
                </w:rPr>
                <w:t>53</w:t>
              </w:r>
            </w:hyperlink>
          </w:p>
        </w:tc>
        <w:tc>
          <w:tcPr>
            <w:tcW w:w="120" w:type="dxa"/>
            <w:vAlign w:val="bottom"/>
          </w:tcPr>
          <w:p>
            <w:pPr>
              <w:spacing w:after="0"/>
              <w:rPr>
                <w:sz w:val="19"/>
                <w:szCs w:val="19"/>
                <w:color w:val="auto"/>
              </w:rPr>
            </w:pPr>
          </w:p>
        </w:tc>
      </w:tr>
      <w:tr>
        <w:trPr>
          <w:trHeight w:val="230"/>
        </w:trPr>
        <w:tc>
          <w:tcPr>
            <w:tcW w:w="2760" w:type="dxa"/>
            <w:vAlign w:val="bottom"/>
          </w:tcPr>
          <w:p>
            <w:pPr>
              <w:ind w:left="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Item 2.</w:t>
              </w:r>
            </w:hyperlink>
          </w:p>
        </w:tc>
        <w:tc>
          <w:tcPr>
            <w:tcW w:w="7940" w:type="dxa"/>
            <w:vAlign w:val="bottom"/>
          </w:tcPr>
          <w:p>
            <w:pPr>
              <w:ind w:left="38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Unregistered Sales of Equity Securities and Use of Proceeds</w:t>
              </w:r>
            </w:hyperlink>
          </w:p>
        </w:tc>
        <w:tc>
          <w:tcPr>
            <w:tcW w:w="420" w:type="dxa"/>
            <w:vAlign w:val="bottom"/>
          </w:tcPr>
          <w:p>
            <w:pPr>
              <w:jc w:val="center"/>
              <w:spacing w:after="0"/>
              <w:rPr>
                <w:rFonts w:ascii="Arial" w:cs="Arial" w:eastAsia="Arial" w:hAnsi="Arial"/>
                <w:sz w:val="18"/>
                <w:szCs w:val="18"/>
                <w:u w:val="single" w:color="auto"/>
                <w:color w:val="0000FF"/>
                <w:w w:val="99"/>
              </w:rPr>
            </w:pPr>
            <w:hyperlink w:anchor="page54">
              <w:r>
                <w:rPr>
                  <w:rFonts w:ascii="Arial" w:cs="Arial" w:eastAsia="Arial" w:hAnsi="Arial"/>
                  <w:sz w:val="18"/>
                  <w:szCs w:val="18"/>
                  <w:u w:val="single" w:color="auto"/>
                  <w:color w:val="0000FF"/>
                  <w:w w:val="99"/>
                </w:rPr>
                <w:t>54</w:t>
              </w:r>
            </w:hyperlink>
          </w:p>
        </w:tc>
        <w:tc>
          <w:tcPr>
            <w:tcW w:w="120" w:type="dxa"/>
            <w:vAlign w:val="bottom"/>
          </w:tcPr>
          <w:p>
            <w:pPr>
              <w:spacing w:after="0"/>
              <w:rPr>
                <w:sz w:val="19"/>
                <w:szCs w:val="19"/>
                <w:color w:val="auto"/>
              </w:rPr>
            </w:pPr>
          </w:p>
        </w:tc>
      </w:tr>
      <w:tr>
        <w:trPr>
          <w:trHeight w:val="243"/>
        </w:trPr>
        <w:tc>
          <w:tcPr>
            <w:tcW w:w="2760" w:type="dxa"/>
            <w:vAlign w:val="bottom"/>
          </w:tcPr>
          <w:p>
            <w:pPr>
              <w:ind w:left="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Item 6.</w:t>
              </w:r>
            </w:hyperlink>
          </w:p>
        </w:tc>
        <w:tc>
          <w:tcPr>
            <w:tcW w:w="7940" w:type="dxa"/>
            <w:vAlign w:val="bottom"/>
          </w:tcPr>
          <w:p>
            <w:pPr>
              <w:ind w:left="38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Exhibits</w:t>
              </w:r>
            </w:hyperlink>
          </w:p>
        </w:tc>
        <w:tc>
          <w:tcPr>
            <w:tcW w:w="420" w:type="dxa"/>
            <w:vAlign w:val="bottom"/>
          </w:tcPr>
          <w:p>
            <w:pPr>
              <w:jc w:val="center"/>
              <w:spacing w:after="0"/>
              <w:rPr>
                <w:rFonts w:ascii="Arial" w:cs="Arial" w:eastAsia="Arial" w:hAnsi="Arial"/>
                <w:sz w:val="18"/>
                <w:szCs w:val="18"/>
                <w:u w:val="single" w:color="auto"/>
                <w:color w:val="0000FF"/>
                <w:w w:val="99"/>
              </w:rPr>
            </w:pPr>
            <w:hyperlink w:anchor="page54">
              <w:r>
                <w:rPr>
                  <w:rFonts w:ascii="Arial" w:cs="Arial" w:eastAsia="Arial" w:hAnsi="Arial"/>
                  <w:sz w:val="18"/>
                  <w:szCs w:val="18"/>
                  <w:u w:val="single" w:color="auto"/>
                  <w:color w:val="0000FF"/>
                  <w:w w:val="99"/>
                </w:rPr>
                <w:t>54</w:t>
              </w:r>
            </w:hyperlink>
          </w:p>
        </w:tc>
        <w:tc>
          <w:tcPr>
            <w:tcW w:w="120" w:type="dxa"/>
            <w:vAlign w:val="bottom"/>
          </w:tcPr>
          <w:p>
            <w:pPr>
              <w:spacing w:after="0"/>
              <w:rPr>
                <w:sz w:val="21"/>
                <w:szCs w:val="21"/>
                <w:color w:val="auto"/>
              </w:rPr>
            </w:pPr>
          </w:p>
        </w:tc>
      </w:tr>
      <w:tr>
        <w:trPr>
          <w:trHeight w:val="486"/>
        </w:trPr>
        <w:tc>
          <w:tcPr>
            <w:tcW w:w="2760" w:type="dxa"/>
            <w:vAlign w:val="bottom"/>
          </w:tcPr>
          <w:p>
            <w:pPr>
              <w:ind w:left="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Index to Exhibits</w:t>
              </w:r>
            </w:hyperlink>
          </w:p>
        </w:tc>
        <w:tc>
          <w:tcPr>
            <w:tcW w:w="7940" w:type="dxa"/>
            <w:vAlign w:val="bottom"/>
          </w:tcPr>
          <w:p>
            <w:pPr>
              <w:spacing w:after="0"/>
              <w:rPr>
                <w:sz w:val="24"/>
                <w:szCs w:val="24"/>
                <w:color w:val="auto"/>
              </w:rPr>
            </w:pPr>
          </w:p>
        </w:tc>
        <w:tc>
          <w:tcPr>
            <w:tcW w:w="420" w:type="dxa"/>
            <w:vAlign w:val="bottom"/>
          </w:tcPr>
          <w:p>
            <w:pPr>
              <w:jc w:val="center"/>
              <w:spacing w:after="0"/>
              <w:rPr>
                <w:rFonts w:ascii="Arial" w:cs="Arial" w:eastAsia="Arial" w:hAnsi="Arial"/>
                <w:sz w:val="18"/>
                <w:szCs w:val="18"/>
                <w:u w:val="single" w:color="auto"/>
                <w:color w:val="0000FF"/>
                <w:w w:val="99"/>
              </w:rPr>
            </w:pPr>
            <w:hyperlink w:anchor="page54">
              <w:r>
                <w:rPr>
                  <w:rFonts w:ascii="Arial" w:cs="Arial" w:eastAsia="Arial" w:hAnsi="Arial"/>
                  <w:sz w:val="18"/>
                  <w:szCs w:val="18"/>
                  <w:u w:val="single" w:color="auto"/>
                  <w:color w:val="0000FF"/>
                  <w:w w:val="99"/>
                </w:rPr>
                <w:t>55</w:t>
              </w:r>
            </w:hyperlink>
          </w:p>
        </w:tc>
        <w:tc>
          <w:tcPr>
            <w:tcW w:w="120" w:type="dxa"/>
            <w:vAlign w:val="bottom"/>
          </w:tcPr>
          <w:p>
            <w:pPr>
              <w:spacing w:after="0"/>
              <w:rPr>
                <w:sz w:val="24"/>
                <w:szCs w:val="24"/>
                <w:color w:val="auto"/>
              </w:rPr>
            </w:pPr>
          </w:p>
        </w:tc>
      </w:tr>
      <w:tr>
        <w:trPr>
          <w:trHeight w:val="243"/>
        </w:trPr>
        <w:tc>
          <w:tcPr>
            <w:tcW w:w="2760" w:type="dxa"/>
            <w:vAlign w:val="bottom"/>
          </w:tcPr>
          <w:p>
            <w:pPr>
              <w:ind w:left="2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Signatures</w:t>
              </w:r>
            </w:hyperlink>
          </w:p>
        </w:tc>
        <w:tc>
          <w:tcPr>
            <w:tcW w:w="7940" w:type="dxa"/>
            <w:vAlign w:val="bottom"/>
          </w:tcPr>
          <w:p>
            <w:pPr>
              <w:spacing w:after="0"/>
              <w:rPr>
                <w:sz w:val="21"/>
                <w:szCs w:val="21"/>
                <w:color w:val="auto"/>
              </w:rPr>
            </w:pPr>
          </w:p>
        </w:tc>
        <w:tc>
          <w:tcPr>
            <w:tcW w:w="420" w:type="dxa"/>
            <w:vAlign w:val="bottom"/>
          </w:tcPr>
          <w:p>
            <w:pPr>
              <w:jc w:val="center"/>
              <w:spacing w:after="0"/>
              <w:rPr>
                <w:rFonts w:ascii="Arial" w:cs="Arial" w:eastAsia="Arial" w:hAnsi="Arial"/>
                <w:sz w:val="18"/>
                <w:szCs w:val="18"/>
                <w:u w:val="single" w:color="auto"/>
                <w:color w:val="0000FF"/>
                <w:w w:val="99"/>
              </w:rPr>
            </w:pPr>
            <w:hyperlink w:anchor="page55">
              <w:r>
                <w:rPr>
                  <w:rFonts w:ascii="Arial" w:cs="Arial" w:eastAsia="Arial" w:hAnsi="Arial"/>
                  <w:sz w:val="18"/>
                  <w:szCs w:val="18"/>
                  <w:u w:val="single" w:color="auto"/>
                  <w:color w:val="0000FF"/>
                  <w:w w:val="99"/>
                </w:rPr>
                <w:t>55</w:t>
              </w:r>
            </w:hyperlink>
          </w:p>
        </w:tc>
        <w:tc>
          <w:tcPr>
            <w:tcW w:w="120" w:type="dxa"/>
            <w:vAlign w:val="bottom"/>
          </w:tcPr>
          <w:p>
            <w:pPr>
              <w:spacing w:after="0"/>
              <w:rPr>
                <w:sz w:val="21"/>
                <w:szCs w:val="21"/>
                <w:color w:val="auto"/>
              </w:rPr>
            </w:pPr>
          </w:p>
        </w:tc>
      </w:tr>
      <w:tr>
        <w:trPr>
          <w:trHeight w:val="864"/>
        </w:trPr>
        <w:tc>
          <w:tcPr>
            <w:tcW w:w="2760" w:type="dxa"/>
            <w:vAlign w:val="bottom"/>
          </w:tcPr>
          <w:p>
            <w:pPr>
              <w:spacing w:after="0"/>
              <w:rPr>
                <w:sz w:val="24"/>
                <w:szCs w:val="24"/>
                <w:color w:val="auto"/>
              </w:rPr>
            </w:pPr>
          </w:p>
        </w:tc>
        <w:tc>
          <w:tcPr>
            <w:tcW w:w="7940" w:type="dxa"/>
            <w:vAlign w:val="bottom"/>
          </w:tcPr>
          <w:p>
            <w:pPr>
              <w:ind w:left="282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1"/>
        </w:trPr>
        <w:tc>
          <w:tcPr>
            <w:tcW w:w="2760" w:type="dxa"/>
            <w:vAlign w:val="bottom"/>
            <w:tcBorders>
              <w:bottom w:val="single" w:sz="8" w:color="9A9A9A"/>
            </w:tcBorders>
          </w:tcPr>
          <w:p>
            <w:pPr>
              <w:spacing w:after="0"/>
              <w:rPr>
                <w:sz w:val="9"/>
                <w:szCs w:val="9"/>
                <w:color w:val="auto"/>
              </w:rPr>
            </w:pPr>
          </w:p>
        </w:tc>
        <w:tc>
          <w:tcPr>
            <w:tcW w:w="79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2" w:name="page3"/>
    <w:bookmarkEnd w:id="2"/>
    <w:p>
      <w:pPr>
        <w:spacing w:after="0"/>
        <w:rPr>
          <w:sz w:val="20"/>
          <w:szCs w:val="20"/>
          <w:color w:val="auto"/>
        </w:rPr>
      </w:pPr>
      <w:r>
        <w:rPr>
          <w:rFonts w:ascii="Arial" w:cs="Arial" w:eastAsia="Arial" w:hAnsi="Arial"/>
          <w:sz w:val="25"/>
          <w:szCs w:val="25"/>
          <w:i w:val="1"/>
          <w:iCs w:val="1"/>
          <w:color w:val="auto"/>
        </w:rPr>
        <w:t>Forward-Looking Statements</w:t>
      </w:r>
    </w:p>
    <w:p>
      <w:pPr>
        <w:spacing w:after="0" w:line="179"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This Quarterly Report on Form 10-Q includes forward-looking statements within the meaning of Section 27A of the Securities Act of 1933, Section 21E of the Securities Exchange Act of 1934, and the Private Securities Litigation Reform Act of 1995. Forward-looking statements include all statements that do not relate solely to historical or current facts, and can generally be identified by the use of words such as “may,” “believe,” “will,” “expect,” “project,” “estimate,” “intend,” “anticipate,” “plan,” “continue,” or similar expressions.</w:t>
      </w:r>
    </w:p>
    <w:p>
      <w:pPr>
        <w:spacing w:after="0" w:line="66"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In particular, information appearing under “Management's Discussion and Analysis of Results of Operations and Financial Condition” includes forward-looking statements. Forward-looking statements inherently involve many risks and uncertainties that could cause actual results to differ materially from those projected in these statements. Where, in any forward-looking statement, we (Lilly or the Company) express an expectation or belief as to future results or events, it is based on management's current plans and expectations, expressed in good faith and believed to have a reasonable basis. However, we can give no assurance that any such expectation or belief will result or will be achieved or accomplished. The following include some but not all of the factors that could cause actual results or events to differ materially from those anticipated:</w:t>
      </w:r>
    </w:p>
    <w:p>
      <w:pPr>
        <w:spacing w:after="0" w:line="17" w:lineRule="exact"/>
        <w:rPr>
          <w:sz w:val="20"/>
          <w:szCs w:val="20"/>
          <w:color w:val="auto"/>
        </w:rPr>
      </w:pPr>
    </w:p>
    <w:p>
      <w:pPr>
        <w:ind w:left="660" w:right="220" w:hanging="328"/>
        <w:spacing w:after="0" w:line="266"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uncertainties in the pharmaceutical research and development process, including with respect to the timing of anticipated regulatory approvals and launches of new products;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uptake of recently launched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competitive developments affecting current products and our pipeline;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expiration of intellectual property protection for certain of our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w:t>
      </w:r>
    </w:p>
    <w:p>
      <w:pPr>
        <w:spacing w:after="0" w:line="49" w:lineRule="exact"/>
        <w:rPr>
          <w:rFonts w:ascii="Arial" w:cs="Arial" w:eastAsia="Arial" w:hAnsi="Arial"/>
          <w:sz w:val="18"/>
          <w:szCs w:val="18"/>
          <w:color w:val="auto"/>
        </w:rPr>
      </w:pPr>
    </w:p>
    <w:p>
      <w:pPr>
        <w:ind w:left="660" w:right="100" w:hanging="328"/>
        <w:spacing w:after="0" w:line="266"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pricing pressures and the impact of actions of governmental and private payers affecting pricing of, reimbursement for, and access to pharmaceuticals;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compliance problems or government investigations;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actions regarding currently marketed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unexpected safety or efficacy concerns associated with our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issues with product supply stemming from manufacturing difficulties or disruptions;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changes or other developments;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patent law or regulations related to data-package exclusivity;</w:t>
      </w:r>
    </w:p>
    <w:p>
      <w:pPr>
        <w:spacing w:after="0" w:line="49" w:lineRule="exact"/>
        <w:rPr>
          <w:rFonts w:ascii="Arial" w:cs="Arial" w:eastAsia="Arial" w:hAnsi="Arial"/>
          <w:sz w:val="18"/>
          <w:szCs w:val="18"/>
          <w:color w:val="auto"/>
        </w:rPr>
      </w:pPr>
    </w:p>
    <w:p>
      <w:pPr>
        <w:ind w:left="660" w:right="440" w:hanging="328"/>
        <w:spacing w:after="0" w:line="266"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litigation, investigations, or other similar proceedings involving past, current, or future products or commercial activities as we are largely self-insured;</w:t>
      </w:r>
    </w:p>
    <w:p>
      <w:pPr>
        <w:ind w:left="660" w:hanging="328"/>
        <w:spacing w:after="0" w:line="266"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unauthorized disclosure, misappropriation, or compromise of trade secrets or other confidential data stored in our information systems, networks, and facilities, or those of third parties with whom we share our data;</w:t>
      </w:r>
    </w:p>
    <w:p>
      <w:pPr>
        <w:ind w:left="660" w:right="280" w:hanging="328"/>
        <w:spacing w:after="0" w:line="266"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tax law, including the impact of United States tax reform legislation enacted in December 2017 and related guidance, or events that differ from our assumptions related to tax positions;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foreign currency exchange rates, interest rates, and inflation;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asset impairments and restructuring charges;</w:t>
      </w:r>
    </w:p>
    <w:p>
      <w:pPr>
        <w:spacing w:after="0" w:line="49" w:lineRule="exact"/>
        <w:rPr>
          <w:rFonts w:ascii="Arial" w:cs="Arial" w:eastAsia="Arial" w:hAnsi="Arial"/>
          <w:sz w:val="18"/>
          <w:szCs w:val="18"/>
          <w:color w:val="auto"/>
        </w:rPr>
      </w:pPr>
    </w:p>
    <w:p>
      <w:pPr>
        <w:ind w:left="660" w:right="400" w:hanging="328"/>
        <w:spacing w:after="0" w:line="266"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accounting and reporting standards promulgated by the Financial Accounting Standards Board and the Securities and Exchange Commission (SEC);</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acquisitions and business development transactions and related integration costs;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technology system inadequacies or operating failures;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the evolving COVID-19 pandemic and the global response thereto;</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reliance on third-party relationships and outsourcing arrangements;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global macroeconomic conditions.</w:t>
      </w:r>
    </w:p>
    <w:p>
      <w:pPr>
        <w:spacing w:after="0" w:line="104" w:lineRule="exact"/>
        <w:rPr>
          <w:sz w:val="20"/>
          <w:szCs w:val="20"/>
          <w:color w:val="auto"/>
        </w:rPr>
      </w:pPr>
    </w:p>
    <w:p>
      <w:pPr>
        <w:ind w:right="120"/>
        <w:spacing w:after="0" w:line="247" w:lineRule="auto"/>
        <w:rPr>
          <w:rFonts w:ascii="Arial" w:cs="Arial" w:eastAsia="Arial" w:hAnsi="Arial"/>
          <w:sz w:val="18"/>
          <w:szCs w:val="18"/>
          <w:color w:val="0000FF"/>
        </w:rPr>
      </w:pPr>
      <w:r>
        <w:rPr>
          <w:rFonts w:ascii="Arial" w:cs="Arial" w:eastAsia="Arial" w:hAnsi="Arial"/>
          <w:sz w:val="18"/>
          <w:szCs w:val="18"/>
          <w:color w:val="auto"/>
        </w:rPr>
        <w:t xml:space="preserve">More information on factors that could cause actual results or events to differ materially from those anticipated is included from time to time in our reports filed with the SEC, including in Part II, Item 1A of this Form 10-Q, our Quarterly Reports on Form 10-Q for the quarters ended </w:t>
      </w:r>
      <w:hyperlink r:id="rId14">
        <w:r>
          <w:rPr>
            <w:rFonts w:ascii="Arial" w:cs="Arial" w:eastAsia="Arial" w:hAnsi="Arial"/>
            <w:sz w:val="18"/>
            <w:szCs w:val="18"/>
            <w:u w:val="single" w:color="auto"/>
            <w:color w:val="0000FF"/>
          </w:rPr>
          <w:t>March 31, 2020</w:t>
        </w:r>
        <w:r>
          <w:rPr>
            <w:rFonts w:ascii="Arial" w:cs="Arial" w:eastAsia="Arial" w:hAnsi="Arial"/>
            <w:sz w:val="18"/>
            <w:szCs w:val="18"/>
            <w:color w:val="0000FF"/>
          </w:rPr>
          <w:t xml:space="preserve"> </w:t>
        </w:r>
      </w:hyperlink>
      <w:r>
        <w:rPr>
          <w:rFonts w:ascii="Arial" w:cs="Arial" w:eastAsia="Arial" w:hAnsi="Arial"/>
          <w:sz w:val="18"/>
          <w:szCs w:val="18"/>
          <w:color w:val="000000"/>
        </w:rPr>
        <w:t>and</w:t>
      </w:r>
      <w:r>
        <w:rPr>
          <w:rFonts w:ascii="Arial" w:cs="Arial" w:eastAsia="Arial" w:hAnsi="Arial"/>
          <w:sz w:val="18"/>
          <w:szCs w:val="18"/>
          <w:color w:val="0000FF"/>
        </w:rPr>
        <w:t xml:space="preserve"> </w:t>
      </w:r>
      <w:hyperlink r:id="rId15">
        <w:r>
          <w:rPr>
            <w:rFonts w:ascii="Arial" w:cs="Arial" w:eastAsia="Arial" w:hAnsi="Arial"/>
            <w:sz w:val="18"/>
            <w:szCs w:val="18"/>
            <w:u w:val="single" w:color="auto"/>
            <w:color w:val="0000FF"/>
          </w:rPr>
          <w:t>June 30, 2020</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and in our Annual Report on</w:t>
      </w:r>
      <w:r>
        <w:rPr>
          <w:rFonts w:ascii="Arial" w:cs="Arial" w:eastAsia="Arial" w:hAnsi="Arial"/>
          <w:sz w:val="18"/>
          <w:szCs w:val="18"/>
          <w:color w:val="0000FF"/>
        </w:rPr>
        <w:t xml:space="preserve"> </w:t>
      </w:r>
      <w:hyperlink r:id="rId16">
        <w:r>
          <w:rPr>
            <w:rFonts w:ascii="Arial" w:cs="Arial" w:eastAsia="Arial" w:hAnsi="Arial"/>
            <w:sz w:val="18"/>
            <w:szCs w:val="18"/>
            <w:u w:val="single" w:color="auto"/>
            <w:color w:val="0000FF"/>
          </w:rPr>
          <w:t xml:space="preserve">Form 10-K </w:t>
        </w:r>
      </w:hyperlink>
      <w:r>
        <w:rPr>
          <w:rFonts w:ascii="Arial" w:cs="Arial" w:eastAsia="Arial" w:hAnsi="Arial"/>
          <w:sz w:val="18"/>
          <w:szCs w:val="18"/>
          <w:color w:val="000000"/>
        </w:rPr>
        <w:t>for</w:t>
      </w:r>
      <w:r>
        <w:rPr>
          <w:rFonts w:ascii="Arial" w:cs="Arial" w:eastAsia="Arial" w:hAnsi="Arial"/>
          <w:sz w:val="18"/>
          <w:szCs w:val="18"/>
          <w:color w:val="0000FF"/>
        </w:rPr>
        <w:t xml:space="preserve"> </w:t>
      </w:r>
      <w:r>
        <w:rPr>
          <w:rFonts w:ascii="Arial" w:cs="Arial" w:eastAsia="Arial" w:hAnsi="Arial"/>
          <w:sz w:val="18"/>
          <w:szCs w:val="18"/>
          <w:color w:val="000000"/>
        </w:rPr>
        <w:t>the year ended December 31, 2019, particularly under the</w:t>
      </w:r>
      <w:r>
        <w:rPr>
          <w:rFonts w:ascii="Arial" w:cs="Arial" w:eastAsia="Arial" w:hAnsi="Arial"/>
          <w:sz w:val="18"/>
          <w:szCs w:val="18"/>
          <w:color w:val="0000FF"/>
        </w:rPr>
        <w:t xml:space="preserve"> </w:t>
      </w:r>
      <w:r>
        <w:rPr>
          <w:rFonts w:ascii="Arial" w:cs="Arial" w:eastAsia="Arial" w:hAnsi="Arial"/>
          <w:sz w:val="18"/>
          <w:szCs w:val="18"/>
          <w:color w:val="000000"/>
        </w:rPr>
        <w:t>caption “Risk Factors”.</w:t>
      </w:r>
    </w:p>
    <w:p>
      <w:pPr>
        <w:spacing w:after="0" w:line="66" w:lineRule="exact"/>
        <w:rPr>
          <w:rFonts w:ascii="Arial" w:cs="Arial" w:eastAsia="Arial" w:hAnsi="Arial"/>
          <w:sz w:val="18"/>
          <w:szCs w:val="18"/>
          <w:color w:val="0000FF"/>
        </w:rPr>
      </w:pPr>
    </w:p>
    <w:p>
      <w:pPr>
        <w:ind w:right="40"/>
        <w:spacing w:after="0" w:line="253" w:lineRule="auto"/>
        <w:rPr>
          <w:sz w:val="20"/>
          <w:szCs w:val="20"/>
          <w:color w:val="auto"/>
        </w:rPr>
      </w:pPr>
      <w:r>
        <w:rPr>
          <w:rFonts w:ascii="Arial" w:cs="Arial" w:eastAsia="Arial" w:hAnsi="Arial"/>
          <w:sz w:val="18"/>
          <w:szCs w:val="18"/>
          <w:color w:val="auto"/>
        </w:rPr>
        <w:t>All forward-looking statements speak only as of the date of this report and are expressly qualified in their entirety by the cautionary statements included in or incorporated by reference into this report. Except as is required by law, we expressly disclaim any obligation to publicly release any revisions to forward-looking statements to reflect events after the date of this report.</w:t>
      </w:r>
    </w:p>
    <w:p>
      <w:pPr>
        <w:spacing w:after="0" w:line="200" w:lineRule="exact"/>
        <w:rPr>
          <w:rFonts w:ascii="Arial" w:cs="Arial" w:eastAsia="Arial" w:hAnsi="Arial"/>
          <w:sz w:val="18"/>
          <w:szCs w:val="18"/>
          <w:color w:val="0000FF"/>
        </w:rPr>
      </w:pPr>
    </w:p>
    <w:p>
      <w:pPr>
        <w:spacing w:after="0" w:line="305" w:lineRule="exact"/>
        <w:rPr>
          <w:rFonts w:ascii="Arial" w:cs="Arial" w:eastAsia="Arial" w:hAnsi="Arial"/>
          <w:sz w:val="18"/>
          <w:szCs w:val="18"/>
          <w:color w:val="0000FF"/>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3" w:name="page4"/>
    <w:bookmarkEnd w:id="3"/>
    <w:p>
      <w:pPr>
        <w:spacing w:after="0"/>
        <w:rPr>
          <w:sz w:val="20"/>
          <w:szCs w:val="20"/>
          <w:color w:val="auto"/>
        </w:rPr>
      </w:pPr>
      <w:r>
        <w:rPr>
          <w:rFonts w:ascii="Arial" w:cs="Arial" w:eastAsia="Arial" w:hAnsi="Arial"/>
          <w:sz w:val="29"/>
          <w:szCs w:val="29"/>
          <w:u w:val="single" w:color="auto"/>
          <w:color w:val="auto"/>
        </w:rPr>
        <w:t>PART I. Financial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and shares in millions, except per-share data)</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3"/>
          </w:tcPr>
          <w:p>
            <w:pPr>
              <w:jc w:val="right"/>
              <w:ind w:right="371"/>
              <w:spacing w:after="0"/>
              <w:rPr>
                <w:sz w:val="20"/>
                <w:szCs w:val="20"/>
                <w:color w:val="auto"/>
              </w:rPr>
            </w:pPr>
            <w:r>
              <w:rPr>
                <w:rFonts w:ascii="Arial" w:cs="Arial" w:eastAsia="Arial" w:hAnsi="Arial"/>
                <w:sz w:val="14"/>
                <w:szCs w:val="14"/>
                <w:b w:val="1"/>
                <w:bCs w:val="1"/>
                <w:color w:val="auto"/>
              </w:rPr>
              <w:t>Three Months Ended</w:t>
            </w:r>
          </w:p>
        </w:tc>
        <w:tc>
          <w:tcPr>
            <w:tcW w:w="24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75"/>
        </w:trPr>
        <w:tc>
          <w:tcPr>
            <w:tcW w:w="64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591"/>
              <w:spacing w:after="0"/>
              <w:rPr>
                <w:sz w:val="20"/>
                <w:szCs w:val="20"/>
                <w:color w:val="auto"/>
              </w:rPr>
            </w:pPr>
            <w:r>
              <w:rPr>
                <w:rFonts w:ascii="Arial" w:cs="Arial" w:eastAsia="Arial" w:hAnsi="Arial"/>
                <w:sz w:val="14"/>
                <w:szCs w:val="14"/>
                <w:b w:val="1"/>
                <w:bCs w:val="1"/>
                <w:color w:val="auto"/>
              </w:rPr>
              <w:t>September 30,</w:t>
            </w:r>
          </w:p>
        </w:tc>
        <w:tc>
          <w:tcPr>
            <w:tcW w:w="246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(Note 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5,740.6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5,476.6</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17,099.8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16,205.5</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Costs, expenses, and other:</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sales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1,326.4</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1,175.0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3,763.5</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3,438.6</w:t>
            </w:r>
          </w:p>
        </w:tc>
        <w:tc>
          <w:tcPr>
            <w:tcW w:w="0" w:type="dxa"/>
            <w:vAlign w:val="bottom"/>
          </w:tcPr>
          <w:p>
            <w:pPr>
              <w:spacing w:after="0"/>
              <w:rPr>
                <w:sz w:val="1"/>
                <w:szCs w:val="1"/>
                <w:color w:val="auto"/>
              </w:rPr>
            </w:pPr>
          </w:p>
        </w:tc>
      </w:tr>
      <w:tr>
        <w:trPr>
          <w:trHeight w:val="229"/>
        </w:trPr>
        <w:tc>
          <w:tcPr>
            <w:tcW w:w="648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1,465.4</w:t>
            </w:r>
          </w:p>
        </w:tc>
        <w:tc>
          <w:tcPr>
            <w:tcW w:w="30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1,380.9</w:t>
            </w:r>
          </w:p>
        </w:tc>
        <w:tc>
          <w:tcPr>
            <w:tcW w:w="30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b w:val="1"/>
                <w:bCs w:val="1"/>
                <w:color w:val="auto"/>
              </w:rPr>
              <w:t>4,247.7</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4,013.6</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Marketing, selling, and administrative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1,569.1</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1,412.3</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4,567.3</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4,515.7</w:t>
            </w:r>
          </w:p>
        </w:tc>
        <w:tc>
          <w:tcPr>
            <w:tcW w:w="0" w:type="dxa"/>
            <w:vAlign w:val="bottom"/>
          </w:tcPr>
          <w:p>
            <w:pPr>
              <w:spacing w:after="0"/>
              <w:rPr>
                <w:sz w:val="1"/>
                <w:szCs w:val="1"/>
                <w:color w:val="auto"/>
              </w:rPr>
            </w:pPr>
          </w:p>
        </w:tc>
      </w:tr>
      <w:tr>
        <w:trPr>
          <w:trHeight w:val="229"/>
        </w:trPr>
        <w:tc>
          <w:tcPr>
            <w:tcW w:w="6480" w:type="dxa"/>
            <w:vAlign w:val="bottom"/>
          </w:tcPr>
          <w:p>
            <w:pPr>
              <w:ind w:left="140"/>
              <w:spacing w:after="0"/>
              <w:rPr>
                <w:sz w:val="20"/>
                <w:szCs w:val="20"/>
                <w:color w:val="auto"/>
              </w:rPr>
            </w:pPr>
            <w:r>
              <w:rPr>
                <w:rFonts w:ascii="Arial" w:cs="Arial" w:eastAsia="Arial" w:hAnsi="Arial"/>
                <w:sz w:val="18"/>
                <w:szCs w:val="18"/>
                <w:color w:val="auto"/>
              </w:rPr>
              <w:t>Acquired in-process research and development (Note 3)</w:t>
            </w:r>
          </w:p>
        </w:tc>
        <w:tc>
          <w:tcPr>
            <w:tcW w:w="26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77.7</w:t>
            </w:r>
          </w:p>
        </w:tc>
        <w:tc>
          <w:tcPr>
            <w:tcW w:w="30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b w:val="1"/>
                <w:bCs w:val="1"/>
                <w:color w:val="auto"/>
              </w:rPr>
              <w:t>294.1</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 restructuring, and other special charges (Note 6)</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101.4</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161.3</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Other–net, (income) expense (Note 12)</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(158.9)</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24.9</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(694.9)</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4,303.4</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4,070.8</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12,339.0</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12,602.7</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1,437.2</w:t>
            </w:r>
          </w:p>
        </w:tc>
        <w:tc>
          <w:tcPr>
            <w:tcW w:w="30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1,405.8</w:t>
            </w:r>
          </w:p>
        </w:tc>
        <w:tc>
          <w:tcPr>
            <w:tcW w:w="30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b w:val="1"/>
                <w:bCs w:val="1"/>
                <w:color w:val="auto"/>
              </w:rPr>
              <w:t>4,760.8</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3,602.8</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(Note 8)</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228.8</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151.9</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683.9</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color w:val="auto"/>
              </w:rPr>
              <w:t>Net income from continuing operations</w:t>
            </w:r>
          </w:p>
        </w:tc>
        <w:tc>
          <w:tcPr>
            <w:tcW w:w="26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1,208.4</w:t>
            </w:r>
          </w:p>
        </w:tc>
        <w:tc>
          <w:tcPr>
            <w:tcW w:w="30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1,253.9</w:t>
            </w:r>
          </w:p>
        </w:tc>
        <w:tc>
          <w:tcPr>
            <w:tcW w:w="30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b w:val="1"/>
                <w:bCs w:val="1"/>
                <w:color w:val="auto"/>
              </w:rPr>
              <w:t>4,076.9</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3,142.2</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from discontinued operations (Note 5)</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3,680.5</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1,208.4</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1,253.9</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4,076.9</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6,822.7</w:t>
            </w:r>
          </w:p>
        </w:tc>
        <w:tc>
          <w:tcPr>
            <w:tcW w:w="0" w:type="dxa"/>
            <w:vAlign w:val="bottom"/>
          </w:tcPr>
          <w:p>
            <w:pPr>
              <w:spacing w:after="0"/>
              <w:rPr>
                <w:sz w:val="1"/>
                <w:szCs w:val="1"/>
                <w:color w:val="auto"/>
              </w:rPr>
            </w:pPr>
          </w:p>
        </w:tc>
      </w:tr>
      <w:tr>
        <w:trPr>
          <w:trHeight w:val="257"/>
        </w:trPr>
        <w:tc>
          <w:tcPr>
            <w:tcW w:w="64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Earnings from continuing operations - basic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1.37</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4.49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Earnings from discontinued operations - basic</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Earnings per share - 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1.33</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1.37</w:t>
            </w:r>
          </w:p>
        </w:tc>
        <w:tc>
          <w:tcPr>
            <w:tcW w:w="3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4.49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57"/>
        </w:trPr>
        <w:tc>
          <w:tcPr>
            <w:tcW w:w="6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Earnings from continuing operations - 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1.37</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4.47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Earnings from discontinued operations - diluted</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Earnings per share - 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1.33</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1.37</w:t>
            </w:r>
          </w:p>
        </w:tc>
        <w:tc>
          <w:tcPr>
            <w:tcW w:w="3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4.47</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57"/>
        </w:trPr>
        <w:tc>
          <w:tcPr>
            <w:tcW w:w="6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used in calculation of earnings per share: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907.2</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913.9</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907.5</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938.2</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911.4</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918.5</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911.9</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942.4</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 (Loss)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86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58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1,208.4</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1,253.9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4,076.9</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6,822.7</w:t>
            </w:r>
          </w:p>
        </w:tc>
        <w:tc>
          <w:tcPr>
            <w:tcW w:w="0" w:type="dxa"/>
            <w:vAlign w:val="bottom"/>
          </w:tcPr>
          <w:p>
            <w:pPr>
              <w:spacing w:after="0"/>
              <w:rPr>
                <w:sz w:val="1"/>
                <w:szCs w:val="1"/>
                <w:color w:val="auto"/>
              </w:rPr>
            </w:pPr>
          </w:p>
        </w:tc>
      </w:tr>
      <w:tr>
        <w:trPr>
          <w:trHeight w:val="175"/>
        </w:trPr>
        <w:tc>
          <w:tcPr>
            <w:tcW w:w="5860" w:type="dxa"/>
            <w:vAlign w:val="bottom"/>
          </w:tcPr>
          <w:p>
            <w:pPr>
              <w:ind w:left="20"/>
              <w:spacing w:after="0" w:line="176" w:lineRule="exact"/>
              <w:rPr>
                <w:sz w:val="20"/>
                <w:szCs w:val="20"/>
                <w:color w:val="auto"/>
              </w:rPr>
            </w:pPr>
            <w:r>
              <w:rPr>
                <w:rFonts w:ascii="Arial" w:cs="Arial" w:eastAsia="Arial" w:hAnsi="Arial"/>
                <w:sz w:val="18"/>
                <w:szCs w:val="18"/>
                <w:color w:val="auto"/>
              </w:rPr>
              <w:t>Other comprehensive income (loss) from continuing operations, net of</w:t>
            </w:r>
          </w:p>
        </w:tc>
        <w:tc>
          <w:tcPr>
            <w:tcW w:w="280" w:type="dxa"/>
            <w:vAlign w:val="bottom"/>
          </w:tcPr>
          <w:p>
            <w:pPr>
              <w:spacing w:after="0"/>
              <w:rPr>
                <w:sz w:val="15"/>
                <w:szCs w:val="15"/>
                <w:color w:val="auto"/>
              </w:rPr>
            </w:pPr>
          </w:p>
        </w:tc>
        <w:tc>
          <w:tcPr>
            <w:tcW w:w="10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127.8</w:t>
            </w:r>
          </w:p>
        </w:tc>
        <w:tc>
          <w:tcPr>
            <w:tcW w:w="3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(134.0)</w:t>
            </w:r>
          </w:p>
        </w:tc>
        <w:tc>
          <w:tcPr>
            <w:tcW w:w="1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(31.5)</w:t>
            </w:r>
          </w:p>
        </w:tc>
        <w:tc>
          <w:tcPr>
            <w:tcW w:w="3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tax (Note 11)</w:t>
            </w:r>
          </w:p>
        </w:tc>
        <w:tc>
          <w:tcPr>
            <w:tcW w:w="2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comprehensive income from discontinued operations, net of tax</w:t>
            </w: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 11)</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net of tax (Note 11)</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127.8</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1,336.2</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1,119.9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4,045.4</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6,828.4</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4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September 30, 2020</w:t>
            </w: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(Unaudited)</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i w:val="1"/>
                <w:iCs w:val="1"/>
                <w:color w:val="auto"/>
              </w:rPr>
              <w:t>Current Assets</w:t>
            </w: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 (Note 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3,595.3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2,337.5</w:t>
            </w:r>
          </w:p>
        </w:tc>
        <w:tc>
          <w:tcPr>
            <w:tcW w:w="0" w:type="dxa"/>
            <w:vAlign w:val="bottom"/>
          </w:tcPr>
          <w:p>
            <w:pPr>
              <w:spacing w:after="0"/>
              <w:rPr>
                <w:sz w:val="1"/>
                <w:szCs w:val="1"/>
                <w:color w:val="auto"/>
              </w:rPr>
            </w:pPr>
          </w:p>
        </w:tc>
      </w:tr>
      <w:tr>
        <w:trPr>
          <w:trHeight w:val="229"/>
        </w:trPr>
        <w:tc>
          <w:tcPr>
            <w:tcW w:w="7400" w:type="dxa"/>
            <w:vAlign w:val="bottom"/>
          </w:tcPr>
          <w:p>
            <w:pPr>
              <w:ind w:left="120"/>
              <w:spacing w:after="0"/>
              <w:rPr>
                <w:sz w:val="20"/>
                <w:szCs w:val="20"/>
                <w:color w:val="auto"/>
              </w:rPr>
            </w:pPr>
            <w:r>
              <w:rPr>
                <w:rFonts w:ascii="Arial" w:cs="Arial" w:eastAsia="Arial" w:hAnsi="Arial"/>
                <w:sz w:val="18"/>
                <w:szCs w:val="18"/>
                <w:color w:val="auto"/>
              </w:rPr>
              <w:t>Short-term investments (Note 7)</w:t>
            </w:r>
          </w:p>
        </w:tc>
        <w:tc>
          <w:tcPr>
            <w:tcW w:w="200" w:type="dxa"/>
            <w:vAlign w:val="bottom"/>
          </w:tcPr>
          <w:p>
            <w:pPr>
              <w:spacing w:after="0"/>
              <w:rPr>
                <w:sz w:val="19"/>
                <w:szCs w:val="19"/>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b w:val="1"/>
                <w:bCs w:val="1"/>
                <w:color w:val="auto"/>
              </w:rPr>
              <w:t>35.0</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Accounts receivable, net of allowances of </w:t>
            </w:r>
            <w:r>
              <w:rPr>
                <w:rFonts w:ascii="Arial" w:cs="Arial" w:eastAsia="Arial" w:hAnsi="Arial"/>
                <w:sz w:val="18"/>
                <w:szCs w:val="18"/>
                <w:b w:val="1"/>
                <w:bCs w:val="1"/>
                <w:color w:val="auto"/>
              </w:rPr>
              <w:t>$26.4 (2020)</w:t>
            </w:r>
            <w:r>
              <w:rPr>
                <w:rFonts w:ascii="Arial" w:cs="Arial" w:eastAsia="Arial" w:hAnsi="Arial"/>
                <w:sz w:val="18"/>
                <w:szCs w:val="18"/>
                <w:color w:val="auto"/>
              </w:rPr>
              <w:t xml:space="preserve"> and $22.4 (2019)</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4,886.7</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4,547.3</w:t>
            </w:r>
          </w:p>
        </w:tc>
        <w:tc>
          <w:tcPr>
            <w:tcW w:w="0" w:type="dxa"/>
            <w:vAlign w:val="bottom"/>
          </w:tcPr>
          <w:p>
            <w:pPr>
              <w:spacing w:after="0"/>
              <w:rPr>
                <w:sz w:val="1"/>
                <w:szCs w:val="1"/>
                <w:color w:val="auto"/>
              </w:rPr>
            </w:pPr>
          </w:p>
        </w:tc>
      </w:tr>
      <w:tr>
        <w:trPr>
          <w:trHeight w:val="229"/>
        </w:trPr>
        <w:tc>
          <w:tcPr>
            <w:tcW w:w="7400" w:type="dxa"/>
            <w:vAlign w:val="bottom"/>
          </w:tcPr>
          <w:p>
            <w:pPr>
              <w:ind w:left="120"/>
              <w:spacing w:after="0"/>
              <w:rPr>
                <w:sz w:val="20"/>
                <w:szCs w:val="20"/>
                <w:color w:val="auto"/>
              </w:rPr>
            </w:pPr>
            <w:r>
              <w:rPr>
                <w:rFonts w:ascii="Arial" w:cs="Arial" w:eastAsia="Arial" w:hAnsi="Arial"/>
                <w:sz w:val="18"/>
                <w:szCs w:val="18"/>
                <w:color w:val="auto"/>
              </w:rPr>
              <w:t>Other receivables</w:t>
            </w:r>
          </w:p>
        </w:tc>
        <w:tc>
          <w:tcPr>
            <w:tcW w:w="200" w:type="dxa"/>
            <w:vAlign w:val="bottom"/>
          </w:tcPr>
          <w:p>
            <w:pPr>
              <w:spacing w:after="0"/>
              <w:rPr>
                <w:sz w:val="19"/>
                <w:szCs w:val="19"/>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b w:val="1"/>
                <w:bCs w:val="1"/>
                <w:color w:val="auto"/>
              </w:rPr>
              <w:t>958.1</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994.2</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3,555.4</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3,190.7</w:t>
            </w:r>
          </w:p>
        </w:tc>
        <w:tc>
          <w:tcPr>
            <w:tcW w:w="0" w:type="dxa"/>
            <w:vAlign w:val="bottom"/>
          </w:tcPr>
          <w:p>
            <w:pPr>
              <w:spacing w:after="0"/>
              <w:rPr>
                <w:sz w:val="1"/>
                <w:szCs w:val="1"/>
                <w:color w:val="auto"/>
              </w:rPr>
            </w:pPr>
          </w:p>
        </w:tc>
      </w:tr>
      <w:tr>
        <w:trPr>
          <w:trHeight w:val="229"/>
        </w:trPr>
        <w:tc>
          <w:tcPr>
            <w:tcW w:w="7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w:t>
            </w: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3,209.4</w:t>
            </w: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2,538.9</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16,239.9</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13,709.6</w:t>
            </w: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Investments (Note 7)</w:t>
            </w:r>
          </w:p>
        </w:tc>
        <w:tc>
          <w:tcPr>
            <w:tcW w:w="200" w:type="dxa"/>
            <w:vAlign w:val="bottom"/>
          </w:tcPr>
          <w:p>
            <w:pPr>
              <w:spacing w:after="0"/>
              <w:rPr>
                <w:sz w:val="19"/>
                <w:szCs w:val="19"/>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b w:val="1"/>
                <w:bCs w:val="1"/>
                <w:color w:val="auto"/>
              </w:rPr>
              <w:t>2,476.2</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1,962.4</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3,726.4</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3,679.4</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Other intangibles, net</w:t>
            </w:r>
          </w:p>
        </w:tc>
        <w:tc>
          <w:tcPr>
            <w:tcW w:w="200" w:type="dxa"/>
            <w:vAlign w:val="bottom"/>
          </w:tcPr>
          <w:p>
            <w:pPr>
              <w:spacing w:after="0"/>
              <w:rPr>
                <w:sz w:val="19"/>
                <w:szCs w:val="19"/>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b w:val="1"/>
                <w:bCs w:val="1"/>
                <w:color w:val="auto"/>
              </w:rPr>
              <w:t>7,588.6</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6,618.0</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2,555.3</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2,572.6</w:t>
            </w:r>
          </w:p>
        </w:tc>
        <w:tc>
          <w:tcPr>
            <w:tcW w:w="0" w:type="dxa"/>
            <w:vAlign w:val="bottom"/>
          </w:tcPr>
          <w:p>
            <w:pPr>
              <w:spacing w:after="0"/>
              <w:rPr>
                <w:sz w:val="1"/>
                <w:szCs w:val="1"/>
                <w:color w:val="auto"/>
              </w:rPr>
            </w:pPr>
          </w:p>
        </w:tc>
      </w:tr>
      <w:tr>
        <w:trPr>
          <w:trHeight w:val="176"/>
        </w:trPr>
        <w:tc>
          <w:tcPr>
            <w:tcW w:w="7400" w:type="dxa"/>
            <w:vAlign w:val="bottom"/>
          </w:tcPr>
          <w:p>
            <w:pPr>
              <w:ind w:left="20"/>
              <w:spacing w:after="0" w:line="176" w:lineRule="exact"/>
              <w:rPr>
                <w:sz w:val="20"/>
                <w:szCs w:val="20"/>
                <w:color w:val="auto"/>
              </w:rPr>
            </w:pPr>
            <w:r>
              <w:rPr>
                <w:rFonts w:ascii="Arial" w:cs="Arial" w:eastAsia="Arial" w:hAnsi="Arial"/>
                <w:sz w:val="18"/>
                <w:szCs w:val="18"/>
                <w:color w:val="auto"/>
              </w:rPr>
              <w:t xml:space="preserve">Property and equipment, net of accumulated depreciation of </w:t>
            </w:r>
            <w:r>
              <w:rPr>
                <w:rFonts w:ascii="Arial" w:cs="Arial" w:eastAsia="Arial" w:hAnsi="Arial"/>
                <w:sz w:val="18"/>
                <w:szCs w:val="18"/>
                <w:b w:val="1"/>
                <w:bCs w:val="1"/>
                <w:color w:val="auto"/>
              </w:rPr>
              <w:t>$9,600.5 (2020)</w:t>
            </w:r>
            <w:r>
              <w:rPr>
                <w:rFonts w:ascii="Arial" w:cs="Arial" w:eastAsia="Arial" w:hAnsi="Arial"/>
                <w:sz w:val="18"/>
                <w:szCs w:val="18"/>
                <w:color w:val="auto"/>
              </w:rPr>
              <w:t xml:space="preserve"> and $9,161.6</w:t>
            </w:r>
          </w:p>
        </w:tc>
        <w:tc>
          <w:tcPr>
            <w:tcW w:w="200" w:type="dxa"/>
            <w:vAlign w:val="bottom"/>
          </w:tcPr>
          <w:p>
            <w:pPr>
              <w:spacing w:after="0"/>
              <w:rPr>
                <w:sz w:val="15"/>
                <w:szCs w:val="15"/>
                <w:color w:val="auto"/>
              </w:rPr>
            </w:pPr>
          </w:p>
        </w:tc>
        <w:tc>
          <w:tcPr>
            <w:tcW w:w="172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8,281.1</w:t>
            </w:r>
          </w:p>
        </w:tc>
        <w:tc>
          <w:tcPr>
            <w:tcW w:w="26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7,872.9</w:t>
            </w: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3,078.5</w:t>
            </w: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2,871.2</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43,946.0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39,286.1</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i w:val="1"/>
                <w:iCs w:val="1"/>
                <w:color w:val="auto"/>
              </w:rPr>
              <w:t>Current Liabilities</w:t>
            </w: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borrowings and current maturities of long-term debt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587.5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1,499.3</w:t>
            </w:r>
          </w:p>
        </w:tc>
        <w:tc>
          <w:tcPr>
            <w:tcW w:w="0" w:type="dxa"/>
            <w:vAlign w:val="bottom"/>
          </w:tcPr>
          <w:p>
            <w:pPr>
              <w:spacing w:after="0"/>
              <w:rPr>
                <w:sz w:val="1"/>
                <w:szCs w:val="1"/>
                <w:color w:val="auto"/>
              </w:rPr>
            </w:pPr>
          </w:p>
        </w:tc>
      </w:tr>
      <w:tr>
        <w:trPr>
          <w:trHeight w:val="230"/>
        </w:trPr>
        <w:tc>
          <w:tcPr>
            <w:tcW w:w="740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9"/>
                <w:szCs w:val="19"/>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b w:val="1"/>
                <w:bCs w:val="1"/>
                <w:color w:val="auto"/>
              </w:rPr>
              <w:t>1,430.1</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1,405.3</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Employee compensation</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795.6</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915.5</w:t>
            </w:r>
          </w:p>
        </w:tc>
        <w:tc>
          <w:tcPr>
            <w:tcW w:w="0" w:type="dxa"/>
            <w:vAlign w:val="bottom"/>
          </w:tcPr>
          <w:p>
            <w:pPr>
              <w:spacing w:after="0"/>
              <w:rPr>
                <w:sz w:val="1"/>
                <w:szCs w:val="1"/>
                <w:color w:val="auto"/>
              </w:rPr>
            </w:pPr>
          </w:p>
        </w:tc>
      </w:tr>
      <w:tr>
        <w:trPr>
          <w:trHeight w:val="230"/>
        </w:trPr>
        <w:tc>
          <w:tcPr>
            <w:tcW w:w="7400" w:type="dxa"/>
            <w:vAlign w:val="bottom"/>
          </w:tcPr>
          <w:p>
            <w:pPr>
              <w:ind w:left="120"/>
              <w:spacing w:after="0"/>
              <w:rPr>
                <w:sz w:val="20"/>
                <w:szCs w:val="20"/>
                <w:color w:val="auto"/>
              </w:rPr>
            </w:pPr>
            <w:r>
              <w:rPr>
                <w:rFonts w:ascii="Arial" w:cs="Arial" w:eastAsia="Arial" w:hAnsi="Arial"/>
                <w:sz w:val="18"/>
                <w:szCs w:val="18"/>
                <w:color w:val="auto"/>
              </w:rPr>
              <w:t>Sales rebates and discounts</w:t>
            </w:r>
          </w:p>
        </w:tc>
        <w:tc>
          <w:tcPr>
            <w:tcW w:w="200" w:type="dxa"/>
            <w:vAlign w:val="bottom"/>
          </w:tcPr>
          <w:p>
            <w:pPr>
              <w:spacing w:after="0"/>
              <w:rPr>
                <w:sz w:val="19"/>
                <w:szCs w:val="19"/>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b w:val="1"/>
                <w:bCs w:val="1"/>
                <w:color w:val="auto"/>
              </w:rPr>
              <w:t>5,745.2</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4,933.6</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payable</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671.5</w:t>
            </w:r>
          </w:p>
        </w:tc>
        <w:tc>
          <w:tcPr>
            <w:tcW w:w="0" w:type="dxa"/>
            <w:vAlign w:val="bottom"/>
          </w:tcPr>
          <w:p>
            <w:pPr>
              <w:spacing w:after="0"/>
              <w:rPr>
                <w:sz w:val="1"/>
                <w:szCs w:val="1"/>
                <w:color w:val="auto"/>
              </w:rPr>
            </w:pPr>
          </w:p>
        </w:tc>
      </w:tr>
      <w:tr>
        <w:trPr>
          <w:trHeight w:val="229"/>
        </w:trPr>
        <w:tc>
          <w:tcPr>
            <w:tcW w:w="7400" w:type="dxa"/>
            <w:vAlign w:val="bottom"/>
          </w:tcPr>
          <w:p>
            <w:pPr>
              <w:ind w:left="12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19"/>
                <w:szCs w:val="19"/>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b w:val="1"/>
                <w:bCs w:val="1"/>
                <w:color w:val="auto"/>
              </w:rPr>
              <w:t>1,173.5</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2,245.0</w:t>
            </w: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2,189.4</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b w:val="1"/>
                <w:bCs w:val="1"/>
                <w:color w:val="auto"/>
              </w:rPr>
              <w:t>11,976.9</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11,775.2</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Other Liabilities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12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9"/>
                <w:szCs w:val="19"/>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b w:val="1"/>
                <w:bCs w:val="1"/>
                <w:color w:val="auto"/>
              </w:rPr>
              <w:t>16,334.6</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13,817.9</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retirement benefits (Note 9)</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3,435.5</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3,698.2</w:t>
            </w:r>
          </w:p>
        </w:tc>
        <w:tc>
          <w:tcPr>
            <w:tcW w:w="0" w:type="dxa"/>
            <w:vAlign w:val="bottom"/>
          </w:tcPr>
          <w:p>
            <w:pPr>
              <w:spacing w:after="0"/>
              <w:rPr>
                <w:sz w:val="1"/>
                <w:szCs w:val="1"/>
                <w:color w:val="auto"/>
              </w:rPr>
            </w:pPr>
          </w:p>
        </w:tc>
      </w:tr>
      <w:tr>
        <w:trPr>
          <w:trHeight w:val="229"/>
        </w:trPr>
        <w:tc>
          <w:tcPr>
            <w:tcW w:w="7400" w:type="dxa"/>
            <w:vAlign w:val="bottom"/>
          </w:tcPr>
          <w:p>
            <w:pPr>
              <w:ind w:left="120"/>
              <w:spacing w:after="0"/>
              <w:rPr>
                <w:sz w:val="20"/>
                <w:szCs w:val="20"/>
                <w:color w:val="auto"/>
              </w:rPr>
            </w:pPr>
            <w:r>
              <w:rPr>
                <w:rFonts w:ascii="Arial" w:cs="Arial" w:eastAsia="Arial" w:hAnsi="Arial"/>
                <w:sz w:val="18"/>
                <w:szCs w:val="18"/>
                <w:color w:val="auto"/>
              </w:rPr>
              <w:t>Long-term income taxes payable</w:t>
            </w:r>
          </w:p>
        </w:tc>
        <w:tc>
          <w:tcPr>
            <w:tcW w:w="200" w:type="dxa"/>
            <w:vAlign w:val="bottom"/>
          </w:tcPr>
          <w:p>
            <w:pPr>
              <w:spacing w:after="0"/>
              <w:rPr>
                <w:sz w:val="19"/>
                <w:szCs w:val="19"/>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b w:val="1"/>
                <w:bCs w:val="1"/>
                <w:color w:val="auto"/>
              </w:rPr>
              <w:t>3,392.7</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3,607.2</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2,107.7</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2,187.5</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1,702.6</w:t>
            </w: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1,501.0</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liabilities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26,973.1</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24,811.8</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i w:val="1"/>
                <w:iCs w:val="1"/>
                <w:color w:val="auto"/>
              </w:rPr>
              <w:t>Commitments and Contingencies (Note 10)</w:t>
            </w: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Eli Lilly and Company Shareholders’ Equity</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19"/>
                <w:szCs w:val="19"/>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b w:val="1"/>
                <w:bCs w:val="1"/>
                <w:color w:val="auto"/>
              </w:rPr>
              <w:t>598.1</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598.8</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6,698.8</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6,685.3</w:t>
            </w:r>
          </w:p>
        </w:tc>
        <w:tc>
          <w:tcPr>
            <w:tcW w:w="0" w:type="dxa"/>
            <w:vAlign w:val="bottom"/>
          </w:tcPr>
          <w:p>
            <w:pPr>
              <w:spacing w:after="0"/>
              <w:rPr>
                <w:sz w:val="1"/>
                <w:szCs w:val="1"/>
                <w:color w:val="auto"/>
              </w:rPr>
            </w:pPr>
          </w:p>
        </w:tc>
      </w:tr>
      <w:tr>
        <w:trPr>
          <w:trHeight w:val="230"/>
        </w:trPr>
        <w:tc>
          <w:tcPr>
            <w:tcW w:w="740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9"/>
                <w:szCs w:val="19"/>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b w:val="1"/>
                <w:bCs w:val="1"/>
                <w:color w:val="auto"/>
              </w:rPr>
              <w:t>7,154.0</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4,920.4</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Employee benefit trust</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(3,013.2)</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(3,013.2)</w:t>
            </w:r>
          </w:p>
        </w:tc>
        <w:tc>
          <w:tcPr>
            <w:tcW w:w="0" w:type="dxa"/>
            <w:vAlign w:val="bottom"/>
          </w:tcPr>
          <w:p>
            <w:pPr>
              <w:spacing w:after="0"/>
              <w:rPr>
                <w:sz w:val="1"/>
                <w:szCs w:val="1"/>
                <w:color w:val="auto"/>
              </w:rPr>
            </w:pPr>
          </w:p>
        </w:tc>
      </w:tr>
      <w:tr>
        <w:trPr>
          <w:trHeight w:val="229"/>
        </w:trPr>
        <w:tc>
          <w:tcPr>
            <w:tcW w:w="7400" w:type="dxa"/>
            <w:vAlign w:val="bottom"/>
          </w:tcPr>
          <w:p>
            <w:pPr>
              <w:ind w:left="120"/>
              <w:spacing w:after="0"/>
              <w:rPr>
                <w:sz w:val="20"/>
                <w:szCs w:val="20"/>
                <w:color w:val="auto"/>
              </w:rPr>
            </w:pPr>
            <w:r>
              <w:rPr>
                <w:rFonts w:ascii="Arial" w:cs="Arial" w:eastAsia="Arial" w:hAnsi="Arial"/>
                <w:sz w:val="18"/>
                <w:szCs w:val="18"/>
                <w:color w:val="auto"/>
              </w:rPr>
              <w:t>Accumulated other comprehensive loss (Note 11)</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(6,555.1)</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(6,523.6)</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common stock in treasury</w:t>
            </w: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(55.7)</w:t>
            </w: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Total Eli Lilly and Company shareholders’ equity</w:t>
            </w:r>
          </w:p>
        </w:tc>
        <w:tc>
          <w:tcPr>
            <w:tcW w:w="200" w:type="dxa"/>
            <w:vAlign w:val="bottom"/>
          </w:tcPr>
          <w:p>
            <w:pPr>
              <w:spacing w:after="0"/>
              <w:rPr>
                <w:sz w:val="19"/>
                <w:szCs w:val="19"/>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b w:val="1"/>
                <w:bCs w:val="1"/>
                <w:color w:val="auto"/>
              </w:rPr>
              <w:t>4,826.9</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2,606.9</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169.1</w:t>
            </w: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4,996.0</w:t>
            </w: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2,699.1</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43,946.0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39,286.1</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1" w:right="339" w:bottom="1440" w:gutter="0" w:footer="0" w:header="0"/>
        </w:sectPr>
      </w:pPr>
    </w:p>
    <w:bookmarkStart w:id="6" w:name="page7"/>
    <w:bookmarkEnd w:id="6"/>
    <w:p>
      <w:pPr>
        <w:jc w:val="center"/>
        <w:ind w:right="-11"/>
        <w:spacing w:after="0"/>
        <w:rPr>
          <w:sz w:val="20"/>
          <w:szCs w:val="20"/>
          <w:color w:val="auto"/>
        </w:rPr>
      </w:pPr>
      <w:r>
        <w:rPr>
          <w:rFonts w:ascii="Arial" w:cs="Arial" w:eastAsia="Arial" w:hAnsi="Arial"/>
          <w:sz w:val="18"/>
          <w:szCs w:val="18"/>
          <w:b w:val="1"/>
          <w:bCs w:val="1"/>
          <w:color w:val="auto"/>
        </w:rPr>
        <w:t>Consolidated Condensed Statements of Equity</w:t>
      </w:r>
    </w:p>
    <w:p>
      <w:pPr>
        <w:spacing w:after="0" w:line="3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28" w:lineRule="exact"/>
        <w:rPr>
          <w:sz w:val="20"/>
          <w:szCs w:val="20"/>
          <w:color w:val="auto"/>
        </w:rPr>
      </w:pPr>
    </w:p>
    <w:tbl>
      <w:tblPr>
        <w:tblLayout w:type="fixed"/>
        <w:tblInd w:w="32" w:type="dxa"/>
        <w:tblCellMar>
          <w:top w:w="0" w:type="dxa"/>
          <w:left w:w="0" w:type="dxa"/>
          <w:bottom w:w="0" w:type="dxa"/>
          <w:right w:w="0" w:type="dxa"/>
        </w:tblCellMar>
      </w:tblPr>
      <w:tr>
        <w:trPr>
          <w:trHeight w:val="159"/>
        </w:trPr>
        <w:tc>
          <w:tcPr>
            <w:tcW w:w="26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24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11"/>
                <w:szCs w:val="11"/>
                <w:b w:val="1"/>
                <w:bCs w:val="1"/>
                <w:color w:val="auto"/>
                <w:w w:val="97"/>
              </w:rPr>
              <w:t>Equity of Eli Lilly and Company Shareholders</w:t>
            </w:r>
          </w:p>
        </w:tc>
        <w:tc>
          <w:tcPr>
            <w:tcW w:w="7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620" w:type="dxa"/>
            <w:vAlign w:val="bottom"/>
          </w:tcPr>
          <w:p>
            <w:pPr>
              <w:spacing w:after="0"/>
              <w:rPr>
                <w:sz w:val="21"/>
                <w:szCs w:val="21"/>
                <w:color w:val="auto"/>
              </w:rPr>
            </w:pPr>
          </w:p>
        </w:tc>
        <w:tc>
          <w:tcPr>
            <w:tcW w:w="1620" w:type="dxa"/>
            <w:vAlign w:val="bottom"/>
            <w:gridSpan w:val="3"/>
          </w:tcPr>
          <w:p>
            <w:pPr>
              <w:jc w:val="right"/>
              <w:ind w:right="358"/>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21"/>
                <w:szCs w:val="21"/>
                <w:color w:val="auto"/>
              </w:rPr>
            </w:pPr>
          </w:p>
        </w:tc>
        <w:tc>
          <w:tcPr>
            <w:tcW w:w="660" w:type="dxa"/>
            <w:vAlign w:val="bottom"/>
          </w:tcPr>
          <w:p>
            <w:pPr>
              <w:jc w:val="right"/>
              <w:ind w:right="60"/>
              <w:spacing w:after="0"/>
              <w:rPr>
                <w:sz w:val="20"/>
                <w:szCs w:val="20"/>
                <w:color w:val="auto"/>
              </w:rPr>
            </w:pPr>
            <w:r>
              <w:rPr>
                <w:rFonts w:ascii="Arial" w:cs="Arial" w:eastAsia="Arial" w:hAnsi="Arial"/>
                <w:sz w:val="11"/>
                <w:szCs w:val="11"/>
                <w:b w:val="1"/>
                <w:bCs w:val="1"/>
                <w:color w:val="auto"/>
                <w:w w:val="96"/>
              </w:rPr>
              <w:t>Additional</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6"/>
              </w:rPr>
              <w:t>Accumulated Other</w:t>
            </w:r>
          </w:p>
        </w:tc>
        <w:tc>
          <w:tcPr>
            <w:tcW w:w="1620" w:type="dxa"/>
            <w:vAlign w:val="bottom"/>
            <w:gridSpan w:val="3"/>
          </w:tcPr>
          <w:p>
            <w:pPr>
              <w:jc w:val="right"/>
              <w:ind w:right="58"/>
              <w:spacing w:after="0"/>
              <w:rPr>
                <w:sz w:val="20"/>
                <w:szCs w:val="20"/>
                <w:color w:val="auto"/>
              </w:rPr>
            </w:pPr>
            <w:r>
              <w:rPr>
                <w:rFonts w:ascii="Arial" w:cs="Arial" w:eastAsia="Arial" w:hAnsi="Arial"/>
                <w:sz w:val="11"/>
                <w:szCs w:val="11"/>
                <w:b w:val="1"/>
                <w:bCs w:val="1"/>
                <w:color w:val="auto"/>
              </w:rPr>
              <w:t>Common Stock in Treasury</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2620" w:type="dxa"/>
            <w:vAlign w:val="bottom"/>
            <w:vMerge w:val="restart"/>
          </w:tcPr>
          <w:p>
            <w:pPr>
              <w:ind w:left="20"/>
              <w:spacing w:after="0" w:line="95" w:lineRule="exact"/>
              <w:rPr>
                <w:sz w:val="20"/>
                <w:szCs w:val="20"/>
                <w:color w:val="auto"/>
              </w:rPr>
            </w:pPr>
            <w:r>
              <w:rPr>
                <w:rFonts w:ascii="Arial" w:cs="Arial" w:eastAsia="Arial" w:hAnsi="Arial"/>
                <w:sz w:val="10"/>
                <w:szCs w:val="10"/>
                <w:b w:val="1"/>
                <w:bCs w:val="1"/>
                <w:color w:val="auto"/>
              </w:rPr>
              <w:t>(Dollars in millions, except per-share data, and</w:t>
            </w: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vMerge w:val="restart"/>
          </w:tcPr>
          <w:p>
            <w:pPr>
              <w:jc w:val="right"/>
              <w:ind w:right="140"/>
              <w:spacing w:after="0" w:line="95" w:lineRule="exact"/>
              <w:rPr>
                <w:sz w:val="20"/>
                <w:szCs w:val="20"/>
                <w:color w:val="auto"/>
              </w:rPr>
            </w:pPr>
            <w:r>
              <w:rPr>
                <w:rFonts w:ascii="Arial" w:cs="Arial" w:eastAsia="Arial" w:hAnsi="Arial"/>
                <w:sz w:val="10"/>
                <w:szCs w:val="10"/>
                <w:b w:val="1"/>
                <w:bCs w:val="1"/>
                <w:color w:val="auto"/>
              </w:rPr>
              <w:t>Paid-in</w:t>
            </w:r>
          </w:p>
        </w:tc>
        <w:tc>
          <w:tcPr>
            <w:tcW w:w="240" w:type="dxa"/>
            <w:vAlign w:val="bottom"/>
          </w:tcPr>
          <w:p>
            <w:pPr>
              <w:spacing w:after="0"/>
              <w:rPr>
                <w:sz w:val="4"/>
                <w:szCs w:val="4"/>
                <w:color w:val="auto"/>
              </w:rPr>
            </w:pPr>
          </w:p>
        </w:tc>
        <w:tc>
          <w:tcPr>
            <w:tcW w:w="720" w:type="dxa"/>
            <w:vAlign w:val="bottom"/>
            <w:vMerge w:val="restart"/>
          </w:tcPr>
          <w:p>
            <w:pPr>
              <w:jc w:val="right"/>
              <w:ind w:right="159"/>
              <w:spacing w:after="0" w:line="95" w:lineRule="exact"/>
              <w:rPr>
                <w:sz w:val="20"/>
                <w:szCs w:val="20"/>
                <w:color w:val="auto"/>
              </w:rPr>
            </w:pPr>
            <w:r>
              <w:rPr>
                <w:rFonts w:ascii="Arial" w:cs="Arial" w:eastAsia="Arial" w:hAnsi="Arial"/>
                <w:sz w:val="10"/>
                <w:szCs w:val="10"/>
                <w:b w:val="1"/>
                <w:bCs w:val="1"/>
                <w:color w:val="auto"/>
              </w:rPr>
              <w:t>Retained</w:t>
            </w:r>
          </w:p>
        </w:tc>
        <w:tc>
          <w:tcPr>
            <w:tcW w:w="160" w:type="dxa"/>
            <w:vAlign w:val="bottom"/>
          </w:tcPr>
          <w:p>
            <w:pPr>
              <w:spacing w:after="0"/>
              <w:rPr>
                <w:sz w:val="4"/>
                <w:szCs w:val="4"/>
                <w:color w:val="auto"/>
              </w:rPr>
            </w:pPr>
          </w:p>
        </w:tc>
        <w:tc>
          <w:tcPr>
            <w:tcW w:w="840" w:type="dxa"/>
            <w:vAlign w:val="bottom"/>
            <w:vMerge w:val="restart"/>
          </w:tcPr>
          <w:p>
            <w:pPr>
              <w:jc w:val="right"/>
              <w:ind w:right="181"/>
              <w:spacing w:after="0" w:line="95" w:lineRule="exact"/>
              <w:rPr>
                <w:sz w:val="20"/>
                <w:szCs w:val="20"/>
                <w:color w:val="auto"/>
              </w:rPr>
            </w:pPr>
            <w:r>
              <w:rPr>
                <w:rFonts w:ascii="Arial" w:cs="Arial" w:eastAsia="Arial" w:hAnsi="Arial"/>
                <w:sz w:val="10"/>
                <w:szCs w:val="10"/>
                <w:b w:val="1"/>
                <w:bCs w:val="1"/>
                <w:color w:val="auto"/>
              </w:rPr>
              <w:t>Employee</w:t>
            </w:r>
          </w:p>
        </w:tc>
        <w:tc>
          <w:tcPr>
            <w:tcW w:w="180" w:type="dxa"/>
            <w:vAlign w:val="bottom"/>
          </w:tcPr>
          <w:p>
            <w:pPr>
              <w:spacing w:after="0"/>
              <w:rPr>
                <w:sz w:val="4"/>
                <w:szCs w:val="4"/>
                <w:color w:val="auto"/>
              </w:rPr>
            </w:pPr>
          </w:p>
        </w:tc>
        <w:tc>
          <w:tcPr>
            <w:tcW w:w="1100" w:type="dxa"/>
            <w:vAlign w:val="bottom"/>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Comprehensive</w:t>
            </w:r>
          </w:p>
        </w:tc>
        <w:tc>
          <w:tcPr>
            <w:tcW w:w="7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vMerge w:val="restart"/>
          </w:tcPr>
          <w:p>
            <w:pPr>
              <w:jc w:val="right"/>
              <w:ind w:right="119"/>
              <w:spacing w:after="0" w:line="95" w:lineRule="exact"/>
              <w:rPr>
                <w:sz w:val="20"/>
                <w:szCs w:val="20"/>
                <w:color w:val="auto"/>
              </w:rPr>
            </w:pPr>
            <w:r>
              <w:rPr>
                <w:rFonts w:ascii="Arial" w:cs="Arial" w:eastAsia="Arial" w:hAnsi="Arial"/>
                <w:sz w:val="10"/>
                <w:szCs w:val="10"/>
                <w:b w:val="1"/>
                <w:bCs w:val="1"/>
                <w:color w:val="auto"/>
              </w:rPr>
              <w:t>Noncontrolling</w:t>
            </w:r>
          </w:p>
        </w:tc>
        <w:tc>
          <w:tcPr>
            <w:tcW w:w="0" w:type="dxa"/>
            <w:vAlign w:val="bottom"/>
          </w:tcPr>
          <w:p>
            <w:pPr>
              <w:spacing w:after="0"/>
              <w:rPr>
                <w:sz w:val="1"/>
                <w:szCs w:val="1"/>
                <w:color w:val="auto"/>
              </w:rPr>
            </w:pPr>
          </w:p>
        </w:tc>
      </w:tr>
      <w:tr>
        <w:trPr>
          <w:trHeight w:val="21"/>
        </w:trPr>
        <w:tc>
          <w:tcPr>
            <w:tcW w:w="2620" w:type="dxa"/>
            <w:vAlign w:val="bottom"/>
            <w:vMerge w:val="continue"/>
          </w:tcPr>
          <w:p>
            <w:pPr>
              <w:spacing w:after="0" w:line="20" w:lineRule="exact"/>
              <w:rPr>
                <w:sz w:val="1"/>
                <w:szCs w:val="1"/>
                <w:color w:val="auto"/>
              </w:rPr>
            </w:pPr>
          </w:p>
        </w:tc>
        <w:tc>
          <w:tcPr>
            <w:tcW w:w="900" w:type="dxa"/>
            <w:vAlign w:val="bottom"/>
            <w:vMerge w:val="restart"/>
          </w:tcPr>
          <w:p>
            <w:pPr>
              <w:jc w:val="right"/>
              <w:ind w:right="239"/>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line="20" w:lineRule="exact"/>
              <w:rPr>
                <w:sz w:val="1"/>
                <w:szCs w:val="1"/>
                <w:color w:val="auto"/>
              </w:rPr>
            </w:pPr>
          </w:p>
        </w:tc>
        <w:tc>
          <w:tcPr>
            <w:tcW w:w="560" w:type="dxa"/>
            <w:vAlign w:val="bottom"/>
            <w:vMerge w:val="restart"/>
          </w:tcPr>
          <w:p>
            <w:pPr>
              <w:jc w:val="right"/>
              <w:ind w:right="58"/>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780" w:type="dxa"/>
            <w:vAlign w:val="bottom"/>
            <w:vMerge w:val="restart"/>
          </w:tcPr>
          <w:p>
            <w:pPr>
              <w:jc w:val="right"/>
              <w:ind w:right="179"/>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line="20" w:lineRule="exact"/>
              <w:rPr>
                <w:sz w:val="1"/>
                <w:szCs w:val="1"/>
                <w:color w:val="auto"/>
              </w:rPr>
            </w:pPr>
          </w:p>
        </w:tc>
        <w:tc>
          <w:tcPr>
            <w:tcW w:w="660" w:type="dxa"/>
            <w:vAlign w:val="bottom"/>
            <w:vMerge w:val="restart"/>
          </w:tcPr>
          <w:p>
            <w:pPr>
              <w:jc w:val="right"/>
              <w:ind w:right="138"/>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shares in thousands)</w:t>
            </w:r>
          </w:p>
        </w:tc>
        <w:tc>
          <w:tcPr>
            <w:tcW w:w="90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rPr>
              <w:t>Capital</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59"/>
              <w:spacing w:after="0"/>
              <w:rPr>
                <w:sz w:val="20"/>
                <w:szCs w:val="20"/>
                <w:color w:val="auto"/>
              </w:rPr>
            </w:pPr>
            <w:r>
              <w:rPr>
                <w:rFonts w:ascii="Arial" w:cs="Arial" w:eastAsia="Arial" w:hAnsi="Arial"/>
                <w:sz w:val="11"/>
                <w:szCs w:val="11"/>
                <w:b w:val="1"/>
                <w:bCs w:val="1"/>
                <w:color w:val="auto"/>
              </w:rPr>
              <w:t>Earnings</w:t>
            </w: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21"/>
              <w:spacing w:after="0"/>
              <w:rPr>
                <w:sz w:val="20"/>
                <w:szCs w:val="20"/>
                <w:color w:val="auto"/>
              </w:rPr>
            </w:pPr>
            <w:r>
              <w:rPr>
                <w:rFonts w:ascii="Arial" w:cs="Arial" w:eastAsia="Arial" w:hAnsi="Arial"/>
                <w:sz w:val="11"/>
                <w:szCs w:val="11"/>
                <w:b w:val="1"/>
                <w:bCs w:val="1"/>
                <w:color w:val="auto"/>
                <w:w w:val="94"/>
              </w:rPr>
              <w:t>Benefit Trust</w:t>
            </w: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80"/>
              <w:spacing w:after="0"/>
              <w:rPr>
                <w:sz w:val="20"/>
                <w:szCs w:val="20"/>
                <w:color w:val="auto"/>
              </w:rPr>
            </w:pPr>
            <w:r>
              <w:rPr>
                <w:rFonts w:ascii="Arial" w:cs="Arial" w:eastAsia="Arial" w:hAnsi="Arial"/>
                <w:sz w:val="11"/>
                <w:szCs w:val="11"/>
                <w:b w:val="1"/>
                <w:bCs w:val="1"/>
                <w:color w:val="auto"/>
              </w:rPr>
              <w:t>Loss</w:t>
            </w:r>
          </w:p>
        </w:tc>
        <w:tc>
          <w:tcPr>
            <w:tcW w:w="78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1"/>
                <w:szCs w:val="11"/>
                <w:b w:val="1"/>
                <w:bCs w:val="1"/>
                <w:color w:val="auto"/>
              </w:rPr>
              <w:t>Interests</w:t>
            </w:r>
          </w:p>
        </w:tc>
        <w:tc>
          <w:tcPr>
            <w:tcW w:w="0" w:type="dxa"/>
            <w:vAlign w:val="bottom"/>
          </w:tcPr>
          <w:p>
            <w:pPr>
              <w:spacing w:after="0"/>
              <w:rPr>
                <w:sz w:val="1"/>
                <w:szCs w:val="1"/>
                <w:color w:val="auto"/>
              </w:rPr>
            </w:pPr>
          </w:p>
        </w:tc>
      </w:tr>
      <w:tr>
        <w:trPr>
          <w:trHeight w:val="174"/>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July 1, 2019</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965,957</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603.7</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6,534.5</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4,318.1</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3"/>
                <w:szCs w:val="13"/>
                <w:color w:val="auto"/>
              </w:rPr>
              <w:t>(3,013.2)</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(5,600.5)</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541</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(62.1)</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76.8</w:t>
            </w:r>
          </w:p>
        </w:tc>
        <w:tc>
          <w:tcPr>
            <w:tcW w:w="0" w:type="dxa"/>
            <w:vAlign w:val="bottom"/>
          </w:tcPr>
          <w:p>
            <w:pPr>
              <w:spacing w:after="0"/>
              <w:rPr>
                <w:sz w:val="1"/>
                <w:szCs w:val="1"/>
                <w:color w:val="auto"/>
              </w:rPr>
            </w:pPr>
          </w:p>
        </w:tc>
      </w:tr>
      <w:tr>
        <w:trPr>
          <w:trHeight w:val="173"/>
        </w:trPr>
        <w:tc>
          <w:tcPr>
            <w:tcW w:w="26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ind w:right="59"/>
              <w:spacing w:after="0"/>
              <w:rPr>
                <w:sz w:val="20"/>
                <w:szCs w:val="20"/>
                <w:color w:val="auto"/>
              </w:rPr>
            </w:pPr>
            <w:r>
              <w:rPr>
                <w:rFonts w:ascii="Arial" w:cs="Arial" w:eastAsia="Arial" w:hAnsi="Arial"/>
                <w:sz w:val="13"/>
                <w:szCs w:val="13"/>
                <w:color w:val="auto"/>
              </w:rPr>
              <w:t>1,253.9</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19"/>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78"/>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loss, net of tax</w:t>
            </w: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(134.0)</w:t>
            </w: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20" w:type="dxa"/>
            <w:vAlign w:val="bottom"/>
          </w:tcPr>
          <w:p>
            <w:pPr>
              <w:ind w:left="20"/>
              <w:spacing w:after="0"/>
              <w:rPr>
                <w:sz w:val="20"/>
                <w:szCs w:val="20"/>
                <w:color w:val="auto"/>
              </w:rPr>
            </w:pPr>
            <w:r>
              <w:rPr>
                <w:rFonts w:ascii="Arial" w:cs="Arial" w:eastAsia="Arial" w:hAnsi="Arial"/>
                <w:sz w:val="13"/>
                <w:szCs w:val="13"/>
                <w:color w:val="auto"/>
              </w:rPr>
              <w:t>Retirement of treasury shares</w:t>
            </w:r>
          </w:p>
        </w:tc>
        <w:tc>
          <w:tcPr>
            <w:tcW w:w="900" w:type="dxa"/>
            <w:vAlign w:val="bottom"/>
          </w:tcPr>
          <w:p>
            <w:pPr>
              <w:jc w:val="right"/>
              <w:ind w:right="19"/>
              <w:spacing w:after="0"/>
              <w:rPr>
                <w:sz w:val="20"/>
                <w:szCs w:val="20"/>
                <w:color w:val="auto"/>
              </w:rPr>
            </w:pPr>
            <w:r>
              <w:rPr>
                <w:rFonts w:ascii="Arial" w:cs="Arial" w:eastAsia="Arial" w:hAnsi="Arial"/>
                <w:sz w:val="13"/>
                <w:szCs w:val="13"/>
                <w:color w:val="auto"/>
              </w:rPr>
              <w:t>(5,391)</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(3.3)</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ind w:right="19"/>
              <w:spacing w:after="0"/>
              <w:rPr>
                <w:sz w:val="20"/>
                <w:szCs w:val="20"/>
                <w:color w:val="auto"/>
              </w:rPr>
            </w:pPr>
            <w:r>
              <w:rPr>
                <w:rFonts w:ascii="Arial" w:cs="Arial" w:eastAsia="Arial" w:hAnsi="Arial"/>
                <w:sz w:val="13"/>
                <w:szCs w:val="13"/>
                <w:color w:val="auto"/>
              </w:rPr>
              <w:t>(596.6)</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jc w:val="right"/>
              <w:ind w:right="19"/>
              <w:spacing w:after="0"/>
              <w:rPr>
                <w:sz w:val="20"/>
                <w:szCs w:val="20"/>
                <w:color w:val="auto"/>
              </w:rPr>
            </w:pPr>
            <w:r>
              <w:rPr>
                <w:rFonts w:ascii="Arial" w:cs="Arial" w:eastAsia="Arial" w:hAnsi="Arial"/>
                <w:sz w:val="13"/>
                <w:szCs w:val="13"/>
                <w:color w:val="auto"/>
              </w:rPr>
              <w:t>(5,391)</w:t>
            </w:r>
          </w:p>
        </w:tc>
        <w:tc>
          <w:tcPr>
            <w:tcW w:w="180" w:type="dxa"/>
            <w:vAlign w:val="bottom"/>
          </w:tcPr>
          <w:p>
            <w:pPr>
              <w:spacing w:after="0"/>
              <w:rPr>
                <w:sz w:val="15"/>
                <w:szCs w:val="15"/>
                <w:color w:val="auto"/>
              </w:rPr>
            </w:pPr>
          </w:p>
        </w:tc>
        <w:tc>
          <w:tcPr>
            <w:tcW w:w="660" w:type="dxa"/>
            <w:vAlign w:val="bottom"/>
          </w:tcPr>
          <w:p>
            <w:pPr>
              <w:jc w:val="right"/>
              <w:ind w:right="18"/>
              <w:spacing w:after="0"/>
              <w:rPr>
                <w:sz w:val="20"/>
                <w:szCs w:val="20"/>
                <w:color w:val="auto"/>
              </w:rPr>
            </w:pPr>
            <w:r>
              <w:rPr>
                <w:rFonts w:ascii="Arial" w:cs="Arial" w:eastAsia="Arial" w:hAnsi="Arial"/>
                <w:sz w:val="13"/>
                <w:szCs w:val="13"/>
                <w:color w:val="auto"/>
              </w:rPr>
              <w:t>600.0</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treasury shares</w:t>
            </w: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5,391</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(600.0)</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620" w:type="dxa"/>
            <w:vAlign w:val="bottom"/>
          </w:tcPr>
          <w:p>
            <w:pPr>
              <w:ind w:left="20"/>
              <w:spacing w:after="0" w:line="122" w:lineRule="exact"/>
              <w:rPr>
                <w:sz w:val="20"/>
                <w:szCs w:val="20"/>
                <w:color w:val="auto"/>
              </w:rPr>
            </w:pPr>
            <w:r>
              <w:rPr>
                <w:rFonts w:ascii="Arial" w:cs="Arial" w:eastAsia="Arial" w:hAnsi="Arial"/>
                <w:sz w:val="13"/>
                <w:szCs w:val="13"/>
                <w:color w:val="auto"/>
              </w:rPr>
              <w:t>Issuance of stock under employee stock</w:t>
            </w:r>
          </w:p>
        </w:tc>
        <w:tc>
          <w:tcPr>
            <w:tcW w:w="900" w:type="dxa"/>
            <w:vAlign w:val="bottom"/>
            <w:vMerge w:val="restart"/>
          </w:tcPr>
          <w:p>
            <w:pPr>
              <w:jc w:val="right"/>
              <w:ind w:right="59"/>
              <w:spacing w:after="0"/>
              <w:rPr>
                <w:sz w:val="20"/>
                <w:szCs w:val="20"/>
                <w:color w:val="auto"/>
              </w:rPr>
            </w:pPr>
            <w:r>
              <w:rPr>
                <w:rFonts w:ascii="Arial" w:cs="Arial" w:eastAsia="Arial" w:hAnsi="Arial"/>
                <w:sz w:val="13"/>
                <w:szCs w:val="13"/>
                <w:color w:val="auto"/>
              </w:rPr>
              <w:t>10</w:t>
            </w: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(1.3)</w:t>
            </w: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3"/>
                <w:szCs w:val="13"/>
                <w:color w:val="auto"/>
              </w:rPr>
              <w:t>(11)</w:t>
            </w:r>
          </w:p>
        </w:tc>
        <w:tc>
          <w:tcPr>
            <w:tcW w:w="180" w:type="dxa"/>
            <w:vAlign w:val="bottom"/>
          </w:tcPr>
          <w:p>
            <w:pPr>
              <w:spacing w:after="0"/>
              <w:rPr>
                <w:sz w:val="10"/>
                <w:szCs w:val="10"/>
                <w:color w:val="auto"/>
              </w:rPr>
            </w:pPr>
          </w:p>
        </w:tc>
        <w:tc>
          <w:tcPr>
            <w:tcW w:w="660" w:type="dxa"/>
            <w:vAlign w:val="bottom"/>
            <w:vMerge w:val="restart"/>
          </w:tcPr>
          <w:p>
            <w:pPr>
              <w:jc w:val="right"/>
              <w:ind w:right="18"/>
              <w:spacing w:after="0"/>
              <w:rPr>
                <w:sz w:val="20"/>
                <w:szCs w:val="20"/>
                <w:color w:val="auto"/>
              </w:rPr>
            </w:pPr>
            <w:r>
              <w:rPr>
                <w:rFonts w:ascii="Arial" w:cs="Arial" w:eastAsia="Arial" w:hAnsi="Arial"/>
                <w:sz w:val="13"/>
                <w:szCs w:val="13"/>
                <w:color w:val="auto"/>
              </w:rPr>
              <w:t>1.3</w:t>
            </w: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20" w:type="dxa"/>
            <w:vAlign w:val="bottom"/>
          </w:tcPr>
          <w:p>
            <w:pPr>
              <w:ind w:left="20"/>
              <w:spacing w:after="0"/>
              <w:rPr>
                <w:sz w:val="20"/>
                <w:szCs w:val="20"/>
                <w:color w:val="auto"/>
              </w:rPr>
            </w:pPr>
            <w:r>
              <w:rPr>
                <w:rFonts w:ascii="Arial" w:cs="Arial" w:eastAsia="Arial" w:hAnsi="Arial"/>
                <w:sz w:val="13"/>
                <w:szCs w:val="13"/>
                <w:color w:val="auto"/>
              </w:rPr>
              <w:t>plans, net</w:t>
            </w:r>
          </w:p>
        </w:tc>
        <w:tc>
          <w:tcPr>
            <w:tcW w:w="9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75.5</w:t>
            </w: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6.5</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79"/>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September 30, 2019</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960,576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600.4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6,608.7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4,981.9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3"/>
                <w:szCs w:val="13"/>
                <w:color w:val="auto"/>
              </w:rPr>
              <w:t>(3,013.2)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3"/>
                <w:szCs w:val="13"/>
                <w:color w:val="auto"/>
              </w:rPr>
              <w:t>(5,734.5)</w:t>
            </w: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530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3"/>
                <w:szCs w:val="13"/>
                <w:color w:val="auto"/>
              </w:rPr>
              <w:t>79.8</w:t>
            </w:r>
          </w:p>
        </w:tc>
        <w:tc>
          <w:tcPr>
            <w:tcW w:w="0" w:type="dxa"/>
            <w:vAlign w:val="bottom"/>
          </w:tcPr>
          <w:p>
            <w:pPr>
              <w:spacing w:after="0"/>
              <w:rPr>
                <w:sz w:val="1"/>
                <w:szCs w:val="1"/>
                <w:color w:val="auto"/>
              </w:rPr>
            </w:pPr>
          </w:p>
        </w:tc>
      </w:tr>
      <w:tr>
        <w:trPr>
          <w:trHeight w:val="257"/>
        </w:trPr>
        <w:tc>
          <w:tcPr>
            <w:tcW w:w="2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July 1, 2020</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956,953</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598.1</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6,629.4</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6,617.2</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3"/>
                <w:szCs w:val="13"/>
                <w:b w:val="1"/>
                <w:bCs w:val="1"/>
                <w:color w:val="auto"/>
              </w:rPr>
              <w:t>(3,013.2)</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(6,682.9)</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487</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(55.7)</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3"/>
                <w:szCs w:val="13"/>
                <w:b w:val="1"/>
                <w:bCs w:val="1"/>
                <w:color w:val="auto"/>
              </w:rPr>
              <w:t>179.1</w:t>
            </w: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ind w:right="59"/>
              <w:spacing w:after="0"/>
              <w:rPr>
                <w:sz w:val="20"/>
                <w:szCs w:val="20"/>
                <w:color w:val="auto"/>
              </w:rPr>
            </w:pPr>
            <w:r>
              <w:rPr>
                <w:rFonts w:ascii="Arial" w:cs="Arial" w:eastAsia="Arial" w:hAnsi="Arial"/>
                <w:sz w:val="13"/>
                <w:szCs w:val="13"/>
                <w:b w:val="1"/>
                <w:bCs w:val="1"/>
                <w:color w:val="auto"/>
              </w:rPr>
              <w:t>1,208.4</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(4.8)</w:t>
            </w: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 net of tax</w:t>
            </w: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127.8</w:t>
            </w: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rPr>
                <w:sz w:val="20"/>
                <w:szCs w:val="20"/>
                <w:color w:val="auto"/>
              </w:rPr>
            </w:pPr>
            <w:r>
              <w:rPr>
                <w:rFonts w:ascii="Arial" w:cs="Arial" w:eastAsia="Arial" w:hAnsi="Arial"/>
                <w:sz w:val="13"/>
                <w:szCs w:val="13"/>
                <w:color w:val="auto"/>
              </w:rPr>
              <w:t>Cash dividends declared per share: $0.74</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ind w:right="19"/>
              <w:spacing w:after="0"/>
              <w:rPr>
                <w:sz w:val="20"/>
                <w:szCs w:val="20"/>
                <w:color w:val="auto"/>
              </w:rPr>
            </w:pPr>
            <w:r>
              <w:rPr>
                <w:rFonts w:ascii="Arial" w:cs="Arial" w:eastAsia="Arial" w:hAnsi="Arial"/>
                <w:sz w:val="13"/>
                <w:szCs w:val="13"/>
                <w:b w:val="1"/>
                <w:bCs w:val="1"/>
                <w:color w:val="auto"/>
              </w:rPr>
              <w:t>(671.6)</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62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Issuance of stock under employee stock</w:t>
            </w:r>
          </w:p>
        </w:tc>
        <w:tc>
          <w:tcPr>
            <w:tcW w:w="90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25</w:t>
            </w:r>
          </w:p>
        </w:tc>
        <w:tc>
          <w:tcPr>
            <w:tcW w:w="1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(2.3)</w:t>
            </w:r>
          </w:p>
        </w:tc>
        <w:tc>
          <w:tcPr>
            <w:tcW w:w="2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plans, net</w:t>
            </w:r>
          </w:p>
        </w:tc>
        <w:tc>
          <w:tcPr>
            <w:tcW w:w="90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71.7</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9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(5.2)</w:t>
            </w: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rPr>
                <w:sz w:val="20"/>
                <w:szCs w:val="20"/>
                <w:color w:val="auto"/>
              </w:rPr>
            </w:pPr>
            <w:r>
              <w:rPr>
                <w:rFonts w:ascii="Arial" w:cs="Arial" w:eastAsia="Arial" w:hAnsi="Arial"/>
                <w:sz w:val="13"/>
                <w:szCs w:val="13"/>
                <w:color w:val="auto"/>
              </w:rPr>
              <w:t>Balance at September 30, 2020</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b w:val="1"/>
                <w:bCs w:val="1"/>
                <w:color w:val="auto"/>
              </w:rPr>
              <w:t>956,978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598.1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6,698.8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b w:val="1"/>
                <w:bCs w:val="1"/>
                <w:color w:val="auto"/>
              </w:rPr>
              <w:t>7,154.0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rPr>
              <w:t>(3,013.2)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auto"/>
              </w:rPr>
              <w:t>(6,555.1)</w:t>
            </w: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b w:val="1"/>
                <w:bCs w:val="1"/>
                <w:color w:val="auto"/>
              </w:rPr>
              <w:t>487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(55.7)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b w:val="1"/>
                <w:bCs w:val="1"/>
                <w:color w:val="auto"/>
              </w:rPr>
              <w:t>169.1</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32" w:hanging="132"/>
        <w:spacing w:after="0"/>
        <w:tabs>
          <w:tab w:leader="none" w:pos="132" w:val="left"/>
        </w:tabs>
        <w:numPr>
          <w:ilvl w:val="0"/>
          <w:numId w:val="2"/>
        </w:numPr>
        <w:rPr>
          <w:rFonts w:ascii="Arial" w:cs="Arial" w:eastAsia="Arial" w:hAnsi="Arial"/>
          <w:sz w:val="16"/>
          <w:szCs w:val="16"/>
          <w:color w:val="auto"/>
          <w:vertAlign w:val="superscript"/>
        </w:rPr>
      </w:pPr>
      <w:r>
        <w:rPr>
          <w:rFonts w:ascii="Arial" w:cs="Arial" w:eastAsia="Arial" w:hAnsi="Arial"/>
          <w:sz w:val="13"/>
          <w:szCs w:val="13"/>
          <w:color w:val="auto"/>
        </w:rPr>
        <w:t>As of September 30, 2020, there was $1.00 billion remaining under our $8.00 billion share repurchase program authorized in June 2018.</w:t>
      </w:r>
    </w:p>
    <w:p>
      <w:pPr>
        <w:spacing w:after="0" w:line="1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884"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59"/>
        </w:trPr>
        <w:tc>
          <w:tcPr>
            <w:tcW w:w="26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28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11"/>
                <w:szCs w:val="11"/>
                <w:b w:val="1"/>
                <w:bCs w:val="1"/>
                <w:color w:val="auto"/>
                <w:w w:val="99"/>
              </w:rPr>
              <w:t>Equity of Eli Lilly and Company Shareholders</w:t>
            </w: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620" w:type="dxa"/>
            <w:vAlign w:val="bottom"/>
          </w:tcPr>
          <w:p>
            <w:pPr>
              <w:spacing w:after="0"/>
              <w:rPr>
                <w:sz w:val="21"/>
                <w:szCs w:val="21"/>
                <w:color w:val="auto"/>
              </w:rPr>
            </w:pPr>
          </w:p>
        </w:tc>
        <w:tc>
          <w:tcPr>
            <w:tcW w:w="1600" w:type="dxa"/>
            <w:vAlign w:val="bottom"/>
            <w:gridSpan w:val="3"/>
          </w:tcPr>
          <w:p>
            <w:pPr>
              <w:jc w:val="right"/>
              <w:ind w:right="338"/>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21"/>
                <w:szCs w:val="21"/>
                <w:color w:val="auto"/>
              </w:rPr>
            </w:pPr>
          </w:p>
        </w:tc>
        <w:tc>
          <w:tcPr>
            <w:tcW w:w="680" w:type="dxa"/>
            <w:vAlign w:val="bottom"/>
          </w:tcPr>
          <w:p>
            <w:pPr>
              <w:jc w:val="right"/>
              <w:ind w:right="80"/>
              <w:spacing w:after="0"/>
              <w:rPr>
                <w:sz w:val="20"/>
                <w:szCs w:val="20"/>
                <w:color w:val="auto"/>
              </w:rPr>
            </w:pPr>
            <w:r>
              <w:rPr>
                <w:rFonts w:ascii="Arial" w:cs="Arial" w:eastAsia="Arial" w:hAnsi="Arial"/>
                <w:sz w:val="11"/>
                <w:szCs w:val="11"/>
                <w:b w:val="1"/>
                <w:bCs w:val="1"/>
                <w:color w:val="auto"/>
                <w:w w:val="96"/>
              </w:rPr>
              <w:t>Additional</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8"/>
              </w:rPr>
              <w:t>Accumulated Other</w:t>
            </w:r>
          </w:p>
        </w:tc>
        <w:tc>
          <w:tcPr>
            <w:tcW w:w="1660" w:type="dxa"/>
            <w:vAlign w:val="bottom"/>
            <w:gridSpan w:val="3"/>
          </w:tcPr>
          <w:p>
            <w:pPr>
              <w:jc w:val="right"/>
              <w:ind w:right="78"/>
              <w:spacing w:after="0"/>
              <w:rPr>
                <w:sz w:val="20"/>
                <w:szCs w:val="20"/>
                <w:color w:val="auto"/>
              </w:rPr>
            </w:pPr>
            <w:r>
              <w:rPr>
                <w:rFonts w:ascii="Arial" w:cs="Arial" w:eastAsia="Arial" w:hAnsi="Arial"/>
                <w:sz w:val="11"/>
                <w:szCs w:val="11"/>
                <w:b w:val="1"/>
                <w:bCs w:val="1"/>
                <w:color w:val="auto"/>
              </w:rPr>
              <w:t>Common Stock in Treasury</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2620" w:type="dxa"/>
            <w:vAlign w:val="bottom"/>
            <w:vMerge w:val="restart"/>
          </w:tcPr>
          <w:p>
            <w:pPr>
              <w:ind w:left="20"/>
              <w:spacing w:after="0" w:line="95" w:lineRule="exact"/>
              <w:rPr>
                <w:sz w:val="20"/>
                <w:szCs w:val="20"/>
                <w:color w:val="auto"/>
              </w:rPr>
            </w:pPr>
            <w:r>
              <w:rPr>
                <w:rFonts w:ascii="Arial" w:cs="Arial" w:eastAsia="Arial" w:hAnsi="Arial"/>
                <w:sz w:val="10"/>
                <w:szCs w:val="10"/>
                <w:b w:val="1"/>
                <w:bCs w:val="1"/>
                <w:color w:val="auto"/>
              </w:rPr>
              <w:t>(Dollars in millions, except per-share data, and</w:t>
            </w: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vMerge w:val="restart"/>
          </w:tcPr>
          <w:p>
            <w:pPr>
              <w:jc w:val="right"/>
              <w:ind w:right="160"/>
              <w:spacing w:after="0" w:line="95" w:lineRule="exact"/>
              <w:rPr>
                <w:sz w:val="20"/>
                <w:szCs w:val="20"/>
                <w:color w:val="auto"/>
              </w:rPr>
            </w:pPr>
            <w:r>
              <w:rPr>
                <w:rFonts w:ascii="Arial" w:cs="Arial" w:eastAsia="Arial" w:hAnsi="Arial"/>
                <w:sz w:val="10"/>
                <w:szCs w:val="10"/>
                <w:b w:val="1"/>
                <w:bCs w:val="1"/>
                <w:color w:val="auto"/>
              </w:rPr>
              <w:t>Paid-in</w:t>
            </w:r>
          </w:p>
        </w:tc>
        <w:tc>
          <w:tcPr>
            <w:tcW w:w="240" w:type="dxa"/>
            <w:vAlign w:val="bottom"/>
          </w:tcPr>
          <w:p>
            <w:pPr>
              <w:spacing w:after="0"/>
              <w:rPr>
                <w:sz w:val="4"/>
                <w:szCs w:val="4"/>
                <w:color w:val="auto"/>
              </w:rPr>
            </w:pPr>
          </w:p>
        </w:tc>
        <w:tc>
          <w:tcPr>
            <w:tcW w:w="760" w:type="dxa"/>
            <w:vAlign w:val="bottom"/>
            <w:vMerge w:val="restart"/>
          </w:tcPr>
          <w:p>
            <w:pPr>
              <w:jc w:val="right"/>
              <w:ind w:right="179"/>
              <w:spacing w:after="0" w:line="95" w:lineRule="exact"/>
              <w:rPr>
                <w:sz w:val="20"/>
                <w:szCs w:val="20"/>
                <w:color w:val="auto"/>
              </w:rPr>
            </w:pPr>
            <w:r>
              <w:rPr>
                <w:rFonts w:ascii="Arial" w:cs="Arial" w:eastAsia="Arial" w:hAnsi="Arial"/>
                <w:sz w:val="10"/>
                <w:szCs w:val="10"/>
                <w:b w:val="1"/>
                <w:bCs w:val="1"/>
                <w:color w:val="auto"/>
              </w:rPr>
              <w:t>Retained</w:t>
            </w:r>
          </w:p>
        </w:tc>
        <w:tc>
          <w:tcPr>
            <w:tcW w:w="160" w:type="dxa"/>
            <w:vAlign w:val="bottom"/>
          </w:tcPr>
          <w:p>
            <w:pPr>
              <w:spacing w:after="0"/>
              <w:rPr>
                <w:sz w:val="4"/>
                <w:szCs w:val="4"/>
                <w:color w:val="auto"/>
              </w:rPr>
            </w:pPr>
          </w:p>
        </w:tc>
        <w:tc>
          <w:tcPr>
            <w:tcW w:w="840" w:type="dxa"/>
            <w:vAlign w:val="bottom"/>
            <w:vMerge w:val="restart"/>
          </w:tcPr>
          <w:p>
            <w:pPr>
              <w:jc w:val="right"/>
              <w:ind w:right="181"/>
              <w:spacing w:after="0" w:line="95" w:lineRule="exact"/>
              <w:rPr>
                <w:sz w:val="20"/>
                <w:szCs w:val="20"/>
                <w:color w:val="auto"/>
              </w:rPr>
            </w:pPr>
            <w:r>
              <w:rPr>
                <w:rFonts w:ascii="Arial" w:cs="Arial" w:eastAsia="Arial" w:hAnsi="Arial"/>
                <w:sz w:val="10"/>
                <w:szCs w:val="10"/>
                <w:b w:val="1"/>
                <w:bCs w:val="1"/>
                <w:color w:val="auto"/>
              </w:rPr>
              <w:t>Employee</w:t>
            </w:r>
          </w:p>
        </w:tc>
        <w:tc>
          <w:tcPr>
            <w:tcW w:w="180" w:type="dxa"/>
            <w:vAlign w:val="bottom"/>
          </w:tcPr>
          <w:p>
            <w:pPr>
              <w:spacing w:after="0"/>
              <w:rPr>
                <w:sz w:val="4"/>
                <w:szCs w:val="4"/>
                <w:color w:val="auto"/>
              </w:rPr>
            </w:pPr>
          </w:p>
        </w:tc>
        <w:tc>
          <w:tcPr>
            <w:tcW w:w="1100" w:type="dxa"/>
            <w:vAlign w:val="bottom"/>
            <w:vMerge w:val="restart"/>
          </w:tcPr>
          <w:p>
            <w:pPr>
              <w:jc w:val="center"/>
              <w:ind w:right="160"/>
              <w:spacing w:after="0" w:line="95" w:lineRule="exact"/>
              <w:rPr>
                <w:sz w:val="20"/>
                <w:szCs w:val="20"/>
                <w:color w:val="auto"/>
              </w:rPr>
            </w:pPr>
            <w:r>
              <w:rPr>
                <w:rFonts w:ascii="Arial" w:cs="Arial" w:eastAsia="Arial" w:hAnsi="Arial"/>
                <w:sz w:val="10"/>
                <w:szCs w:val="10"/>
                <w:b w:val="1"/>
                <w:bCs w:val="1"/>
                <w:color w:val="auto"/>
              </w:rPr>
              <w:t>Comprehensive</w:t>
            </w: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vMerge w:val="restart"/>
          </w:tcPr>
          <w:p>
            <w:pPr>
              <w:jc w:val="right"/>
              <w:ind w:right="79"/>
              <w:spacing w:after="0" w:line="95" w:lineRule="exact"/>
              <w:rPr>
                <w:sz w:val="20"/>
                <w:szCs w:val="20"/>
                <w:color w:val="auto"/>
              </w:rPr>
            </w:pPr>
            <w:r>
              <w:rPr>
                <w:rFonts w:ascii="Arial" w:cs="Arial" w:eastAsia="Arial" w:hAnsi="Arial"/>
                <w:sz w:val="10"/>
                <w:szCs w:val="10"/>
                <w:b w:val="1"/>
                <w:bCs w:val="1"/>
                <w:color w:val="auto"/>
              </w:rPr>
              <w:t>Noncontrolling</w:t>
            </w:r>
          </w:p>
        </w:tc>
        <w:tc>
          <w:tcPr>
            <w:tcW w:w="0" w:type="dxa"/>
            <w:vAlign w:val="bottom"/>
          </w:tcPr>
          <w:p>
            <w:pPr>
              <w:spacing w:after="0"/>
              <w:rPr>
                <w:sz w:val="1"/>
                <w:szCs w:val="1"/>
                <w:color w:val="auto"/>
              </w:rPr>
            </w:pPr>
          </w:p>
        </w:tc>
      </w:tr>
      <w:tr>
        <w:trPr>
          <w:trHeight w:val="20"/>
        </w:trPr>
        <w:tc>
          <w:tcPr>
            <w:tcW w:w="2620" w:type="dxa"/>
            <w:vAlign w:val="bottom"/>
            <w:vMerge w:val="continue"/>
          </w:tcPr>
          <w:p>
            <w:pPr>
              <w:spacing w:after="0" w:line="20" w:lineRule="exact"/>
              <w:rPr>
                <w:sz w:val="1"/>
                <w:szCs w:val="1"/>
                <w:color w:val="auto"/>
              </w:rPr>
            </w:pPr>
          </w:p>
        </w:tc>
        <w:tc>
          <w:tcPr>
            <w:tcW w:w="900" w:type="dxa"/>
            <w:vAlign w:val="bottom"/>
            <w:vMerge w:val="restart"/>
          </w:tcPr>
          <w:p>
            <w:pPr>
              <w:jc w:val="right"/>
              <w:ind w:right="239"/>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line="20" w:lineRule="exact"/>
              <w:rPr>
                <w:sz w:val="1"/>
                <w:szCs w:val="1"/>
                <w:color w:val="auto"/>
              </w:rPr>
            </w:pPr>
          </w:p>
        </w:tc>
        <w:tc>
          <w:tcPr>
            <w:tcW w:w="540" w:type="dxa"/>
            <w:vAlign w:val="bottom"/>
            <w:vMerge w:val="restart"/>
          </w:tcPr>
          <w:p>
            <w:pPr>
              <w:jc w:val="right"/>
              <w:ind w:right="58"/>
              <w:spacing w:after="0"/>
              <w:rPr>
                <w:sz w:val="20"/>
                <w:szCs w:val="20"/>
                <w:color w:val="auto"/>
              </w:rPr>
            </w:pPr>
            <w:r>
              <w:rPr>
                <w:rFonts w:ascii="Arial" w:cs="Arial" w:eastAsia="Arial" w:hAnsi="Arial"/>
                <w:sz w:val="11"/>
                <w:szCs w:val="11"/>
                <w:b w:val="1"/>
                <w:bCs w:val="1"/>
                <w:color w:val="auto"/>
                <w:w w:val="96"/>
              </w:rPr>
              <w:t>Amount</w:t>
            </w:r>
          </w:p>
        </w:tc>
        <w:tc>
          <w:tcPr>
            <w:tcW w:w="2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820" w:type="dxa"/>
            <w:vAlign w:val="bottom"/>
            <w:vMerge w:val="restart"/>
          </w:tcPr>
          <w:p>
            <w:pPr>
              <w:jc w:val="right"/>
              <w:ind w:right="198"/>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line="20" w:lineRule="exact"/>
              <w:rPr>
                <w:sz w:val="1"/>
                <w:szCs w:val="1"/>
                <w:color w:val="auto"/>
              </w:rPr>
            </w:pPr>
          </w:p>
        </w:tc>
        <w:tc>
          <w:tcPr>
            <w:tcW w:w="640" w:type="dxa"/>
            <w:vAlign w:val="bottom"/>
            <w:vMerge w:val="restart"/>
          </w:tcPr>
          <w:p>
            <w:pPr>
              <w:jc w:val="right"/>
              <w:ind w:right="118"/>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shares in thousands)</w:t>
            </w:r>
          </w:p>
        </w:tc>
        <w:tc>
          <w:tcPr>
            <w:tcW w:w="90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Capital</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1"/>
                <w:szCs w:val="11"/>
                <w:b w:val="1"/>
                <w:bCs w:val="1"/>
                <w:color w:val="auto"/>
              </w:rPr>
              <w:t>Earnings</w:t>
            </w: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01"/>
              <w:spacing w:after="0"/>
              <w:rPr>
                <w:sz w:val="20"/>
                <w:szCs w:val="20"/>
                <w:color w:val="auto"/>
              </w:rPr>
            </w:pPr>
            <w:r>
              <w:rPr>
                <w:rFonts w:ascii="Arial" w:cs="Arial" w:eastAsia="Arial" w:hAnsi="Arial"/>
                <w:sz w:val="11"/>
                <w:szCs w:val="11"/>
                <w:b w:val="1"/>
                <w:bCs w:val="1"/>
                <w:color w:val="auto"/>
                <w:w w:val="97"/>
              </w:rPr>
              <w:t>Benefit Trust</w:t>
            </w: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60"/>
              <w:spacing w:after="0"/>
              <w:rPr>
                <w:sz w:val="20"/>
                <w:szCs w:val="20"/>
                <w:color w:val="auto"/>
              </w:rPr>
            </w:pPr>
            <w:r>
              <w:rPr>
                <w:rFonts w:ascii="Arial" w:cs="Arial" w:eastAsia="Arial" w:hAnsi="Arial"/>
                <w:sz w:val="11"/>
                <w:szCs w:val="11"/>
                <w:b w:val="1"/>
                <w:bCs w:val="1"/>
                <w:color w:val="auto"/>
                <w:w w:val="93"/>
              </w:rPr>
              <w:t>Loss</w:t>
            </w:r>
          </w:p>
        </w:tc>
        <w:tc>
          <w:tcPr>
            <w:tcW w:w="82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1"/>
                <w:szCs w:val="11"/>
                <w:b w:val="1"/>
                <w:bCs w:val="1"/>
                <w:color w:val="auto"/>
              </w:rPr>
              <w:t>Interests</w:t>
            </w:r>
          </w:p>
        </w:tc>
        <w:tc>
          <w:tcPr>
            <w:tcW w:w="0" w:type="dxa"/>
            <w:vAlign w:val="bottom"/>
          </w:tcPr>
          <w:p>
            <w:pPr>
              <w:spacing w:after="0"/>
              <w:rPr>
                <w:sz w:val="1"/>
                <w:szCs w:val="1"/>
                <w:color w:val="auto"/>
              </w:rPr>
            </w:pPr>
          </w:p>
        </w:tc>
      </w:tr>
      <w:tr>
        <w:trPr>
          <w:trHeight w:val="174"/>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January 1, 2019</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1,057,639</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661.0</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6,583.6</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11,395.9</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3"/>
                <w:szCs w:val="13"/>
                <w:color w:val="auto"/>
              </w:rPr>
              <w:t>(3,013.2)</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(5,729.2)</w:t>
            </w: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604</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(69.4)</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1,080.4</w:t>
            </w:r>
          </w:p>
        </w:tc>
        <w:tc>
          <w:tcPr>
            <w:tcW w:w="0" w:type="dxa"/>
            <w:vAlign w:val="bottom"/>
          </w:tcPr>
          <w:p>
            <w:pPr>
              <w:spacing w:after="0"/>
              <w:rPr>
                <w:sz w:val="1"/>
                <w:szCs w:val="1"/>
                <w:color w:val="auto"/>
              </w:rPr>
            </w:pPr>
          </w:p>
        </w:tc>
      </w:tr>
      <w:tr>
        <w:trPr>
          <w:trHeight w:val="173"/>
        </w:trPr>
        <w:tc>
          <w:tcPr>
            <w:tcW w:w="26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59"/>
              <w:spacing w:after="0"/>
              <w:rPr>
                <w:sz w:val="20"/>
                <w:szCs w:val="20"/>
                <w:color w:val="auto"/>
              </w:rPr>
            </w:pPr>
            <w:r>
              <w:rPr>
                <w:rFonts w:ascii="Arial" w:cs="Arial" w:eastAsia="Arial" w:hAnsi="Arial"/>
                <w:sz w:val="13"/>
                <w:szCs w:val="13"/>
                <w:color w:val="auto"/>
              </w:rPr>
              <w:t>6,822.7</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25.7</w:t>
            </w:r>
          </w:p>
        </w:tc>
        <w:tc>
          <w:tcPr>
            <w:tcW w:w="0" w:type="dxa"/>
            <w:vAlign w:val="bottom"/>
          </w:tcPr>
          <w:p>
            <w:pPr>
              <w:spacing w:after="0"/>
              <w:rPr>
                <w:sz w:val="1"/>
                <w:szCs w:val="1"/>
                <w:color w:val="auto"/>
              </w:rPr>
            </w:pPr>
          </w:p>
        </w:tc>
      </w:tr>
      <w:tr>
        <w:trPr>
          <w:trHeight w:val="124"/>
        </w:trPr>
        <w:tc>
          <w:tcPr>
            <w:tcW w:w="2620" w:type="dxa"/>
            <w:vAlign w:val="bottom"/>
            <w:shd w:val="clear" w:color="auto" w:fill="CCEEFF"/>
          </w:tcPr>
          <w:p>
            <w:pPr>
              <w:ind w:left="20"/>
              <w:spacing w:after="0" w:line="124" w:lineRule="exact"/>
              <w:rPr>
                <w:sz w:val="20"/>
                <w:szCs w:val="20"/>
                <w:color w:val="auto"/>
              </w:rPr>
            </w:pPr>
            <w:r>
              <w:rPr>
                <w:rFonts w:ascii="Arial" w:cs="Arial" w:eastAsia="Arial" w:hAnsi="Arial"/>
                <w:sz w:val="13"/>
                <w:szCs w:val="13"/>
                <w:color w:val="auto"/>
              </w:rPr>
              <w:t>Other comprehensive income (loss), net of</w:t>
            </w: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(5.3)</w:t>
            </w: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w:t>
            </w: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20" w:type="dxa"/>
            <w:vAlign w:val="bottom"/>
          </w:tcPr>
          <w:p>
            <w:pPr>
              <w:ind w:left="20"/>
              <w:spacing w:after="0"/>
              <w:rPr>
                <w:sz w:val="20"/>
                <w:szCs w:val="20"/>
                <w:color w:val="auto"/>
              </w:rPr>
            </w:pPr>
            <w:r>
              <w:rPr>
                <w:rFonts w:ascii="Arial" w:cs="Arial" w:eastAsia="Arial" w:hAnsi="Arial"/>
                <w:sz w:val="13"/>
                <w:szCs w:val="13"/>
                <w:color w:val="auto"/>
              </w:rPr>
              <w:t>Cash dividends declared per share: $1.29</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19"/>
              <w:spacing w:after="0"/>
              <w:rPr>
                <w:sz w:val="20"/>
                <w:szCs w:val="20"/>
                <w:color w:val="auto"/>
              </w:rPr>
            </w:pPr>
            <w:r>
              <w:rPr>
                <w:rFonts w:ascii="Arial" w:cs="Arial" w:eastAsia="Arial" w:hAnsi="Arial"/>
                <w:sz w:val="13"/>
                <w:szCs w:val="13"/>
                <w:color w:val="auto"/>
              </w:rPr>
              <w:t>(1,171.6)</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Retirement of treasury shares</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(100,018)</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(12,065.1)</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(100,018)</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12,127.5</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20" w:type="dxa"/>
            <w:vAlign w:val="bottom"/>
          </w:tcPr>
          <w:p>
            <w:pPr>
              <w:ind w:left="20"/>
              <w:spacing w:after="0"/>
              <w:rPr>
                <w:sz w:val="20"/>
                <w:szCs w:val="20"/>
                <w:color w:val="auto"/>
              </w:rPr>
            </w:pPr>
            <w:r>
              <w:rPr>
                <w:rFonts w:ascii="Arial" w:cs="Arial" w:eastAsia="Arial" w:hAnsi="Arial"/>
                <w:sz w:val="13"/>
                <w:szCs w:val="13"/>
                <w:color w:val="auto"/>
              </w:rPr>
              <w:t>Purchase of treasury shares</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35,017</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(4,100.0)</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620" w:type="dxa"/>
            <w:vAlign w:val="bottom"/>
            <w:shd w:val="clear" w:color="auto" w:fill="CCEEFF"/>
          </w:tcPr>
          <w:p>
            <w:pPr>
              <w:ind w:left="20"/>
              <w:spacing w:after="0" w:line="124" w:lineRule="exact"/>
              <w:rPr>
                <w:sz w:val="20"/>
                <w:szCs w:val="20"/>
                <w:color w:val="auto"/>
              </w:rPr>
            </w:pPr>
            <w:r>
              <w:rPr>
                <w:rFonts w:ascii="Arial" w:cs="Arial" w:eastAsia="Arial" w:hAnsi="Arial"/>
                <w:sz w:val="13"/>
                <w:szCs w:val="13"/>
                <w:color w:val="auto"/>
              </w:rPr>
              <w:t>Issuance of stock under employee stock</w:t>
            </w:r>
          </w:p>
        </w:tc>
        <w:tc>
          <w:tcPr>
            <w:tcW w:w="90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2,955</w:t>
            </w:r>
          </w:p>
        </w:tc>
        <w:tc>
          <w:tcPr>
            <w:tcW w:w="1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2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(205.7)</w:t>
            </w: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(74)</w:t>
            </w:r>
          </w:p>
        </w:tc>
        <w:tc>
          <w:tcPr>
            <w:tcW w:w="2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2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plans, net</w:t>
            </w:r>
          </w:p>
        </w:tc>
        <w:tc>
          <w:tcPr>
            <w:tcW w:w="90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2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20"/>
              <w:spacing w:after="0"/>
              <w:rPr>
                <w:sz w:val="20"/>
                <w:szCs w:val="20"/>
                <w:color w:val="auto"/>
              </w:rPr>
            </w:pPr>
            <w:r>
              <w:rPr>
                <w:rFonts w:ascii="Arial" w:cs="Arial" w:eastAsia="Arial" w:hAnsi="Arial"/>
                <w:sz w:val="13"/>
                <w:szCs w:val="13"/>
                <w:color w:val="auto"/>
              </w:rPr>
              <w:t>230.8</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620" w:type="dxa"/>
            <w:vAlign w:val="bottom"/>
            <w:shd w:val="clear" w:color="auto" w:fill="CCEEFF"/>
          </w:tcPr>
          <w:p>
            <w:pPr>
              <w:ind w:left="20"/>
              <w:spacing w:after="0" w:line="124" w:lineRule="exact"/>
              <w:rPr>
                <w:sz w:val="20"/>
                <w:szCs w:val="20"/>
                <w:color w:val="auto"/>
              </w:rPr>
            </w:pPr>
            <w:r>
              <w:rPr>
                <w:rFonts w:ascii="Arial" w:cs="Arial" w:eastAsia="Arial" w:hAnsi="Arial"/>
                <w:sz w:val="13"/>
                <w:szCs w:val="13"/>
                <w:color w:val="auto"/>
              </w:rPr>
              <w:t>Acquisition of common stock in exchange</w:t>
            </w: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65,001</w:t>
            </w:r>
          </w:p>
        </w:tc>
        <w:tc>
          <w:tcPr>
            <w:tcW w:w="2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(8,027.5)</w:t>
            </w:r>
          </w:p>
        </w:tc>
        <w:tc>
          <w:tcPr>
            <w:tcW w:w="2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offer</w:t>
            </w: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20" w:type="dxa"/>
            <w:vAlign w:val="bottom"/>
          </w:tcPr>
          <w:p>
            <w:pPr>
              <w:ind w:left="20"/>
              <w:spacing w:after="0"/>
              <w:rPr>
                <w:sz w:val="20"/>
                <w:szCs w:val="20"/>
                <w:color w:val="auto"/>
              </w:rPr>
            </w:pPr>
            <w:r>
              <w:rPr>
                <w:rFonts w:ascii="Arial" w:cs="Arial" w:eastAsia="Arial" w:hAnsi="Arial"/>
                <w:sz w:val="13"/>
                <w:szCs w:val="13"/>
                <w:color w:val="auto"/>
              </w:rPr>
              <w:t>Deconsolidation of Elanco</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(1,028.9)</w:t>
            </w:r>
          </w:p>
        </w:tc>
        <w:tc>
          <w:tcPr>
            <w:tcW w:w="0" w:type="dxa"/>
            <w:vAlign w:val="bottom"/>
          </w:tcPr>
          <w:p>
            <w:pPr>
              <w:spacing w:after="0"/>
              <w:rPr>
                <w:sz w:val="1"/>
                <w:szCs w:val="1"/>
                <w:color w:val="auto"/>
              </w:rPr>
            </w:pPr>
          </w:p>
        </w:tc>
      </w:tr>
      <w:tr>
        <w:trPr>
          <w:trHeight w:val="178"/>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9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76"/>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Balance at September 30, 2019</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960,576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600.4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color w:val="auto"/>
              </w:rPr>
              <w:t>6,608.7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4,981.9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color w:val="auto"/>
              </w:rPr>
              <w:t>(3,013.2)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(5,734.5)</w:t>
            </w:r>
          </w:p>
        </w:tc>
        <w:tc>
          <w:tcPr>
            <w:tcW w:w="82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530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79.8</w:t>
            </w: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Arial" w:cs="Arial" w:eastAsia="Arial" w:hAnsi="Arial"/>
                <w:sz w:val="13"/>
                <w:szCs w:val="13"/>
                <w:color w:val="auto"/>
              </w:rPr>
              <w:t>Balance at January 1, 2020</w:t>
            </w:r>
          </w:p>
        </w:tc>
        <w:tc>
          <w:tcPr>
            <w:tcW w:w="900" w:type="dxa"/>
            <w:vAlign w:val="bottom"/>
          </w:tcPr>
          <w:p>
            <w:pPr>
              <w:jc w:val="right"/>
              <w:ind w:right="59"/>
              <w:spacing w:after="0"/>
              <w:rPr>
                <w:sz w:val="20"/>
                <w:szCs w:val="20"/>
                <w:color w:val="auto"/>
              </w:rPr>
            </w:pPr>
            <w:r>
              <w:rPr>
                <w:rFonts w:ascii="Arial" w:cs="Arial" w:eastAsia="Arial" w:hAnsi="Arial"/>
                <w:sz w:val="13"/>
                <w:szCs w:val="13"/>
                <w:b w:val="1"/>
                <w:bCs w:val="1"/>
                <w:color w:val="auto"/>
              </w:rPr>
              <w:t>958,056</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598.8</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ind w:right="20"/>
              <w:spacing w:after="0"/>
              <w:rPr>
                <w:sz w:val="20"/>
                <w:szCs w:val="20"/>
                <w:color w:val="auto"/>
              </w:rPr>
            </w:pPr>
            <w:r>
              <w:rPr>
                <w:rFonts w:ascii="Arial" w:cs="Arial" w:eastAsia="Arial" w:hAnsi="Arial"/>
                <w:sz w:val="13"/>
                <w:szCs w:val="13"/>
                <w:b w:val="1"/>
                <w:bCs w:val="1"/>
                <w:color w:val="auto"/>
              </w:rPr>
              <w:t>6,685.3</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59"/>
              <w:spacing w:after="0"/>
              <w:rPr>
                <w:sz w:val="20"/>
                <w:szCs w:val="20"/>
                <w:color w:val="auto"/>
              </w:rPr>
            </w:pPr>
            <w:r>
              <w:rPr>
                <w:rFonts w:ascii="Arial" w:cs="Arial" w:eastAsia="Arial" w:hAnsi="Arial"/>
                <w:sz w:val="13"/>
                <w:szCs w:val="13"/>
                <w:b w:val="1"/>
                <w:bCs w:val="1"/>
                <w:color w:val="auto"/>
              </w:rPr>
              <w:t>4,920.4</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21"/>
              <w:spacing w:after="0"/>
              <w:rPr>
                <w:sz w:val="20"/>
                <w:szCs w:val="20"/>
                <w:color w:val="auto"/>
              </w:rPr>
            </w:pPr>
            <w:r>
              <w:rPr>
                <w:rFonts w:ascii="Arial" w:cs="Arial" w:eastAsia="Arial" w:hAnsi="Arial"/>
                <w:sz w:val="13"/>
                <w:szCs w:val="13"/>
                <w:b w:val="1"/>
                <w:bCs w:val="1"/>
                <w:color w:val="auto"/>
              </w:rPr>
              <w:t>(3,013.2)</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right"/>
              <w:ind w:right="60"/>
              <w:spacing w:after="0"/>
              <w:rPr>
                <w:sz w:val="20"/>
                <w:szCs w:val="20"/>
                <w:color w:val="auto"/>
              </w:rPr>
            </w:pPr>
            <w:r>
              <w:rPr>
                <w:rFonts w:ascii="Arial" w:cs="Arial" w:eastAsia="Arial" w:hAnsi="Arial"/>
                <w:sz w:val="13"/>
                <w:szCs w:val="13"/>
                <w:b w:val="1"/>
                <w:bCs w:val="1"/>
                <w:color w:val="auto"/>
              </w:rPr>
              <w:t>(6,523.6)</w:t>
            </w:r>
          </w:p>
        </w:tc>
        <w:tc>
          <w:tcPr>
            <w:tcW w:w="820" w:type="dxa"/>
            <w:vAlign w:val="bottom"/>
          </w:tcPr>
          <w:p>
            <w:pPr>
              <w:jc w:val="right"/>
              <w:ind w:right="38"/>
              <w:spacing w:after="0"/>
              <w:rPr>
                <w:sz w:val="20"/>
                <w:szCs w:val="20"/>
                <w:color w:val="auto"/>
              </w:rPr>
            </w:pPr>
            <w:r>
              <w:rPr>
                <w:rFonts w:ascii="Arial" w:cs="Arial" w:eastAsia="Arial" w:hAnsi="Arial"/>
                <w:sz w:val="13"/>
                <w:szCs w:val="13"/>
                <w:b w:val="1"/>
                <w:bCs w:val="1"/>
                <w:color w:val="auto"/>
              </w:rPr>
              <w:t>530</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(60.8)</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92.2</w:t>
            </w:r>
          </w:p>
        </w:tc>
        <w:tc>
          <w:tcPr>
            <w:tcW w:w="0" w:type="dxa"/>
            <w:vAlign w:val="bottom"/>
          </w:tcPr>
          <w:p>
            <w:pPr>
              <w:spacing w:after="0"/>
              <w:rPr>
                <w:sz w:val="1"/>
                <w:szCs w:val="1"/>
                <w:color w:val="auto"/>
              </w:rPr>
            </w:pPr>
          </w:p>
        </w:tc>
      </w:tr>
      <w:tr>
        <w:trPr>
          <w:trHeight w:val="176"/>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4,076.9</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95.9</w:t>
            </w: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Arial" w:cs="Arial" w:eastAsia="Arial" w:hAnsi="Arial"/>
                <w:sz w:val="13"/>
                <w:szCs w:val="13"/>
                <w:color w:val="auto"/>
              </w:rPr>
              <w:t>Other comprehensive loss, net of tax</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60"/>
              <w:spacing w:after="0"/>
              <w:rPr>
                <w:sz w:val="20"/>
                <w:szCs w:val="20"/>
                <w:color w:val="auto"/>
              </w:rPr>
            </w:pPr>
            <w:r>
              <w:rPr>
                <w:rFonts w:ascii="Arial" w:cs="Arial" w:eastAsia="Arial" w:hAnsi="Arial"/>
                <w:sz w:val="13"/>
                <w:szCs w:val="13"/>
                <w:b w:val="1"/>
                <w:bCs w:val="1"/>
                <w:color w:val="auto"/>
              </w:rPr>
              <w:t>(31.5)</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declared per share: $1.48</w:t>
            </w: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3"/>
                <w:szCs w:val="13"/>
                <w:b w:val="1"/>
                <w:bCs w:val="1"/>
                <w:color w:val="auto"/>
              </w:rPr>
              <w:t>(1,345.6)</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Arial" w:cs="Arial" w:eastAsia="Arial" w:hAnsi="Arial"/>
                <w:sz w:val="13"/>
                <w:szCs w:val="13"/>
                <w:color w:val="auto"/>
              </w:rPr>
              <w:t>Retirement of treasury shares</w:t>
            </w:r>
          </w:p>
        </w:tc>
        <w:tc>
          <w:tcPr>
            <w:tcW w:w="900" w:type="dxa"/>
            <w:vAlign w:val="bottom"/>
          </w:tcPr>
          <w:p>
            <w:pPr>
              <w:jc w:val="right"/>
              <w:ind w:right="19"/>
              <w:spacing w:after="0"/>
              <w:rPr>
                <w:sz w:val="20"/>
                <w:szCs w:val="20"/>
                <w:color w:val="auto"/>
              </w:rPr>
            </w:pPr>
            <w:r>
              <w:rPr>
                <w:rFonts w:ascii="Arial" w:cs="Arial" w:eastAsia="Arial" w:hAnsi="Arial"/>
                <w:sz w:val="13"/>
                <w:szCs w:val="13"/>
                <w:b w:val="1"/>
                <w:bCs w:val="1"/>
                <w:color w:val="auto"/>
              </w:rPr>
              <w:t>(3,627)</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(2.3)</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19"/>
              <w:spacing w:after="0"/>
              <w:rPr>
                <w:sz w:val="20"/>
                <w:szCs w:val="20"/>
                <w:color w:val="auto"/>
              </w:rPr>
            </w:pPr>
            <w:r>
              <w:rPr>
                <w:rFonts w:ascii="Arial" w:cs="Arial" w:eastAsia="Arial" w:hAnsi="Arial"/>
                <w:sz w:val="13"/>
                <w:szCs w:val="13"/>
                <w:b w:val="1"/>
                <w:bCs w:val="1"/>
                <w:color w:val="auto"/>
              </w:rPr>
              <w:t>(497.7)</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jc w:val="right"/>
              <w:ind w:right="18"/>
              <w:spacing w:after="0"/>
              <w:rPr>
                <w:sz w:val="20"/>
                <w:szCs w:val="20"/>
                <w:color w:val="auto"/>
              </w:rPr>
            </w:pPr>
            <w:r>
              <w:rPr>
                <w:rFonts w:ascii="Arial" w:cs="Arial" w:eastAsia="Arial" w:hAnsi="Arial"/>
                <w:sz w:val="13"/>
                <w:szCs w:val="13"/>
                <w:b w:val="1"/>
                <w:bCs w:val="1"/>
                <w:color w:val="auto"/>
              </w:rPr>
              <w:t>(3,627)</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500.0</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2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 xml:space="preserve">Purchase of treasury shares </w:t>
            </w:r>
            <w:r>
              <w:rPr>
                <w:rFonts w:ascii="Arial" w:cs="Arial" w:eastAsia="Arial" w:hAnsi="Arial"/>
                <w:sz w:val="16"/>
                <w:szCs w:val="16"/>
                <w:color w:val="auto"/>
                <w:vertAlign w:val="superscript"/>
              </w:rPr>
              <w:t>(1)</w:t>
            </w: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3,627</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(500.0)</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620" w:type="dxa"/>
            <w:vAlign w:val="bottom"/>
          </w:tcPr>
          <w:p>
            <w:pPr>
              <w:ind w:left="20"/>
              <w:spacing w:after="0" w:line="122" w:lineRule="exact"/>
              <w:rPr>
                <w:sz w:val="20"/>
                <w:szCs w:val="20"/>
                <w:color w:val="auto"/>
              </w:rPr>
            </w:pPr>
            <w:r>
              <w:rPr>
                <w:rFonts w:ascii="Arial" w:cs="Arial" w:eastAsia="Arial" w:hAnsi="Arial"/>
                <w:sz w:val="13"/>
                <w:szCs w:val="13"/>
                <w:color w:val="auto"/>
              </w:rPr>
              <w:t>Issuance of stock under employee stock</w:t>
            </w:r>
          </w:p>
        </w:tc>
        <w:tc>
          <w:tcPr>
            <w:tcW w:w="900" w:type="dxa"/>
            <w:vAlign w:val="bottom"/>
            <w:vMerge w:val="restart"/>
          </w:tcPr>
          <w:p>
            <w:pPr>
              <w:jc w:val="right"/>
              <w:ind w:right="59"/>
              <w:spacing w:after="0"/>
              <w:rPr>
                <w:sz w:val="20"/>
                <w:szCs w:val="20"/>
                <w:color w:val="auto"/>
              </w:rPr>
            </w:pPr>
            <w:r>
              <w:rPr>
                <w:rFonts w:ascii="Arial" w:cs="Arial" w:eastAsia="Arial" w:hAnsi="Arial"/>
                <w:sz w:val="13"/>
                <w:szCs w:val="13"/>
                <w:b w:val="1"/>
                <w:bCs w:val="1"/>
                <w:color w:val="auto"/>
              </w:rPr>
              <w:t>2,549</w:t>
            </w:r>
          </w:p>
        </w:tc>
        <w:tc>
          <w:tcPr>
            <w:tcW w:w="1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1.6</w:t>
            </w:r>
          </w:p>
        </w:tc>
        <w:tc>
          <w:tcPr>
            <w:tcW w:w="2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(206.4)</w:t>
            </w: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20" w:type="dxa"/>
            <w:vAlign w:val="bottom"/>
            <w:vMerge w:val="restart"/>
          </w:tcPr>
          <w:p>
            <w:pPr>
              <w:jc w:val="right"/>
              <w:ind w:right="18"/>
              <w:spacing w:after="0"/>
              <w:rPr>
                <w:sz w:val="20"/>
                <w:szCs w:val="20"/>
                <w:color w:val="auto"/>
              </w:rPr>
            </w:pPr>
            <w:r>
              <w:rPr>
                <w:rFonts w:ascii="Arial" w:cs="Arial" w:eastAsia="Arial" w:hAnsi="Arial"/>
                <w:sz w:val="13"/>
                <w:szCs w:val="13"/>
                <w:b w:val="1"/>
                <w:bCs w:val="1"/>
                <w:color w:val="auto"/>
              </w:rPr>
              <w:t>(43)</w:t>
            </w:r>
          </w:p>
        </w:tc>
        <w:tc>
          <w:tcPr>
            <w:tcW w:w="2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5.1</w:t>
            </w: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20" w:type="dxa"/>
            <w:vAlign w:val="bottom"/>
          </w:tcPr>
          <w:p>
            <w:pPr>
              <w:ind w:left="20"/>
              <w:spacing w:after="0"/>
              <w:rPr>
                <w:sz w:val="20"/>
                <w:szCs w:val="20"/>
                <w:color w:val="auto"/>
              </w:rPr>
            </w:pPr>
            <w:r>
              <w:rPr>
                <w:rFonts w:ascii="Arial" w:cs="Arial" w:eastAsia="Arial" w:hAnsi="Arial"/>
                <w:sz w:val="13"/>
                <w:szCs w:val="13"/>
                <w:color w:val="auto"/>
              </w:rPr>
              <w:t>plans, net</w:t>
            </w:r>
          </w:p>
        </w:tc>
        <w:tc>
          <w:tcPr>
            <w:tcW w:w="9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220.3</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(0.4)</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(19.0)</w:t>
            </w:r>
          </w:p>
        </w:tc>
        <w:tc>
          <w:tcPr>
            <w:tcW w:w="0" w:type="dxa"/>
            <w:vAlign w:val="bottom"/>
          </w:tcPr>
          <w:p>
            <w:pPr>
              <w:spacing w:after="0"/>
              <w:rPr>
                <w:sz w:val="1"/>
                <w:szCs w:val="1"/>
                <w:color w:val="auto"/>
              </w:rPr>
            </w:pPr>
          </w:p>
        </w:tc>
      </w:tr>
      <w:tr>
        <w:trPr>
          <w:trHeight w:val="176"/>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September 30, 2020</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956,978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598.1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6,698.8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7,154.0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3"/>
                <w:szCs w:val="13"/>
                <w:b w:val="1"/>
                <w:bCs w:val="1"/>
                <w:color w:val="auto"/>
              </w:rPr>
              <w:t>(3,013.2)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(6,555.1)</w:t>
            </w:r>
          </w:p>
        </w:tc>
        <w:tc>
          <w:tcPr>
            <w:tcW w:w="8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487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(55.7)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169.1</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As of September 30, 2020, there was $1.00 billion remaining under our $8.00 billion share repurchase program authorized in June 2018.</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(Dollars in millions)</w:t>
      </w:r>
    </w:p>
    <w:p>
      <w:pPr>
        <w:spacing w:after="0" w:line="305"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Nine Months Ended September 30,</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75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4,076.9</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6,822.7</w:t>
            </w: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Adjustments to Reconcile Net Income to Cash Flows from Operating Activities: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related to disposition of Elanco (Note 5)</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(3,680.5)</w:t>
            </w:r>
          </w:p>
        </w:tc>
        <w:tc>
          <w:tcPr>
            <w:tcW w:w="0" w:type="dxa"/>
            <w:vAlign w:val="bottom"/>
          </w:tcPr>
          <w:p>
            <w:pPr>
              <w:spacing w:after="0"/>
              <w:rPr>
                <w:sz w:val="1"/>
                <w:szCs w:val="1"/>
                <w:color w:val="auto"/>
              </w:rPr>
            </w:pPr>
          </w:p>
        </w:tc>
      </w:tr>
      <w:tr>
        <w:trPr>
          <w:trHeight w:val="229"/>
        </w:trPr>
        <w:tc>
          <w:tcPr>
            <w:tcW w:w="756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9"/>
                <w:szCs w:val="19"/>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b w:val="1"/>
                <w:bCs w:val="1"/>
                <w:color w:val="auto"/>
              </w:rPr>
              <w:t>956.4</w:t>
            </w:r>
          </w:p>
        </w:tc>
        <w:tc>
          <w:tcPr>
            <w:tcW w:w="4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891.9</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deferred income taxes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66.2</w:t>
            </w: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0"/>
        </w:trPr>
        <w:tc>
          <w:tcPr>
            <w:tcW w:w="7560" w:type="dxa"/>
            <w:vAlign w:val="bottom"/>
          </w:tcPr>
          <w:p>
            <w:pPr>
              <w:ind w:left="120"/>
              <w:spacing w:after="0"/>
              <w:rPr>
                <w:sz w:val="20"/>
                <w:szCs w:val="20"/>
                <w:color w:val="auto"/>
              </w:rPr>
            </w:pPr>
            <w:r>
              <w:rPr>
                <w:rFonts w:ascii="Arial" w:cs="Arial" w:eastAsia="Arial" w:hAnsi="Arial"/>
                <w:sz w:val="18"/>
                <w:szCs w:val="18"/>
                <w:color w:val="auto"/>
              </w:rPr>
              <w:t>Stock-based compensation expense</w:t>
            </w:r>
          </w:p>
        </w:tc>
        <w:tc>
          <w:tcPr>
            <w:tcW w:w="420" w:type="dxa"/>
            <w:vAlign w:val="bottom"/>
          </w:tcPr>
          <w:p>
            <w:pPr>
              <w:spacing w:after="0"/>
              <w:rPr>
                <w:sz w:val="19"/>
                <w:szCs w:val="19"/>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b w:val="1"/>
                <w:bCs w:val="1"/>
                <w:color w:val="auto"/>
              </w:rPr>
              <w:t>220.3</w:t>
            </w:r>
          </w:p>
        </w:tc>
        <w:tc>
          <w:tcPr>
            <w:tcW w:w="4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230.8</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gains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(909.5)</w:t>
            </w: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30"/>
        </w:trPr>
        <w:tc>
          <w:tcPr>
            <w:tcW w:w="7560" w:type="dxa"/>
            <w:vAlign w:val="bottom"/>
          </w:tcPr>
          <w:p>
            <w:pPr>
              <w:ind w:left="120"/>
              <w:spacing w:after="0"/>
              <w:rPr>
                <w:sz w:val="20"/>
                <w:szCs w:val="20"/>
                <w:color w:val="auto"/>
              </w:rPr>
            </w:pPr>
            <w:r>
              <w:rPr>
                <w:rFonts w:ascii="Arial" w:cs="Arial" w:eastAsia="Arial" w:hAnsi="Arial"/>
                <w:sz w:val="18"/>
                <w:szCs w:val="18"/>
                <w:color w:val="auto"/>
              </w:rPr>
              <w:t>Acquired in-process research and development (Note 3)</w:t>
            </w:r>
          </w:p>
        </w:tc>
        <w:tc>
          <w:tcPr>
            <w:tcW w:w="420" w:type="dxa"/>
            <w:vAlign w:val="bottom"/>
          </w:tcPr>
          <w:p>
            <w:pPr>
              <w:spacing w:after="0"/>
              <w:rPr>
                <w:sz w:val="19"/>
                <w:szCs w:val="19"/>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b w:val="1"/>
                <w:bCs w:val="1"/>
                <w:color w:val="auto"/>
              </w:rPr>
              <w:t>294.1</w:t>
            </w:r>
          </w:p>
        </w:tc>
        <w:tc>
          <w:tcPr>
            <w:tcW w:w="4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changes in operating assets and liabilities, net of acquisitions and divestitures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(232.2)</w:t>
            </w: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(1,763.7)</w:t>
            </w:r>
          </w:p>
        </w:tc>
        <w:tc>
          <w:tcPr>
            <w:tcW w:w="0" w:type="dxa"/>
            <w:vAlign w:val="bottom"/>
          </w:tcPr>
          <w:p>
            <w:pPr>
              <w:spacing w:after="0"/>
              <w:rPr>
                <w:sz w:val="1"/>
                <w:szCs w:val="1"/>
                <w:color w:val="auto"/>
              </w:rPr>
            </w:pPr>
          </w:p>
        </w:tc>
      </w:tr>
      <w:tr>
        <w:trPr>
          <w:trHeight w:val="229"/>
        </w:trPr>
        <w:tc>
          <w:tcPr>
            <w:tcW w:w="75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non-cash operating activities, net</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212.2</w:t>
            </w:r>
          </w:p>
        </w:tc>
        <w:tc>
          <w:tcPr>
            <w:tcW w:w="4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4,684.4</w:t>
            </w: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2,872.9</w:t>
            </w: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purchases of property and equipment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(933.2)</w:t>
            </w: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(707.4)</w:t>
            </w:r>
          </w:p>
        </w:tc>
        <w:tc>
          <w:tcPr>
            <w:tcW w:w="0" w:type="dxa"/>
            <w:vAlign w:val="bottom"/>
          </w:tcPr>
          <w:p>
            <w:pPr>
              <w:spacing w:after="0"/>
              <w:rPr>
                <w:sz w:val="1"/>
                <w:szCs w:val="1"/>
                <w:color w:val="auto"/>
              </w:rPr>
            </w:pPr>
          </w:p>
        </w:tc>
      </w:tr>
      <w:tr>
        <w:trPr>
          <w:trHeight w:val="229"/>
        </w:trPr>
        <w:tc>
          <w:tcPr>
            <w:tcW w:w="7560" w:type="dxa"/>
            <w:vAlign w:val="bottom"/>
          </w:tcPr>
          <w:p>
            <w:pPr>
              <w:ind w:left="120"/>
              <w:spacing w:after="0"/>
              <w:rPr>
                <w:sz w:val="20"/>
                <w:szCs w:val="20"/>
                <w:color w:val="auto"/>
              </w:rPr>
            </w:pPr>
            <w:r>
              <w:rPr>
                <w:rFonts w:ascii="Arial" w:cs="Arial" w:eastAsia="Arial" w:hAnsi="Arial"/>
                <w:sz w:val="18"/>
                <w:szCs w:val="18"/>
                <w:color w:val="auto"/>
              </w:rPr>
              <w:t>Proceeds from sales and maturities of short-term investments</w:t>
            </w:r>
          </w:p>
        </w:tc>
        <w:tc>
          <w:tcPr>
            <w:tcW w:w="420" w:type="dxa"/>
            <w:vAlign w:val="bottom"/>
          </w:tcPr>
          <w:p>
            <w:pPr>
              <w:spacing w:after="0"/>
              <w:rPr>
                <w:sz w:val="19"/>
                <w:szCs w:val="19"/>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b w:val="1"/>
                <w:bCs w:val="1"/>
                <w:color w:val="auto"/>
              </w:rPr>
              <w:t>118.8</w:t>
            </w:r>
          </w:p>
        </w:tc>
        <w:tc>
          <w:tcPr>
            <w:tcW w:w="4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short-term investments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30"/>
        </w:trPr>
        <w:tc>
          <w:tcPr>
            <w:tcW w:w="7560" w:type="dxa"/>
            <w:vAlign w:val="bottom"/>
          </w:tcPr>
          <w:p>
            <w:pPr>
              <w:ind w:left="120"/>
              <w:spacing w:after="0"/>
              <w:rPr>
                <w:sz w:val="20"/>
                <w:szCs w:val="20"/>
                <w:color w:val="auto"/>
              </w:rPr>
            </w:pPr>
            <w:r>
              <w:rPr>
                <w:rFonts w:ascii="Arial" w:cs="Arial" w:eastAsia="Arial" w:hAnsi="Arial"/>
                <w:sz w:val="18"/>
                <w:szCs w:val="18"/>
                <w:color w:val="auto"/>
              </w:rPr>
              <w:t>Proceeds from sales of noncurrent investments</w:t>
            </w:r>
          </w:p>
        </w:tc>
        <w:tc>
          <w:tcPr>
            <w:tcW w:w="420" w:type="dxa"/>
            <w:vAlign w:val="bottom"/>
          </w:tcPr>
          <w:p>
            <w:pPr>
              <w:spacing w:after="0"/>
              <w:rPr>
                <w:sz w:val="19"/>
                <w:szCs w:val="19"/>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b w:val="1"/>
                <w:bCs w:val="1"/>
                <w:color w:val="auto"/>
              </w:rPr>
              <w:t>574.1</w:t>
            </w:r>
          </w:p>
        </w:tc>
        <w:tc>
          <w:tcPr>
            <w:tcW w:w="4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noncurrent investments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(223.7)</w:t>
            </w: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30"/>
        </w:trPr>
        <w:tc>
          <w:tcPr>
            <w:tcW w:w="7560" w:type="dxa"/>
            <w:vAlign w:val="bottom"/>
          </w:tcPr>
          <w:p>
            <w:pPr>
              <w:ind w:left="120"/>
              <w:spacing w:after="0"/>
              <w:rPr>
                <w:sz w:val="20"/>
                <w:szCs w:val="20"/>
                <w:color w:val="auto"/>
              </w:rPr>
            </w:pPr>
            <w:r>
              <w:rPr>
                <w:rFonts w:ascii="Arial" w:cs="Arial" w:eastAsia="Arial" w:hAnsi="Arial"/>
                <w:sz w:val="18"/>
                <w:szCs w:val="18"/>
                <w:color w:val="auto"/>
              </w:rPr>
              <w:t>Cash paid for acquisitions, net of cash acquired (Note 3)</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(849.3)</w:t>
            </w:r>
          </w:p>
        </w:tc>
        <w:tc>
          <w:tcPr>
            <w:tcW w:w="4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(6,917.7)</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in-process research and development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(276.4)</w:t>
            </w: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investing activities, net</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16.3</w:t>
            </w:r>
          </w:p>
        </w:tc>
        <w:tc>
          <w:tcPr>
            <w:tcW w:w="4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(480.7)</w:t>
            </w: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for Investing Activities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(1,584.8)</w:t>
            </w: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(8,041.5)</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paid</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(2,017.1)</w:t>
            </w: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(1,822.6)</w:t>
            </w:r>
          </w:p>
        </w:tc>
        <w:tc>
          <w:tcPr>
            <w:tcW w:w="0" w:type="dxa"/>
            <w:vAlign w:val="bottom"/>
          </w:tcPr>
          <w:p>
            <w:pPr>
              <w:spacing w:after="0"/>
              <w:rPr>
                <w:sz w:val="1"/>
                <w:szCs w:val="1"/>
                <w:color w:val="auto"/>
              </w:rPr>
            </w:pPr>
          </w:p>
        </w:tc>
      </w:tr>
      <w:tr>
        <w:trPr>
          <w:trHeight w:val="230"/>
        </w:trPr>
        <w:tc>
          <w:tcPr>
            <w:tcW w:w="7560" w:type="dxa"/>
            <w:vAlign w:val="bottom"/>
          </w:tcPr>
          <w:p>
            <w:pPr>
              <w:ind w:left="120"/>
              <w:spacing w:after="0"/>
              <w:rPr>
                <w:sz w:val="20"/>
                <w:szCs w:val="20"/>
                <w:color w:val="auto"/>
              </w:rPr>
            </w:pPr>
            <w:r>
              <w:rPr>
                <w:rFonts w:ascii="Arial" w:cs="Arial" w:eastAsia="Arial" w:hAnsi="Arial"/>
                <w:sz w:val="18"/>
                <w:szCs w:val="18"/>
                <w:color w:val="auto"/>
              </w:rPr>
              <w:t>Net change in short-term borrowings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(914.3)</w:t>
            </w:r>
          </w:p>
        </w:tc>
        <w:tc>
          <w:tcPr>
            <w:tcW w:w="4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1,058.9</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issuance of long-term debt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2,062.3</w:t>
            </w: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4,448.3</w:t>
            </w:r>
          </w:p>
        </w:tc>
        <w:tc>
          <w:tcPr>
            <w:tcW w:w="0" w:type="dxa"/>
            <w:vAlign w:val="bottom"/>
          </w:tcPr>
          <w:p>
            <w:pPr>
              <w:spacing w:after="0"/>
              <w:rPr>
                <w:sz w:val="1"/>
                <w:szCs w:val="1"/>
                <w:color w:val="auto"/>
              </w:rPr>
            </w:pPr>
          </w:p>
        </w:tc>
      </w:tr>
      <w:tr>
        <w:trPr>
          <w:trHeight w:val="230"/>
        </w:trPr>
        <w:tc>
          <w:tcPr>
            <w:tcW w:w="7560" w:type="dxa"/>
            <w:vAlign w:val="bottom"/>
          </w:tcPr>
          <w:p>
            <w:pPr>
              <w:ind w:left="120"/>
              <w:spacing w:after="0"/>
              <w:rPr>
                <w:sz w:val="20"/>
                <w:szCs w:val="20"/>
                <w:color w:val="auto"/>
              </w:rPr>
            </w:pPr>
            <w:r>
              <w:rPr>
                <w:rFonts w:ascii="Arial" w:cs="Arial" w:eastAsia="Arial" w:hAnsi="Arial"/>
                <w:sz w:val="18"/>
                <w:szCs w:val="18"/>
                <w:color w:val="auto"/>
              </w:rPr>
              <w:t>Repayments of long-term debt</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(276.3)</w:t>
            </w:r>
          </w:p>
        </w:tc>
        <w:tc>
          <w:tcPr>
            <w:tcW w:w="4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(600.3)</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common stock</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(500.0)</w:t>
            </w: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financing activities, net</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(200.2)</w:t>
            </w:r>
          </w:p>
        </w:tc>
        <w:tc>
          <w:tcPr>
            <w:tcW w:w="4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for Financing Activities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(1,845.6)</w:t>
            </w: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(1,210.9)</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3.8</w:t>
            </w:r>
          </w:p>
        </w:tc>
        <w:tc>
          <w:tcPr>
            <w:tcW w:w="4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196"/>
        </w:trPr>
        <w:tc>
          <w:tcPr>
            <w:tcW w:w="7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420" w:type="dxa"/>
            <w:vAlign w:val="bottom"/>
          </w:tcPr>
          <w:p>
            <w:pPr>
              <w:spacing w:after="0"/>
              <w:rPr>
                <w:sz w:val="19"/>
                <w:szCs w:val="19"/>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b w:val="1"/>
                <w:bCs w:val="1"/>
                <w:color w:val="auto"/>
              </w:rPr>
              <w:t>1,257.8</w:t>
            </w:r>
          </w:p>
        </w:tc>
        <w:tc>
          <w:tcPr>
            <w:tcW w:w="4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(6,434.4)</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January 1 (2019 includes $677.5 of discontinued operations)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2,337.5</w:t>
            </w:r>
          </w:p>
        </w:tc>
        <w:tc>
          <w:tcPr>
            <w:tcW w:w="4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7,998.2</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September 30</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3,595.3</w:t>
            </w: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1,563.8</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4" w:right="35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36" w:lineRule="exact"/>
        <w:rPr>
          <w:sz w:val="20"/>
          <w:szCs w:val="20"/>
          <w:color w:val="auto"/>
        </w:rPr>
      </w:pPr>
    </w:p>
    <w:p>
      <w:pPr>
        <w:ind w:left="3420"/>
        <w:spacing w:after="0"/>
        <w:rPr>
          <w:sz w:val="20"/>
          <w:szCs w:val="20"/>
          <w:color w:val="auto"/>
        </w:rPr>
      </w:pPr>
      <w:r>
        <w:rPr>
          <w:rFonts w:ascii="Arial" w:cs="Arial" w:eastAsia="Arial" w:hAnsi="Arial"/>
          <w:sz w:val="16"/>
          <w:szCs w:val="16"/>
          <w:b w:val="1"/>
          <w:bCs w:val="1"/>
          <w:color w:val="auto"/>
        </w:rPr>
        <w:t>(Tables present dollars in millions, except per-share data)</w:t>
      </w:r>
    </w:p>
    <w:p>
      <w:pPr>
        <w:spacing w:after="0" w:line="194" w:lineRule="exact"/>
        <w:rPr>
          <w:sz w:val="20"/>
          <w:szCs w:val="20"/>
          <w:color w:val="auto"/>
        </w:rPr>
      </w:pPr>
    </w:p>
    <w:p>
      <w:pPr>
        <w:ind w:right="5520"/>
        <w:spacing w:after="0" w:line="376" w:lineRule="auto"/>
        <w:rPr>
          <w:sz w:val="20"/>
          <w:szCs w:val="20"/>
          <w:color w:val="auto"/>
        </w:rPr>
      </w:pPr>
      <w:r>
        <w:rPr>
          <w:rFonts w:ascii="Arial" w:cs="Arial" w:eastAsia="Arial" w:hAnsi="Arial"/>
          <w:sz w:val="18"/>
          <w:szCs w:val="18"/>
          <w:b w:val="1"/>
          <w:bCs w:val="1"/>
          <w:color w:val="auto"/>
        </w:rPr>
        <w:t xml:space="preserve">Note 1: Basis of Presentation and Change in Accounting Principle </w:t>
      </w:r>
      <w:r>
        <w:rPr>
          <w:rFonts w:ascii="Arial" w:cs="Arial" w:eastAsia="Arial" w:hAnsi="Arial"/>
          <w:sz w:val="18"/>
          <w:szCs w:val="18"/>
          <w:u w:val="single" w:color="auto"/>
          <w:color w:val="auto"/>
        </w:rPr>
        <w:t>Basis of Presentation</w:t>
      </w:r>
    </w:p>
    <w:p>
      <w:pPr>
        <w:spacing w:after="0" w:line="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prepared the accompanying unaudited consolidated condensed financial statements in accordance with the requirements of Form 10-Q and, therefore, they do not include all information and footnotes necessary for a fair presentation of financial position, results of operations, and cash flows in conformity with accounting principles generally accepted in the United States (GAAP). In our opinion, the consolidated condensed financial statements reflect all adjustments (including those that are normal and recurring) that are necessary for a fair presentation of the results of operations for the periods shown. In preparing financial statements in conformity with GAAP, we must make estimates and assumptions that affect the reported amounts of assets, liabilities, revenue, expenses, and related disclosures at the date of the financial statements and during the reporting period. Actual results could differ from those estimates.</w:t>
      </w:r>
    </w:p>
    <w:p>
      <w:pPr>
        <w:spacing w:after="0" w:line="68" w:lineRule="exact"/>
        <w:rPr>
          <w:sz w:val="20"/>
          <w:szCs w:val="20"/>
          <w:color w:val="auto"/>
        </w:rPr>
      </w:pPr>
    </w:p>
    <w:p>
      <w:pPr>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The information included in this Quarterly Report on Form 10-Q should be read in conjunction with our consolidated financial statements and accompanying notes included in our Annual Report on </w:t>
      </w:r>
      <w:hyperlink r:id="rId16">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We issue our financial statements by filing them with the Securities and Exchange Commission and have evaluated subsequent events up to the time of the filing of our Form 10-Q.</w:t>
      </w:r>
    </w:p>
    <w:p>
      <w:pPr>
        <w:spacing w:after="0" w:line="61"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All per-share amounts, unless otherwise noted in the footnotes, are presented on a diluted basis, that is, based on the weighted-average number of outstanding common shares plus the effect of incremental shares from our stock-based compensation programs.</w:t>
      </w:r>
    </w:p>
    <w:p>
      <w:pPr>
        <w:spacing w:after="0" w:line="36"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We operate as a single operating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Regional commercial organizations market, distribute, and sell the products. The business is also supported by global corporate staff functions. Our determination that we operate as a single segment is consistent with the financial information regularly reviewed by the chief operating decision maker for purposes of evaluating performance, allocating resources, setting incentive compensation targets, and planning and forecasting for future periods.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 in Accounting Principle for Retirement Benefit Plan Assets</w:t>
      </w:r>
    </w:p>
    <w:p>
      <w:pPr>
        <w:spacing w:after="0" w:line="117"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Effective during the third quarter of 2020, we adopted a voluntary change in our method of applying an accounting principle for certain of our retirement benefit plans. Refer to Note 9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84" w:right="4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2: Revenue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in our consolidated condensed statements of operations: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tcPr>
          <w:p>
            <w:pPr>
              <w:jc w:val="right"/>
              <w:ind w:right="435"/>
              <w:spacing w:after="0"/>
              <w:rPr>
                <w:sz w:val="20"/>
                <w:szCs w:val="20"/>
                <w:color w:val="auto"/>
              </w:rPr>
            </w:pPr>
            <w:r>
              <w:rPr>
                <w:rFonts w:ascii="Arial" w:cs="Arial" w:eastAsia="Arial" w:hAnsi="Arial"/>
                <w:sz w:val="14"/>
                <w:szCs w:val="14"/>
                <w:b w:val="1"/>
                <w:bCs w:val="1"/>
                <w:color w:val="auto"/>
              </w:rPr>
              <w:t>Nine Months Ended September 30,</w:t>
            </w:r>
          </w:p>
        </w:tc>
      </w:tr>
      <w:tr>
        <w:trPr>
          <w:trHeight w:val="209"/>
        </w:trPr>
        <w:tc>
          <w:tcPr>
            <w:tcW w:w="4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2019</w:t>
            </w: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product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5,281.1</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4,982.0</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15,762.3</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14,843.0</w:t>
            </w:r>
          </w:p>
        </w:tc>
      </w:tr>
      <w:tr>
        <w:trPr>
          <w:trHeight w:val="229"/>
        </w:trPr>
        <w:tc>
          <w:tcPr>
            <w:tcW w:w="43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Collaboration and other revenue </w:t>
            </w:r>
            <w:r>
              <w:rPr>
                <w:rFonts w:ascii="Arial" w:cs="Arial" w:eastAsia="Arial" w:hAnsi="Arial"/>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459.5</w:t>
            </w: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494.6</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1,337.5</w:t>
            </w: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1,362.5</w:t>
            </w:r>
          </w:p>
        </w:tc>
      </w:tr>
      <w:tr>
        <w:trPr>
          <w:trHeight w:val="23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5,740.6</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5,476.6</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17,099.8</w:t>
            </w: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16,205.5</w:t>
            </w:r>
          </w:p>
        </w:tc>
      </w:tr>
    </w:tbl>
    <w:p>
      <w:pPr>
        <w:spacing w:after="0" w:line="95" w:lineRule="exact"/>
        <w:rPr>
          <w:sz w:val="20"/>
          <w:szCs w:val="20"/>
          <w:color w:val="auto"/>
        </w:rPr>
      </w:pPr>
    </w:p>
    <w:p>
      <w:pPr>
        <w:ind w:left="180" w:right="260" w:hanging="172"/>
        <w:spacing w:after="0" w:line="232" w:lineRule="auto"/>
        <w:tabs>
          <w:tab w:leader="none" w:pos="158"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Collaboration and other revenue associated with prior period transfers of intellectual property was $31.5 million and $101.5 million during the three and nine months ended September 30, 2020, respectively, and $67.9 million and $163.0 million during the three and nine months ended September 30, 2019, respectively.</w:t>
      </w:r>
    </w:p>
    <w:p>
      <w:pPr>
        <w:spacing w:after="0" w:line="67"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We recognize revenue primarily from two different types of contracts, product sales to customers (net product revenue) and collaborations and other arrangements. Revenue recognized from collaborations and other arrangements includes our share of profits from the collaboration, as well as royalties, upfront and milestone payments we receive under these types of contracts. See Note 4 for additional information related to certain of our collaborations and other arrangements. Collaboration and other revenue disclosed above includes the revenue from the Trajenta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Jardiance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families of products resulting from our collaboration with Boehringer Ingelheim discussed in Note</w:t>
      </w:r>
    </w:p>
    <w:p>
      <w:pPr>
        <w:spacing w:after="0" w:line="2" w:lineRule="exact"/>
        <w:rPr>
          <w:sz w:val="20"/>
          <w:szCs w:val="20"/>
          <w:color w:val="auto"/>
        </w:rPr>
      </w:pPr>
    </w:p>
    <w:p>
      <w:pPr>
        <w:ind w:right="420" w:firstLine="8"/>
        <w:spacing w:after="0" w:line="362" w:lineRule="auto"/>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Substantially all of the remainder of collaboration and other revenue is related to contracts accounted for as contracts with customers. </w:t>
      </w:r>
      <w:r>
        <w:rPr>
          <w:rFonts w:ascii="Arial" w:cs="Arial" w:eastAsia="Arial" w:hAnsi="Arial"/>
          <w:sz w:val="18"/>
          <w:szCs w:val="18"/>
          <w:u w:val="single" w:color="auto"/>
          <w:color w:val="auto"/>
        </w:rPr>
        <w:t>Adjustments to Revenue</w:t>
      </w:r>
    </w:p>
    <w:p>
      <w:pPr>
        <w:spacing w:after="0" w:line="2"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Adjustments to increase (decrease) revenue recognized as a result of changes in estimates for our most significant U.S. sales returns, rebates, and discounts liability balances for products shipped in previous periods were approximately (1 percent) and 1 percent of U.S. revenue during the three and nine months ended September 30, 2020, respectively, and approximately 2 percent and 3 percent of U.S. revenue during the three and nine months ended September 30, 2019,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Liabilities</w:t>
      </w:r>
    </w:p>
    <w:p>
      <w:pPr>
        <w:spacing w:after="0" w:line="117"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Our contract liabilities result from arrangements where we have received payment in advance of performance under the contract and do not include sales returns, rebates, and discounts. Changes in contract liabilities are generally due to either receipt of additional advance payments or our performance under the contract.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liability balances: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4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September 30, 2020</w:t>
            </w: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3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289.5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r>
    </w:tbl>
    <w:p>
      <w:pPr>
        <w:spacing w:after="0" w:line="200" w:lineRule="exact"/>
        <w:rPr>
          <w:sz w:val="20"/>
          <w:szCs w:val="20"/>
          <w:color w:val="auto"/>
        </w:rPr>
      </w:pPr>
    </w:p>
    <w:p>
      <w:pPr>
        <w:spacing w:after="0" w:line="344" w:lineRule="exact"/>
        <w:rPr>
          <w:sz w:val="20"/>
          <w:szCs w:val="20"/>
          <w:color w:val="auto"/>
        </w:rPr>
      </w:pPr>
    </w:p>
    <w:p>
      <w:pPr>
        <w:jc w:val="both"/>
        <w:ind w:right="240"/>
        <w:spacing w:after="0" w:line="271" w:lineRule="auto"/>
        <w:rPr>
          <w:sz w:val="20"/>
          <w:szCs w:val="20"/>
          <w:color w:val="auto"/>
        </w:rPr>
      </w:pPr>
      <w:r>
        <w:rPr>
          <w:rFonts w:ascii="Arial" w:cs="Arial" w:eastAsia="Arial" w:hAnsi="Arial"/>
          <w:sz w:val="18"/>
          <w:szCs w:val="18"/>
          <w:color w:val="auto"/>
        </w:rPr>
        <w:t>During the three and nine months ended September 30, 2020 and 2019, revenue recognized from contract liabilities as of the beginning of the respective year was not material. Revenue expected to be recognized in the future from contract liabilities as the related performance obligations are satisfied is not expected to be material in any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revenue by product for the three months ended September 30, 2020 and 2019:</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rPr>
              <w:t>Three Months Ended September 30,</w:t>
            </w:r>
          </w:p>
        </w:tc>
        <w:tc>
          <w:tcPr>
            <w:tcW w:w="10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right"/>
              <w:ind w:right="52"/>
              <w:spacing w:after="0" w:line="115" w:lineRule="exact"/>
              <w:rPr>
                <w:sz w:val="20"/>
                <w:szCs w:val="20"/>
                <w:color w:val="auto"/>
              </w:rPr>
            </w:pPr>
            <w:r>
              <w:rPr>
                <w:rFonts w:ascii="Arial" w:cs="Arial" w:eastAsia="Arial" w:hAnsi="Arial"/>
                <w:sz w:val="13"/>
                <w:szCs w:val="13"/>
                <w:b w:val="1"/>
                <w:bCs w:val="1"/>
                <w:color w:val="auto"/>
                <w:w w:val="98"/>
              </w:rPr>
              <w:t>United States</w:t>
            </w:r>
          </w:p>
        </w:tc>
        <w:tc>
          <w:tcPr>
            <w:tcW w:w="160" w:type="dxa"/>
            <w:vAlign w:val="bottom"/>
          </w:tcPr>
          <w:p>
            <w:pPr>
              <w:spacing w:after="0"/>
              <w:rPr>
                <w:sz w:val="10"/>
                <w:szCs w:val="10"/>
                <w:color w:val="auto"/>
              </w:rPr>
            </w:pPr>
          </w:p>
        </w:tc>
        <w:tc>
          <w:tcPr>
            <w:tcW w:w="98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Outside U.S.</w:t>
            </w:r>
          </w:p>
        </w:tc>
        <w:tc>
          <w:tcPr>
            <w:tcW w:w="320" w:type="dxa"/>
            <w:vAlign w:val="bottom"/>
          </w:tcPr>
          <w:p>
            <w:pPr>
              <w:spacing w:after="0"/>
              <w:rPr>
                <w:sz w:val="10"/>
                <w:szCs w:val="10"/>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0"/>
                <w:szCs w:val="10"/>
                <w:color w:val="auto"/>
              </w:rPr>
            </w:pPr>
          </w:p>
        </w:tc>
        <w:tc>
          <w:tcPr>
            <w:tcW w:w="8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U.S.</w:t>
            </w:r>
            <w:r>
              <w:rPr>
                <w:rFonts w:ascii="Arial" w:cs="Arial" w:eastAsia="Arial" w:hAnsi="Arial"/>
                <w:sz w:val="18"/>
                <w:szCs w:val="18"/>
                <w:b w:val="1"/>
                <w:bCs w:val="1"/>
                <w:color w:val="auto"/>
                <w:vertAlign w:val="superscript"/>
              </w:rPr>
              <w:t>(1)</w:t>
            </w:r>
          </w:p>
        </w:tc>
        <w:tc>
          <w:tcPr>
            <w:tcW w:w="180" w:type="dxa"/>
            <w:vAlign w:val="bottom"/>
          </w:tcPr>
          <w:p>
            <w:pPr>
              <w:spacing w:after="0"/>
              <w:rPr>
                <w:sz w:val="10"/>
                <w:szCs w:val="10"/>
                <w:color w:val="auto"/>
              </w:rPr>
            </w:pPr>
          </w:p>
        </w:tc>
        <w:tc>
          <w:tcPr>
            <w:tcW w:w="100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Outside U.S.</w:t>
            </w:r>
          </w:p>
        </w:tc>
        <w:tc>
          <w:tcPr>
            <w:tcW w:w="300" w:type="dxa"/>
            <w:vAlign w:val="bottom"/>
          </w:tcPr>
          <w:p>
            <w:pPr>
              <w:spacing w:after="0"/>
              <w:rPr>
                <w:sz w:val="10"/>
                <w:szCs w:val="10"/>
                <w:color w:val="auto"/>
              </w:rPr>
            </w:pPr>
          </w:p>
        </w:tc>
        <w:tc>
          <w:tcPr>
            <w:tcW w:w="86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32"/>
              <w:spacing w:after="0" w:line="176" w:lineRule="exact"/>
              <w:rPr>
                <w:sz w:val="20"/>
                <w:szCs w:val="20"/>
                <w:color w:val="auto"/>
              </w:rPr>
            </w:pPr>
            <w:r>
              <w:rPr>
                <w:rFonts w:ascii="Arial" w:cs="Arial" w:eastAsia="Arial" w:hAnsi="Arial"/>
                <w:sz w:val="13"/>
                <w:szCs w:val="13"/>
                <w:b w:val="1"/>
                <w:bCs w:val="1"/>
                <w:color w:val="auto"/>
              </w:rPr>
              <w:t>(U.S.)</w:t>
            </w:r>
            <w:r>
              <w:rPr>
                <w:rFonts w:ascii="Arial" w:cs="Arial" w:eastAsia="Arial" w:hAnsi="Arial"/>
                <w:sz w:val="18"/>
                <w:szCs w:val="18"/>
                <w:b w:val="1"/>
                <w:bCs w:val="1"/>
                <w:color w:val="auto"/>
                <w:vertAlign w:val="superscript"/>
              </w:rPr>
              <w:t>(1)</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Revenue—to unaffiliated customers: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220"/>
              <w:spacing w:after="0"/>
              <w:rPr>
                <w:sz w:val="20"/>
                <w:szCs w:val="20"/>
                <w:color w:val="auto"/>
              </w:rPr>
            </w:pPr>
            <w:r>
              <w:rPr>
                <w:rFonts w:ascii="Arial" w:cs="Arial" w:eastAsia="Arial" w:hAnsi="Arial"/>
                <w:sz w:val="18"/>
                <w:szCs w:val="18"/>
                <w:color w:val="auto"/>
              </w:rPr>
              <w:t>Diabetes: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Trulicity</w:t>
            </w:r>
            <w:r>
              <w:rPr>
                <w:rFonts w:ascii="Arial" w:cs="Arial" w:eastAsia="Arial" w:hAnsi="Arial"/>
                <w:sz w:val="23"/>
                <w:szCs w:val="23"/>
                <w:color w:val="auto"/>
                <w:vertAlign w:val="superscript"/>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315.4</w:t>
            </w:r>
          </w:p>
        </w:tc>
        <w:tc>
          <w:tcPr>
            <w:tcW w:w="32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1,106.6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1,011.5</w:t>
            </w:r>
          </w:p>
        </w:tc>
        <w:tc>
          <w:tcPr>
            <w:tcW w:w="0" w:type="dxa"/>
            <w:vAlign w:val="bottom"/>
          </w:tcPr>
          <w:p>
            <w:pPr>
              <w:spacing w:after="0"/>
              <w:rPr>
                <w:sz w:val="1"/>
                <w:szCs w:val="1"/>
                <w:color w:val="auto"/>
              </w:rPr>
            </w:pPr>
          </w:p>
        </w:tc>
      </w:tr>
      <w:tr>
        <w:trPr>
          <w:trHeight w:val="230"/>
        </w:trPr>
        <w:tc>
          <w:tcPr>
            <w:tcW w:w="360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Humalog</w:t>
            </w:r>
            <w:r>
              <w:rPr>
                <w:rFonts w:ascii="Arial" w:cs="Arial" w:eastAsia="Arial" w:hAnsi="Arial"/>
                <w:sz w:val="23"/>
                <w:szCs w:val="23"/>
                <w:color w:val="auto"/>
                <w:vertAlign w:val="superscript"/>
              </w:rPr>
              <w:t>® (2)</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390.1</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266.9</w:t>
            </w:r>
          </w:p>
        </w:tc>
        <w:tc>
          <w:tcPr>
            <w:tcW w:w="32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656.9</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356.2</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292.6</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648.9</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 xml:space="preserve">Jardiance </w:t>
            </w:r>
            <w:r>
              <w:rPr>
                <w:rFonts w:ascii="Arial" w:cs="Arial" w:eastAsia="Arial" w:hAnsi="Arial"/>
                <w:sz w:val="23"/>
                <w:szCs w:val="23"/>
                <w:color w:val="auto"/>
                <w:vertAlign w:val="superscript"/>
              </w:rPr>
              <w:t>(3)</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163.3</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147.5</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310.8</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29"/>
        </w:trPr>
        <w:tc>
          <w:tcPr>
            <w:tcW w:w="360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Humulin</w:t>
            </w:r>
            <w:r>
              <w:rPr>
                <w:rFonts w:ascii="Arial" w:cs="Arial" w:eastAsia="Arial" w:hAnsi="Arial"/>
                <w:sz w:val="23"/>
                <w:szCs w:val="23"/>
                <w:color w:val="auto"/>
                <w:vertAlign w:val="superscript"/>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214.0</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91.9</w:t>
            </w:r>
          </w:p>
        </w:tc>
        <w:tc>
          <w:tcPr>
            <w:tcW w:w="32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305.9</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218.2</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103.6</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321.8</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Basaglar</w:t>
            </w:r>
            <w:r>
              <w:rPr>
                <w:rFonts w:ascii="Arial" w:cs="Arial" w:eastAsia="Arial" w:hAnsi="Arial"/>
                <w:sz w:val="23"/>
                <w:szCs w:val="23"/>
                <w:color w:val="auto"/>
                <w:vertAlign w:val="superscript"/>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178.5</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69.7</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248.2</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29"/>
        </w:trPr>
        <w:tc>
          <w:tcPr>
            <w:tcW w:w="360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 xml:space="preserve">Trajenta </w:t>
            </w:r>
            <w:r>
              <w:rPr>
                <w:rFonts w:ascii="Arial" w:cs="Arial" w:eastAsia="Arial" w:hAnsi="Arial"/>
                <w:sz w:val="23"/>
                <w:szCs w:val="23"/>
                <w:color w:val="auto"/>
                <w:vertAlign w:val="superscript"/>
              </w:rPr>
              <w:t>(4)</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19.4</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72.3</w:t>
            </w:r>
          </w:p>
        </w:tc>
        <w:tc>
          <w:tcPr>
            <w:tcW w:w="32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91.7</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95.4</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Other Diabetes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62.9</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57"/>
        </w:trPr>
        <w:tc>
          <w:tcPr>
            <w:tcW w:w="36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Diabetes</w:t>
            </w:r>
          </w:p>
        </w:tc>
        <w:tc>
          <w:tcPr>
            <w:tcW w:w="1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1,798.5</w:t>
            </w:r>
          </w:p>
        </w:tc>
        <w:tc>
          <w:tcPr>
            <w:tcW w:w="1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984.5</w:t>
            </w:r>
          </w:p>
        </w:tc>
        <w:tc>
          <w:tcPr>
            <w:tcW w:w="3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jc w:val="right"/>
              <w:ind w:right="11"/>
              <w:spacing w:after="0"/>
              <w:rPr>
                <w:sz w:val="20"/>
                <w:szCs w:val="20"/>
                <w:color w:val="auto"/>
              </w:rPr>
            </w:pPr>
            <w:r>
              <w:rPr>
                <w:rFonts w:ascii="Arial" w:cs="Arial" w:eastAsia="Arial" w:hAnsi="Arial"/>
                <w:sz w:val="18"/>
                <w:szCs w:val="18"/>
                <w:b w:val="1"/>
                <w:bCs w:val="1"/>
                <w:color w:val="auto"/>
              </w:rPr>
              <w:t>2,783.0</w:t>
            </w:r>
          </w:p>
        </w:tc>
        <w:tc>
          <w:tcPr>
            <w:tcW w:w="34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1,784.4</w:t>
            </w:r>
          </w:p>
        </w:tc>
        <w:tc>
          <w:tcPr>
            <w:tcW w:w="18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927.8</w:t>
            </w:r>
          </w:p>
        </w:tc>
        <w:tc>
          <w:tcPr>
            <w:tcW w:w="30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2,712.3</w:t>
            </w:r>
          </w:p>
        </w:tc>
        <w:tc>
          <w:tcPr>
            <w:tcW w:w="0" w:type="dxa"/>
            <w:vAlign w:val="bottom"/>
          </w:tcPr>
          <w:p>
            <w:pPr>
              <w:spacing w:after="0"/>
              <w:rPr>
                <w:sz w:val="1"/>
                <w:szCs w:val="1"/>
                <w:color w:val="auto"/>
              </w:rPr>
            </w:pPr>
          </w:p>
        </w:tc>
      </w:tr>
      <w:tr>
        <w:trPr>
          <w:trHeight w:val="229"/>
        </w:trPr>
        <w:tc>
          <w:tcPr>
            <w:tcW w:w="3600" w:type="dxa"/>
            <w:vAlign w:val="bottom"/>
          </w:tcPr>
          <w:p>
            <w:pPr>
              <w:ind w:left="220"/>
              <w:spacing w:after="0"/>
              <w:rPr>
                <w:sz w:val="20"/>
                <w:szCs w:val="20"/>
                <w:color w:val="auto"/>
              </w:rPr>
            </w:pPr>
            <w:r>
              <w:rPr>
                <w:rFonts w:ascii="Arial" w:cs="Arial" w:eastAsia="Arial" w:hAnsi="Arial"/>
                <w:sz w:val="18"/>
                <w:szCs w:val="18"/>
                <w:color w:val="auto"/>
              </w:rPr>
              <w:t>Oncology:</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Alimta</w:t>
            </w:r>
            <w:r>
              <w:rPr>
                <w:rFonts w:ascii="Arial" w:cs="Arial" w:eastAsia="Arial" w:hAnsi="Arial"/>
                <w:sz w:val="23"/>
                <w:szCs w:val="23"/>
                <w:color w:val="auto"/>
                <w:vertAlign w:val="superscript"/>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291.9</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286.1</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578.0</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29"/>
        </w:trPr>
        <w:tc>
          <w:tcPr>
            <w:tcW w:w="360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Cyramza</w:t>
            </w:r>
            <w:r>
              <w:rPr>
                <w:rFonts w:ascii="Arial" w:cs="Arial" w:eastAsia="Arial" w:hAnsi="Arial"/>
                <w:sz w:val="23"/>
                <w:szCs w:val="23"/>
                <w:color w:val="auto"/>
                <w:vertAlign w:val="superscript"/>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94.5</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158.2</w:t>
            </w:r>
          </w:p>
        </w:tc>
        <w:tc>
          <w:tcPr>
            <w:tcW w:w="32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252.7</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82.5</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157.5</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Verzenio</w:t>
            </w:r>
            <w:r>
              <w:rPr>
                <w:rFonts w:ascii="Arial" w:cs="Arial" w:eastAsia="Arial" w:hAnsi="Arial"/>
                <w:sz w:val="23"/>
                <w:szCs w:val="23"/>
                <w:color w:val="auto"/>
                <w:vertAlign w:val="superscript"/>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158.9</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75.5</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234.4</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30"/>
        </w:trPr>
        <w:tc>
          <w:tcPr>
            <w:tcW w:w="360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Erbitux</w:t>
            </w:r>
            <w:r>
              <w:rPr>
                <w:rFonts w:ascii="Arial" w:cs="Arial" w:eastAsia="Arial" w:hAnsi="Arial"/>
                <w:sz w:val="23"/>
                <w:szCs w:val="23"/>
                <w:i w:val="1"/>
                <w:iCs w:val="1"/>
                <w:color w:val="auto"/>
                <w:vertAlign w:val="superscript"/>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122.5</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14.0</w:t>
            </w:r>
          </w:p>
        </w:tc>
        <w:tc>
          <w:tcPr>
            <w:tcW w:w="32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136.4</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113.8</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Other Oncology</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117.1</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131.9</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57"/>
        </w:trPr>
        <w:tc>
          <w:tcPr>
            <w:tcW w:w="36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Oncology</w:t>
            </w:r>
          </w:p>
        </w:tc>
        <w:tc>
          <w:tcPr>
            <w:tcW w:w="1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682.5</w:t>
            </w:r>
          </w:p>
        </w:tc>
        <w:tc>
          <w:tcPr>
            <w:tcW w:w="1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650.9</w:t>
            </w:r>
          </w:p>
        </w:tc>
        <w:tc>
          <w:tcPr>
            <w:tcW w:w="3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jc w:val="right"/>
              <w:ind w:right="11"/>
              <w:spacing w:after="0"/>
              <w:rPr>
                <w:sz w:val="20"/>
                <w:szCs w:val="20"/>
                <w:color w:val="auto"/>
              </w:rPr>
            </w:pPr>
            <w:r>
              <w:rPr>
                <w:rFonts w:ascii="Arial" w:cs="Arial" w:eastAsia="Arial" w:hAnsi="Arial"/>
                <w:sz w:val="18"/>
                <w:szCs w:val="18"/>
                <w:b w:val="1"/>
                <w:bCs w:val="1"/>
                <w:color w:val="auto"/>
              </w:rPr>
              <w:t>1,333.4</w:t>
            </w:r>
          </w:p>
        </w:tc>
        <w:tc>
          <w:tcPr>
            <w:tcW w:w="34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640.2</w:t>
            </w:r>
          </w:p>
        </w:tc>
        <w:tc>
          <w:tcPr>
            <w:tcW w:w="18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507.2</w:t>
            </w:r>
          </w:p>
        </w:tc>
        <w:tc>
          <w:tcPr>
            <w:tcW w:w="30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1,147.4</w:t>
            </w:r>
          </w:p>
        </w:tc>
        <w:tc>
          <w:tcPr>
            <w:tcW w:w="0" w:type="dxa"/>
            <w:vAlign w:val="bottom"/>
          </w:tcPr>
          <w:p>
            <w:pPr>
              <w:spacing w:after="0"/>
              <w:rPr>
                <w:sz w:val="1"/>
                <w:szCs w:val="1"/>
                <w:color w:val="auto"/>
              </w:rPr>
            </w:pPr>
          </w:p>
        </w:tc>
      </w:tr>
      <w:tr>
        <w:trPr>
          <w:trHeight w:val="229"/>
        </w:trPr>
        <w:tc>
          <w:tcPr>
            <w:tcW w:w="3600" w:type="dxa"/>
            <w:vAlign w:val="bottom"/>
          </w:tcPr>
          <w:p>
            <w:pPr>
              <w:ind w:left="340"/>
              <w:spacing w:after="0"/>
              <w:rPr>
                <w:sz w:val="20"/>
                <w:szCs w:val="20"/>
                <w:color w:val="auto"/>
              </w:rPr>
            </w:pPr>
            <w:r>
              <w:rPr>
                <w:rFonts w:ascii="Arial" w:cs="Arial" w:eastAsia="Arial" w:hAnsi="Arial"/>
                <w:sz w:val="18"/>
                <w:szCs w:val="18"/>
                <w:color w:val="auto"/>
              </w:rPr>
              <w:t>Immunology:</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Taltz</w:t>
            </w:r>
            <w:r>
              <w:rPr>
                <w:rFonts w:ascii="Arial" w:cs="Arial" w:eastAsia="Arial" w:hAnsi="Arial"/>
                <w:sz w:val="23"/>
                <w:szCs w:val="23"/>
                <w:color w:val="auto"/>
                <w:vertAlign w:val="superscript"/>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326.2</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128.3</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454.5</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29"/>
        </w:trPr>
        <w:tc>
          <w:tcPr>
            <w:tcW w:w="360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Olumiant</w:t>
            </w:r>
            <w:r>
              <w:rPr>
                <w:rFonts w:ascii="Arial" w:cs="Arial" w:eastAsia="Arial" w:hAnsi="Arial"/>
                <w:sz w:val="23"/>
                <w:szCs w:val="23"/>
                <w:color w:val="auto"/>
                <w:vertAlign w:val="superscript"/>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14.5</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147.5</w:t>
            </w:r>
          </w:p>
        </w:tc>
        <w:tc>
          <w:tcPr>
            <w:tcW w:w="32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162.0</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102.5</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Other Immunology</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10.6</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00" w:type="dxa"/>
            <w:vAlign w:val="bottom"/>
          </w:tcPr>
          <w:p>
            <w:pPr>
              <w:ind w:left="460"/>
              <w:spacing w:after="0"/>
              <w:rPr>
                <w:sz w:val="20"/>
                <w:szCs w:val="20"/>
                <w:color w:val="auto"/>
              </w:rPr>
            </w:pPr>
            <w:r>
              <w:rPr>
                <w:rFonts w:ascii="Arial" w:cs="Arial" w:eastAsia="Arial" w:hAnsi="Arial"/>
                <w:sz w:val="18"/>
                <w:szCs w:val="18"/>
                <w:color w:val="auto"/>
              </w:rPr>
              <w:t>Total Immunology</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346.8</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280.3</w:t>
            </w:r>
          </w:p>
        </w:tc>
        <w:tc>
          <w:tcPr>
            <w:tcW w:w="32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627.1</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262.8</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191.8</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454.6</w:t>
            </w:r>
          </w:p>
        </w:tc>
        <w:tc>
          <w:tcPr>
            <w:tcW w:w="0" w:type="dxa"/>
            <w:vAlign w:val="bottom"/>
          </w:tcPr>
          <w:p>
            <w:pPr>
              <w:spacing w:after="0"/>
              <w:rPr>
                <w:sz w:val="1"/>
                <w:szCs w:val="1"/>
                <w:color w:val="auto"/>
              </w:rPr>
            </w:pPr>
          </w:p>
        </w:tc>
      </w:tr>
      <w:tr>
        <w:trPr>
          <w:trHeight w:val="95"/>
        </w:trPr>
        <w:tc>
          <w:tcPr>
            <w:tcW w:w="3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340"/>
              <w:spacing w:after="0"/>
              <w:rPr>
                <w:sz w:val="20"/>
                <w:szCs w:val="20"/>
                <w:color w:val="auto"/>
              </w:rPr>
            </w:pPr>
            <w:r>
              <w:rPr>
                <w:rFonts w:ascii="Arial" w:cs="Arial" w:eastAsia="Arial" w:hAnsi="Arial"/>
                <w:sz w:val="18"/>
                <w:szCs w:val="18"/>
                <w:color w:val="auto"/>
              </w:rPr>
              <w:t>Neuroscience:</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Cymbalta</w:t>
            </w:r>
            <w:r>
              <w:rPr>
                <w:rFonts w:ascii="Arial" w:cs="Arial" w:eastAsia="Arial" w:hAnsi="Arial"/>
                <w:sz w:val="23"/>
                <w:szCs w:val="23"/>
                <w:color w:val="auto"/>
                <w:vertAlign w:val="superscript"/>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175.5</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186.6</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29"/>
        </w:trPr>
        <w:tc>
          <w:tcPr>
            <w:tcW w:w="360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Zyprexa</w:t>
            </w:r>
            <w:r>
              <w:rPr>
                <w:rFonts w:ascii="Arial" w:cs="Arial" w:eastAsia="Arial" w:hAnsi="Arial"/>
                <w:sz w:val="23"/>
                <w:szCs w:val="23"/>
                <w:color w:val="auto"/>
                <w:vertAlign w:val="superscript"/>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21.2</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91.5</w:t>
            </w:r>
          </w:p>
        </w:tc>
        <w:tc>
          <w:tcPr>
            <w:tcW w:w="32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112.7</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94.2</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Emgality</w:t>
            </w:r>
            <w:r>
              <w:rPr>
                <w:rFonts w:ascii="Arial" w:cs="Arial" w:eastAsia="Arial" w:hAnsi="Arial"/>
                <w:sz w:val="23"/>
                <w:szCs w:val="23"/>
                <w:color w:val="auto"/>
                <w:vertAlign w:val="superscript"/>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81.4</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91.5</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CCEEFF"/>
            </w:tcBorders>
          </w:tcPr>
          <w:p>
            <w:pPr>
              <w:ind w:left="660"/>
              <w:spacing w:after="0"/>
              <w:rPr>
                <w:sz w:val="20"/>
                <w:szCs w:val="20"/>
                <w:color w:val="auto"/>
              </w:rPr>
            </w:pPr>
            <w:r>
              <w:rPr>
                <w:rFonts w:ascii="Arial" w:cs="Arial" w:eastAsia="Arial" w:hAnsi="Arial"/>
                <w:sz w:val="18"/>
                <w:szCs w:val="18"/>
                <w:i w:val="1"/>
                <w:iCs w:val="1"/>
                <w:color w:val="auto"/>
              </w:rPr>
              <w:t>Other Neuroscience</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53.2</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79.9</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Neuroscience</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140.4</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330.3</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470.7</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w:t>
            </w:r>
          </w:p>
        </w:tc>
        <w:tc>
          <w:tcPr>
            <w:tcW w:w="0" w:type="dxa"/>
            <w:vAlign w:val="bottom"/>
          </w:tcPr>
          <w:p>
            <w:pPr>
              <w:spacing w:after="0"/>
              <w:rPr>
                <w:sz w:val="1"/>
                <w:szCs w:val="1"/>
                <w:color w:val="auto"/>
              </w:rPr>
            </w:pPr>
          </w:p>
        </w:tc>
      </w:tr>
      <w:tr>
        <w:trPr>
          <w:trHeight w:val="54"/>
        </w:trPr>
        <w:tc>
          <w:tcPr>
            <w:tcW w:w="3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Forteo</w:t>
            </w:r>
            <w:r>
              <w:rPr>
                <w:rFonts w:ascii="Arial" w:cs="Arial" w:eastAsia="Arial" w:hAnsi="Arial"/>
                <w:sz w:val="23"/>
                <w:szCs w:val="23"/>
                <w:i w:val="1"/>
                <w:iCs w:val="1"/>
                <w:color w:val="auto"/>
                <w:vertAlign w:val="superscript"/>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144.6</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122.3</w:t>
            </w:r>
          </w:p>
        </w:tc>
        <w:tc>
          <w:tcPr>
            <w:tcW w:w="32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266.9</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195.7</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370.7</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Cialis</w:t>
            </w:r>
            <w:r>
              <w:rPr>
                <w:rFonts w:ascii="Arial" w:cs="Arial" w:eastAsia="Arial" w:hAnsi="Arial"/>
                <w:sz w:val="23"/>
                <w:szCs w:val="23"/>
                <w:i w:val="1"/>
                <w:iCs w:val="1"/>
                <w:color w:val="auto"/>
                <w:vertAlign w:val="superscript"/>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147.3</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162.5</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CCEEFF"/>
            </w:tcBorders>
          </w:tcPr>
          <w:p>
            <w:pPr>
              <w:ind w:left="660"/>
              <w:spacing w:after="0"/>
              <w:rPr>
                <w:sz w:val="20"/>
                <w:szCs w:val="20"/>
                <w:color w:val="auto"/>
              </w:rPr>
            </w:pPr>
            <w:r>
              <w:rPr>
                <w:rFonts w:ascii="Arial" w:cs="Arial" w:eastAsia="Arial" w:hAnsi="Arial"/>
                <w:sz w:val="18"/>
                <w:szCs w:val="18"/>
                <w:i w:val="1"/>
                <w:iCs w:val="1"/>
                <w:color w:val="auto"/>
              </w:rPr>
              <w:t>Other</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63.6</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97.0</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193.2</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333.2</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526.4</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735.6</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2,579.3</w:t>
            </w:r>
          </w:p>
        </w:tc>
        <w:tc>
          <w:tcPr>
            <w:tcW w:w="3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5,740.6</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2,416.4</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55" w:lineRule="exact"/>
        <w:rPr>
          <w:sz w:val="20"/>
          <w:szCs w:val="20"/>
          <w:color w:val="auto"/>
        </w:rPr>
      </w:pP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U.S. revenue includes revenue in Puerto Rico.</w:t>
      </w:r>
    </w:p>
    <w:p>
      <w:pPr>
        <w:spacing w:after="0" w:line="109" w:lineRule="exact"/>
        <w:rPr>
          <w:rFonts w:ascii="Arial" w:cs="Arial" w:eastAsia="Arial" w:hAnsi="Arial"/>
          <w:sz w:val="9"/>
          <w:szCs w:val="9"/>
          <w:color w:val="auto"/>
        </w:rPr>
      </w:pP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Humalog revenue includes insulin lispro.</w:t>
      </w:r>
    </w:p>
    <w:p>
      <w:pPr>
        <w:spacing w:after="0" w:line="109" w:lineRule="exact"/>
        <w:rPr>
          <w:rFonts w:ascii="Arial" w:cs="Arial" w:eastAsia="Arial" w:hAnsi="Arial"/>
          <w:sz w:val="9"/>
          <w:szCs w:val="9"/>
          <w:color w:val="auto"/>
        </w:rPr>
      </w:pP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Jardiance revenue includes Glyxambi</w:t>
      </w:r>
      <w:r>
        <w:rPr>
          <w:rFonts w:ascii="Arial" w:cs="Arial" w:eastAsia="Arial" w:hAnsi="Arial"/>
          <w:sz w:val="9"/>
          <w:szCs w:val="9"/>
          <w:color w:val="auto"/>
        </w:rPr>
        <w:t>®</w:t>
      </w:r>
      <w:r>
        <w:rPr>
          <w:rFonts w:ascii="Arial" w:cs="Arial" w:eastAsia="Arial" w:hAnsi="Arial"/>
          <w:sz w:val="14"/>
          <w:szCs w:val="14"/>
          <w:color w:val="auto"/>
        </w:rPr>
        <w:t>, Synjardy</w:t>
      </w:r>
      <w:r>
        <w:rPr>
          <w:rFonts w:ascii="Arial" w:cs="Arial" w:eastAsia="Arial" w:hAnsi="Arial"/>
          <w:sz w:val="9"/>
          <w:szCs w:val="9"/>
          <w:color w:val="auto"/>
        </w:rPr>
        <w:t>®</w:t>
      </w:r>
      <w:r>
        <w:rPr>
          <w:rFonts w:ascii="Arial" w:cs="Arial" w:eastAsia="Arial" w:hAnsi="Arial"/>
          <w:sz w:val="14"/>
          <w:szCs w:val="14"/>
          <w:color w:val="auto"/>
        </w:rPr>
        <w:t>, and Trijardy</w:t>
      </w:r>
      <w:r>
        <w:rPr>
          <w:rFonts w:ascii="Arial" w:cs="Arial" w:eastAsia="Arial" w:hAnsi="Arial"/>
          <w:sz w:val="9"/>
          <w:szCs w:val="9"/>
          <w:color w:val="auto"/>
        </w:rPr>
        <w:t>®</w:t>
      </w:r>
      <w:r>
        <w:rPr>
          <w:rFonts w:ascii="Arial" w:cs="Arial" w:eastAsia="Arial" w:hAnsi="Arial"/>
          <w:sz w:val="14"/>
          <w:szCs w:val="14"/>
          <w:color w:val="auto"/>
        </w:rPr>
        <w:t xml:space="preserve"> XR.</w:t>
      </w:r>
    </w:p>
    <w:p>
      <w:pPr>
        <w:spacing w:after="0" w:line="109" w:lineRule="exact"/>
        <w:rPr>
          <w:rFonts w:ascii="Arial" w:cs="Arial" w:eastAsia="Arial" w:hAnsi="Arial"/>
          <w:sz w:val="9"/>
          <w:szCs w:val="9"/>
          <w:color w:val="auto"/>
        </w:rPr>
      </w:pP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Trajenta revenue includes Jentadueto</w:t>
      </w:r>
      <w:r>
        <w:rPr>
          <w:rFonts w:ascii="Arial" w:cs="Arial" w:eastAsia="Arial" w:hAnsi="Arial"/>
          <w:sz w:val="9"/>
          <w:szCs w:val="9"/>
          <w:color w:val="auto"/>
        </w:rPr>
        <w:t>®</w:t>
      </w:r>
      <w:r>
        <w:rPr>
          <w:rFonts w:ascii="Arial" w:cs="Arial" w:eastAsia="Arial" w:hAnsi="Arial"/>
          <w:sz w:val="14"/>
          <w:szCs w:val="14"/>
          <w:color w:val="auto"/>
        </w:rPr>
        <w:t>.</w:t>
      </w:r>
    </w:p>
    <w:p>
      <w:pPr>
        <w:spacing w:after="0" w:line="200" w:lineRule="exact"/>
        <w:rPr>
          <w:sz w:val="20"/>
          <w:szCs w:val="20"/>
          <w:color w:val="auto"/>
        </w:rPr>
      </w:pPr>
    </w:p>
    <w:p>
      <w:pPr>
        <w:spacing w:after="0" w:line="34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320" w:top="994" w:right="99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 summarizes revenue by product for the nine months ended September 30, 2020 and 2019:</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3"/>
        </w:trPr>
        <w:tc>
          <w:tcPr>
            <w:tcW w:w="4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83"/>
        </w:trPr>
        <w:tc>
          <w:tcPr>
            <w:tcW w:w="4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31"/>
              <w:spacing w:after="0" w:line="182" w:lineRule="exact"/>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8"/>
                <w:szCs w:val="18"/>
                <w:b w:val="1"/>
                <w:bCs w:val="1"/>
                <w:color w:val="auto"/>
                <w:vertAlign w:val="superscript"/>
              </w:rPr>
              <w:t>(1)</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Outside U.S.</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1"/>
              <w:spacing w:after="0" w:line="182" w:lineRule="exact"/>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8"/>
                <w:szCs w:val="18"/>
                <w:b w:val="1"/>
                <w:bCs w:val="1"/>
                <w:color w:val="auto"/>
                <w:vertAlign w:val="superscript"/>
              </w:rPr>
              <w:t>(1)</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Outside U.S.</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Total</w:t>
            </w: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Revenue—to unaffiliated customers: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Diabetes: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416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Trulicity</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2,673.2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892.5</w:t>
            </w:r>
          </w:p>
        </w:tc>
        <w:tc>
          <w:tcPr>
            <w:tcW w:w="30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3,565.7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2,213.2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706.5</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2,919.7</w:t>
            </w:r>
          </w:p>
        </w:tc>
      </w:tr>
      <w:tr>
        <w:trPr>
          <w:trHeight w:val="230"/>
        </w:trPr>
        <w:tc>
          <w:tcPr>
            <w:tcW w:w="416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 xml:space="preserve">Humalog </w:t>
            </w:r>
            <w:r>
              <w:rPr>
                <w:rFonts w:ascii="Arial" w:cs="Arial" w:eastAsia="Arial" w:hAnsi="Arial"/>
                <w:sz w:val="23"/>
                <w:szCs w:val="23"/>
                <w:color w:val="auto"/>
                <w:vertAlign w:val="superscript"/>
              </w:rPr>
              <w:t>(2)</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1,070.4</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837.4</w:t>
            </w:r>
          </w:p>
        </w:tc>
        <w:tc>
          <w:tcPr>
            <w:tcW w:w="30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1,907.8</w:t>
            </w:r>
          </w:p>
        </w:tc>
        <w:tc>
          <w:tcPr>
            <w:tcW w:w="32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1,201.0</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856.3</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2,057.3</w:t>
            </w:r>
          </w:p>
        </w:tc>
      </w:tr>
      <w:tr>
        <w:trPr>
          <w:trHeight w:val="229"/>
        </w:trPr>
        <w:tc>
          <w:tcPr>
            <w:tcW w:w="416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Humulin</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642.5</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292.7</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935.2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639.6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942.1</w:t>
            </w:r>
          </w:p>
        </w:tc>
      </w:tr>
      <w:tr>
        <w:trPr>
          <w:trHeight w:val="229"/>
        </w:trPr>
        <w:tc>
          <w:tcPr>
            <w:tcW w:w="4160" w:type="dxa"/>
            <w:vAlign w:val="bottom"/>
          </w:tcPr>
          <w:p>
            <w:pPr>
              <w:ind w:left="660"/>
              <w:spacing w:after="0"/>
              <w:rPr>
                <w:sz w:val="20"/>
                <w:szCs w:val="20"/>
                <w:color w:val="auto"/>
              </w:rPr>
            </w:pPr>
            <w:r>
              <w:rPr>
                <w:rFonts w:ascii="Arial" w:cs="Arial" w:eastAsia="Arial" w:hAnsi="Arial"/>
                <w:sz w:val="18"/>
                <w:szCs w:val="18"/>
                <w:i w:val="1"/>
                <w:iCs w:val="1"/>
                <w:color w:val="auto"/>
              </w:rPr>
              <w:t>Basaglar</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638.7</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203.7</w:t>
            </w:r>
          </w:p>
        </w:tc>
        <w:tc>
          <w:tcPr>
            <w:tcW w:w="30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842.3</w:t>
            </w:r>
          </w:p>
        </w:tc>
        <w:tc>
          <w:tcPr>
            <w:tcW w:w="32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632.8</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172.6</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805.4</w:t>
            </w:r>
          </w:p>
        </w:tc>
      </w:tr>
      <w:tr>
        <w:trPr>
          <w:trHeight w:val="230"/>
        </w:trPr>
        <w:tc>
          <w:tcPr>
            <w:tcW w:w="416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 xml:space="preserve">Jardiance </w:t>
            </w:r>
            <w:r>
              <w:rPr>
                <w:rFonts w:ascii="Arial" w:cs="Arial" w:eastAsia="Arial" w:hAnsi="Arial"/>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453.0</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387.3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840.3</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408.4</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676.2</w:t>
            </w:r>
          </w:p>
        </w:tc>
      </w:tr>
      <w:tr>
        <w:trPr>
          <w:trHeight w:val="229"/>
        </w:trPr>
        <w:tc>
          <w:tcPr>
            <w:tcW w:w="416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 xml:space="preserve">Trajenta </w:t>
            </w:r>
            <w:r>
              <w:rPr>
                <w:rFonts w:ascii="Arial" w:cs="Arial" w:eastAsia="Arial" w:hAnsi="Arial"/>
                <w:sz w:val="23"/>
                <w:szCs w:val="23"/>
                <w:color w:val="auto"/>
                <w:vertAlign w:val="superscript"/>
              </w:rPr>
              <w:t>(4)</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64.5</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197.2</w:t>
            </w:r>
          </w:p>
        </w:tc>
        <w:tc>
          <w:tcPr>
            <w:tcW w:w="30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261.7</w:t>
            </w:r>
          </w:p>
        </w:tc>
        <w:tc>
          <w:tcPr>
            <w:tcW w:w="32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171.9</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269.5</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441.4</w:t>
            </w:r>
          </w:p>
        </w:tc>
      </w:tr>
      <w:tr>
        <w:trPr>
          <w:trHeight w:val="229"/>
        </w:trPr>
        <w:tc>
          <w:tcPr>
            <w:tcW w:w="416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Other Diabetes</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120.7</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57.2</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177.9</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119.7</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r>
      <w:tr>
        <w:trPr>
          <w:trHeight w:val="257"/>
        </w:trPr>
        <w:tc>
          <w:tcPr>
            <w:tcW w:w="41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Diabetes</w:t>
            </w:r>
          </w:p>
        </w:tc>
        <w:tc>
          <w:tcPr>
            <w:tcW w:w="2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5,663.0</w:t>
            </w:r>
          </w:p>
        </w:tc>
        <w:tc>
          <w:tcPr>
            <w:tcW w:w="16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2,868.0</w:t>
            </w:r>
          </w:p>
        </w:tc>
        <w:tc>
          <w:tcPr>
            <w:tcW w:w="30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jc w:val="right"/>
              <w:ind w:right="11"/>
              <w:spacing w:after="0"/>
              <w:rPr>
                <w:sz w:val="20"/>
                <w:szCs w:val="20"/>
                <w:color w:val="auto"/>
              </w:rPr>
            </w:pPr>
            <w:r>
              <w:rPr>
                <w:rFonts w:ascii="Arial" w:cs="Arial" w:eastAsia="Arial" w:hAnsi="Arial"/>
                <w:sz w:val="18"/>
                <w:szCs w:val="18"/>
                <w:b w:val="1"/>
                <w:bCs w:val="1"/>
                <w:color w:val="auto"/>
              </w:rPr>
              <w:t>8,530.9</w:t>
            </w:r>
          </w:p>
        </w:tc>
        <w:tc>
          <w:tcPr>
            <w:tcW w:w="3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jc w:val="right"/>
              <w:ind w:right="11"/>
              <w:spacing w:after="0"/>
              <w:rPr>
                <w:sz w:val="20"/>
                <w:szCs w:val="20"/>
                <w:color w:val="auto"/>
              </w:rPr>
            </w:pPr>
            <w:r>
              <w:rPr>
                <w:rFonts w:ascii="Arial" w:cs="Arial" w:eastAsia="Arial" w:hAnsi="Arial"/>
                <w:sz w:val="18"/>
                <w:szCs w:val="18"/>
                <w:color w:val="auto"/>
              </w:rPr>
              <w:t>5,386.6</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2,640.9</w:t>
            </w:r>
          </w:p>
        </w:tc>
        <w:tc>
          <w:tcPr>
            <w:tcW w:w="30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8,027.5</w:t>
            </w:r>
          </w:p>
        </w:tc>
      </w:tr>
      <w:tr>
        <w:trPr>
          <w:trHeight w:val="229"/>
        </w:trPr>
        <w:tc>
          <w:tcPr>
            <w:tcW w:w="4160" w:type="dxa"/>
            <w:vAlign w:val="bottom"/>
          </w:tcPr>
          <w:p>
            <w:pPr>
              <w:ind w:left="220"/>
              <w:spacing w:after="0"/>
              <w:rPr>
                <w:sz w:val="20"/>
                <w:szCs w:val="20"/>
                <w:color w:val="auto"/>
              </w:rPr>
            </w:pPr>
            <w:r>
              <w:rPr>
                <w:rFonts w:ascii="Arial" w:cs="Arial" w:eastAsia="Arial" w:hAnsi="Arial"/>
                <w:sz w:val="18"/>
                <w:szCs w:val="18"/>
                <w:color w:val="auto"/>
              </w:rPr>
              <w:t>Oncology:</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16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Alimta</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933.4</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743.8</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1,677.2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905.8</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1,585.1</w:t>
            </w:r>
          </w:p>
        </w:tc>
      </w:tr>
      <w:tr>
        <w:trPr>
          <w:trHeight w:val="229"/>
        </w:trPr>
        <w:tc>
          <w:tcPr>
            <w:tcW w:w="4160" w:type="dxa"/>
            <w:vAlign w:val="bottom"/>
          </w:tcPr>
          <w:p>
            <w:pPr>
              <w:ind w:left="660"/>
              <w:spacing w:after="0"/>
              <w:rPr>
                <w:sz w:val="20"/>
                <w:szCs w:val="20"/>
                <w:color w:val="auto"/>
              </w:rPr>
            </w:pPr>
            <w:r>
              <w:rPr>
                <w:rFonts w:ascii="Arial" w:cs="Arial" w:eastAsia="Arial" w:hAnsi="Arial"/>
                <w:sz w:val="18"/>
                <w:szCs w:val="18"/>
                <w:i w:val="1"/>
                <w:iCs w:val="1"/>
                <w:color w:val="auto"/>
              </w:rPr>
              <w:t>Cyramza</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277.6</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470.8</w:t>
            </w:r>
          </w:p>
        </w:tc>
        <w:tc>
          <w:tcPr>
            <w:tcW w:w="30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748.4</w:t>
            </w:r>
          </w:p>
        </w:tc>
        <w:tc>
          <w:tcPr>
            <w:tcW w:w="32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247.4</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432.7</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680.1</w:t>
            </w:r>
          </w:p>
        </w:tc>
      </w:tr>
      <w:tr>
        <w:trPr>
          <w:trHeight w:val="229"/>
        </w:trPr>
        <w:tc>
          <w:tcPr>
            <w:tcW w:w="416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Verzenio</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430.0</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201.1</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631.1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323.5</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w:t>
            </w:r>
          </w:p>
        </w:tc>
      </w:tr>
      <w:tr>
        <w:trPr>
          <w:trHeight w:val="230"/>
        </w:trPr>
        <w:tc>
          <w:tcPr>
            <w:tcW w:w="4160" w:type="dxa"/>
            <w:vAlign w:val="bottom"/>
          </w:tcPr>
          <w:p>
            <w:pPr>
              <w:ind w:left="660"/>
              <w:spacing w:after="0"/>
              <w:rPr>
                <w:sz w:val="20"/>
                <w:szCs w:val="20"/>
                <w:color w:val="auto"/>
              </w:rPr>
            </w:pPr>
            <w:r>
              <w:rPr>
                <w:rFonts w:ascii="Arial" w:cs="Arial" w:eastAsia="Arial" w:hAnsi="Arial"/>
                <w:sz w:val="18"/>
                <w:szCs w:val="18"/>
                <w:i w:val="1"/>
                <w:iCs w:val="1"/>
                <w:color w:val="auto"/>
              </w:rPr>
              <w:t>Erbitux</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356.1</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40.6</w:t>
            </w:r>
          </w:p>
        </w:tc>
        <w:tc>
          <w:tcPr>
            <w:tcW w:w="30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396.7</w:t>
            </w:r>
          </w:p>
        </w:tc>
        <w:tc>
          <w:tcPr>
            <w:tcW w:w="32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364.1</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42.3</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406.4</w:t>
            </w:r>
          </w:p>
        </w:tc>
      </w:tr>
      <w:tr>
        <w:trPr>
          <w:trHeight w:val="229"/>
        </w:trPr>
        <w:tc>
          <w:tcPr>
            <w:tcW w:w="416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Other Oncology</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324.1</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350.1</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83.1</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285.1</w:t>
            </w:r>
          </w:p>
        </w:tc>
      </w:tr>
      <w:tr>
        <w:trPr>
          <w:trHeight w:val="257"/>
        </w:trPr>
        <w:tc>
          <w:tcPr>
            <w:tcW w:w="41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Oncology</w:t>
            </w:r>
          </w:p>
        </w:tc>
        <w:tc>
          <w:tcPr>
            <w:tcW w:w="2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2,023.1</w:t>
            </w:r>
          </w:p>
        </w:tc>
        <w:tc>
          <w:tcPr>
            <w:tcW w:w="16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1,780.4</w:t>
            </w:r>
          </w:p>
        </w:tc>
        <w:tc>
          <w:tcPr>
            <w:tcW w:w="30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jc w:val="right"/>
              <w:ind w:right="11"/>
              <w:spacing w:after="0"/>
              <w:rPr>
                <w:sz w:val="20"/>
                <w:szCs w:val="20"/>
                <w:color w:val="auto"/>
              </w:rPr>
            </w:pPr>
            <w:r>
              <w:rPr>
                <w:rFonts w:ascii="Arial" w:cs="Arial" w:eastAsia="Arial" w:hAnsi="Arial"/>
                <w:sz w:val="18"/>
                <w:szCs w:val="18"/>
                <w:b w:val="1"/>
                <w:bCs w:val="1"/>
                <w:color w:val="auto"/>
              </w:rPr>
              <w:t>3,803.5</w:t>
            </w:r>
          </w:p>
        </w:tc>
        <w:tc>
          <w:tcPr>
            <w:tcW w:w="3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jc w:val="right"/>
              <w:ind w:right="11"/>
              <w:spacing w:after="0"/>
              <w:rPr>
                <w:sz w:val="20"/>
                <w:szCs w:val="20"/>
                <w:color w:val="auto"/>
              </w:rPr>
            </w:pPr>
            <w:r>
              <w:rPr>
                <w:rFonts w:ascii="Arial" w:cs="Arial" w:eastAsia="Arial" w:hAnsi="Arial"/>
                <w:sz w:val="18"/>
                <w:szCs w:val="18"/>
                <w:color w:val="auto"/>
              </w:rPr>
              <w:t>1,923.9</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1,433.5</w:t>
            </w:r>
          </w:p>
        </w:tc>
        <w:tc>
          <w:tcPr>
            <w:tcW w:w="30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3,357.3</w:t>
            </w:r>
          </w:p>
        </w:tc>
      </w:tr>
      <w:tr>
        <w:trPr>
          <w:trHeight w:val="230"/>
        </w:trPr>
        <w:tc>
          <w:tcPr>
            <w:tcW w:w="4160" w:type="dxa"/>
            <w:vAlign w:val="bottom"/>
          </w:tcPr>
          <w:p>
            <w:pPr>
              <w:ind w:left="340"/>
              <w:spacing w:after="0"/>
              <w:rPr>
                <w:sz w:val="20"/>
                <w:szCs w:val="20"/>
                <w:color w:val="auto"/>
              </w:rPr>
            </w:pPr>
            <w:r>
              <w:rPr>
                <w:rFonts w:ascii="Arial" w:cs="Arial" w:eastAsia="Arial" w:hAnsi="Arial"/>
                <w:sz w:val="18"/>
                <w:szCs w:val="18"/>
                <w:color w:val="auto"/>
              </w:rPr>
              <w:t>Immunology:</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416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Taltz</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942.9</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1,293.2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699.6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946.3</w:t>
            </w:r>
          </w:p>
        </w:tc>
      </w:tr>
      <w:tr>
        <w:trPr>
          <w:trHeight w:val="230"/>
        </w:trPr>
        <w:tc>
          <w:tcPr>
            <w:tcW w:w="4160" w:type="dxa"/>
            <w:vAlign w:val="bottom"/>
          </w:tcPr>
          <w:p>
            <w:pPr>
              <w:ind w:left="660"/>
              <w:spacing w:after="0"/>
              <w:rPr>
                <w:sz w:val="20"/>
                <w:szCs w:val="20"/>
                <w:color w:val="auto"/>
              </w:rPr>
            </w:pPr>
            <w:r>
              <w:rPr>
                <w:rFonts w:ascii="Arial" w:cs="Arial" w:eastAsia="Arial" w:hAnsi="Arial"/>
                <w:sz w:val="18"/>
                <w:szCs w:val="18"/>
                <w:i w:val="1"/>
                <w:iCs w:val="1"/>
                <w:color w:val="auto"/>
              </w:rPr>
              <w:t>Olumiant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39.0</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407.7</w:t>
            </w:r>
          </w:p>
        </w:tc>
        <w:tc>
          <w:tcPr>
            <w:tcW w:w="30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446.7</w:t>
            </w:r>
          </w:p>
        </w:tc>
        <w:tc>
          <w:tcPr>
            <w:tcW w:w="32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269.9</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299.1</w:t>
            </w:r>
          </w:p>
        </w:tc>
      </w:tr>
      <w:tr>
        <w:trPr>
          <w:trHeight w:val="230"/>
        </w:trPr>
        <w:tc>
          <w:tcPr>
            <w:tcW w:w="416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Other Immunology</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21.3</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1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Immunology</w:t>
            </w:r>
          </w:p>
        </w:tc>
        <w:tc>
          <w:tcPr>
            <w:tcW w:w="2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995.1</w:t>
            </w:r>
          </w:p>
        </w:tc>
        <w:tc>
          <w:tcPr>
            <w:tcW w:w="16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766.1</w:t>
            </w:r>
          </w:p>
        </w:tc>
        <w:tc>
          <w:tcPr>
            <w:tcW w:w="30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jc w:val="right"/>
              <w:ind w:right="11"/>
              <w:spacing w:after="0"/>
              <w:rPr>
                <w:sz w:val="20"/>
                <w:szCs w:val="20"/>
                <w:color w:val="auto"/>
              </w:rPr>
            </w:pPr>
            <w:r>
              <w:rPr>
                <w:rFonts w:ascii="Arial" w:cs="Arial" w:eastAsia="Arial" w:hAnsi="Arial"/>
                <w:sz w:val="18"/>
                <w:szCs w:val="18"/>
                <w:b w:val="1"/>
                <w:bCs w:val="1"/>
                <w:color w:val="auto"/>
              </w:rPr>
              <w:t>1,761.2</w:t>
            </w:r>
          </w:p>
        </w:tc>
        <w:tc>
          <w:tcPr>
            <w:tcW w:w="3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jc w:val="right"/>
              <w:ind w:right="11"/>
              <w:spacing w:after="0"/>
              <w:rPr>
                <w:sz w:val="20"/>
                <w:szCs w:val="20"/>
                <w:color w:val="auto"/>
              </w:rPr>
            </w:pPr>
            <w:r>
              <w:rPr>
                <w:rFonts w:ascii="Arial" w:cs="Arial" w:eastAsia="Arial" w:hAnsi="Arial"/>
                <w:sz w:val="18"/>
                <w:szCs w:val="18"/>
                <w:color w:val="auto"/>
              </w:rPr>
              <w:t>728.8</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516.6</w:t>
            </w:r>
          </w:p>
        </w:tc>
        <w:tc>
          <w:tcPr>
            <w:tcW w:w="30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1,245.4</w:t>
            </w:r>
          </w:p>
        </w:tc>
      </w:tr>
      <w:tr>
        <w:trPr>
          <w:trHeight w:val="229"/>
        </w:trPr>
        <w:tc>
          <w:tcPr>
            <w:tcW w:w="4160" w:type="dxa"/>
            <w:vAlign w:val="bottom"/>
          </w:tcPr>
          <w:p>
            <w:pPr>
              <w:ind w:left="340"/>
              <w:spacing w:after="0"/>
              <w:rPr>
                <w:sz w:val="20"/>
                <w:szCs w:val="20"/>
                <w:color w:val="auto"/>
              </w:rPr>
            </w:pPr>
            <w:r>
              <w:rPr>
                <w:rFonts w:ascii="Arial" w:cs="Arial" w:eastAsia="Arial" w:hAnsi="Arial"/>
                <w:sz w:val="18"/>
                <w:szCs w:val="18"/>
                <w:color w:val="auto"/>
              </w:rPr>
              <w:t>Neuroscience:</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16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Cymbalta</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30.5</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546.5</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576.9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491.2</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w:t>
            </w:r>
          </w:p>
        </w:tc>
      </w:tr>
      <w:tr>
        <w:trPr>
          <w:trHeight w:val="230"/>
        </w:trPr>
        <w:tc>
          <w:tcPr>
            <w:tcW w:w="4160" w:type="dxa"/>
            <w:vAlign w:val="bottom"/>
          </w:tcPr>
          <w:p>
            <w:pPr>
              <w:ind w:left="660"/>
              <w:spacing w:after="0"/>
              <w:rPr>
                <w:sz w:val="20"/>
                <w:szCs w:val="20"/>
                <w:color w:val="auto"/>
              </w:rPr>
            </w:pPr>
            <w:r>
              <w:rPr>
                <w:rFonts w:ascii="Arial" w:cs="Arial" w:eastAsia="Arial" w:hAnsi="Arial"/>
                <w:sz w:val="18"/>
                <w:szCs w:val="18"/>
                <w:i w:val="1"/>
                <w:iCs w:val="1"/>
                <w:color w:val="auto"/>
              </w:rPr>
              <w:t>Zyprexa</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41.5</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266.2</w:t>
            </w:r>
          </w:p>
        </w:tc>
        <w:tc>
          <w:tcPr>
            <w:tcW w:w="30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307.7</w:t>
            </w:r>
          </w:p>
        </w:tc>
        <w:tc>
          <w:tcPr>
            <w:tcW w:w="32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287.2</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317.0</w:t>
            </w:r>
          </w:p>
        </w:tc>
      </w:tr>
      <w:tr>
        <w:trPr>
          <w:trHeight w:val="230"/>
        </w:trPr>
        <w:tc>
          <w:tcPr>
            <w:tcW w:w="416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Emgality</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229.3</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252.9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91.8</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r>
      <w:tr>
        <w:trPr>
          <w:trHeight w:val="230"/>
        </w:trPr>
        <w:tc>
          <w:tcPr>
            <w:tcW w:w="4160" w:type="dxa"/>
            <w:vAlign w:val="bottom"/>
            <w:tcBorders>
              <w:bottom w:val="single" w:sz="8" w:color="CCEEFF"/>
            </w:tcBorders>
          </w:tcPr>
          <w:p>
            <w:pPr>
              <w:ind w:left="660"/>
              <w:spacing w:after="0"/>
              <w:rPr>
                <w:sz w:val="20"/>
                <w:szCs w:val="20"/>
                <w:color w:val="auto"/>
              </w:rPr>
            </w:pPr>
            <w:r>
              <w:rPr>
                <w:rFonts w:ascii="Arial" w:cs="Arial" w:eastAsia="Arial" w:hAnsi="Arial"/>
                <w:sz w:val="18"/>
                <w:szCs w:val="18"/>
                <w:i w:val="1"/>
                <w:iCs w:val="1"/>
                <w:color w:val="auto"/>
              </w:rPr>
              <w:t>Other Neuroscience</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53.4</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165.7</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219.2</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89.9</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329.4</w:t>
            </w:r>
          </w:p>
        </w:tc>
      </w:tr>
      <w:tr>
        <w:trPr>
          <w:trHeight w:val="223"/>
        </w:trPr>
        <w:tc>
          <w:tcPr>
            <w:tcW w:w="4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Neuroscience</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354.7</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1,002.0</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1,356.7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250.2</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1,022.4</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1,272.6</w:t>
            </w:r>
          </w:p>
        </w:tc>
      </w:tr>
      <w:tr>
        <w:trPr>
          <w:trHeight w:val="54"/>
        </w:trPr>
        <w:tc>
          <w:tcPr>
            <w:tcW w:w="4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30"/>
        </w:trPr>
        <w:tc>
          <w:tcPr>
            <w:tcW w:w="4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4160" w:type="dxa"/>
            <w:vAlign w:val="bottom"/>
          </w:tcPr>
          <w:p>
            <w:pPr>
              <w:ind w:left="660"/>
              <w:spacing w:after="0"/>
              <w:rPr>
                <w:sz w:val="20"/>
                <w:szCs w:val="20"/>
                <w:color w:val="auto"/>
              </w:rPr>
            </w:pPr>
            <w:r>
              <w:rPr>
                <w:rFonts w:ascii="Arial" w:cs="Arial" w:eastAsia="Arial" w:hAnsi="Arial"/>
                <w:sz w:val="18"/>
                <w:szCs w:val="18"/>
                <w:i w:val="1"/>
                <w:iCs w:val="1"/>
                <w:color w:val="auto"/>
              </w:rPr>
              <w:t>Forteo</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386.7</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405.2</w:t>
            </w:r>
          </w:p>
        </w:tc>
        <w:tc>
          <w:tcPr>
            <w:tcW w:w="30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791.9</w:t>
            </w:r>
          </w:p>
        </w:tc>
        <w:tc>
          <w:tcPr>
            <w:tcW w:w="32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473.8</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570.6</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1,044.4</w:t>
            </w:r>
          </w:p>
        </w:tc>
      </w:tr>
      <w:tr>
        <w:trPr>
          <w:trHeight w:val="230"/>
        </w:trPr>
        <w:tc>
          <w:tcPr>
            <w:tcW w:w="416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Cialis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64.6</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421.6</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486.2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209.3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w:t>
            </w:r>
          </w:p>
        </w:tc>
      </w:tr>
      <w:tr>
        <w:trPr>
          <w:trHeight w:val="229"/>
        </w:trPr>
        <w:tc>
          <w:tcPr>
            <w:tcW w:w="4160" w:type="dxa"/>
            <w:vAlign w:val="bottom"/>
            <w:tcBorders>
              <w:bottom w:val="single" w:sz="8" w:color="CCEEFF"/>
            </w:tcBorders>
          </w:tcPr>
          <w:p>
            <w:pPr>
              <w:ind w:left="660"/>
              <w:spacing w:after="0"/>
              <w:rPr>
                <w:sz w:val="20"/>
                <w:szCs w:val="20"/>
                <w:color w:val="auto"/>
              </w:rPr>
            </w:pPr>
            <w:r>
              <w:rPr>
                <w:rFonts w:ascii="Arial" w:cs="Arial" w:eastAsia="Arial" w:hAnsi="Arial"/>
                <w:sz w:val="18"/>
                <w:szCs w:val="18"/>
                <w:i w:val="1"/>
                <w:iCs w:val="1"/>
                <w:color w:val="auto"/>
              </w:rPr>
              <w:t>Other</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144.2</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225.2</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369.4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230.9</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565.6</w:t>
            </w:r>
          </w:p>
        </w:tc>
      </w:tr>
      <w:tr>
        <w:trPr>
          <w:trHeight w:val="223"/>
        </w:trPr>
        <w:tc>
          <w:tcPr>
            <w:tcW w:w="4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595.5</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1,052.0</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1,647.5</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914.0</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1,388.6</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2,302.7</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9,631.4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7,468.5</w:t>
            </w:r>
          </w:p>
        </w:tc>
        <w:tc>
          <w:tcPr>
            <w:tcW w:w="3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17,099.8</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9,203.5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7,002.1</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16,205.5</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55" w:lineRule="exact"/>
        <w:rPr>
          <w:sz w:val="20"/>
          <w:szCs w:val="20"/>
          <w:color w:val="auto"/>
        </w:rPr>
      </w:pPr>
    </w:p>
    <w:p>
      <w:pPr>
        <w:ind w:left="140" w:hanging="132"/>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U.S. revenue includes revenue in Puerto Rico.</w:t>
      </w:r>
    </w:p>
    <w:p>
      <w:pPr>
        <w:spacing w:after="0" w:line="50" w:lineRule="exact"/>
        <w:rPr>
          <w:rFonts w:ascii="Arial" w:cs="Arial" w:eastAsia="Arial" w:hAnsi="Arial"/>
          <w:sz w:val="16"/>
          <w:szCs w:val="16"/>
          <w:color w:val="auto"/>
          <w:vertAlign w:val="superscript"/>
        </w:rPr>
      </w:pPr>
    </w:p>
    <w:p>
      <w:pPr>
        <w:ind w:left="140" w:hanging="132"/>
        <w:spacing w:after="0" w:line="229" w:lineRule="auto"/>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Humalog revenue includes insulin lispro.</w:t>
      </w:r>
    </w:p>
    <w:p>
      <w:pPr>
        <w:spacing w:after="0" w:line="40" w:lineRule="exact"/>
        <w:rPr>
          <w:rFonts w:ascii="Arial" w:cs="Arial" w:eastAsia="Arial" w:hAnsi="Arial"/>
          <w:sz w:val="16"/>
          <w:szCs w:val="16"/>
          <w:color w:val="auto"/>
          <w:vertAlign w:val="superscript"/>
        </w:rPr>
      </w:pPr>
    </w:p>
    <w:p>
      <w:pPr>
        <w:ind w:left="140" w:hanging="132"/>
        <w:spacing w:after="0" w:line="229" w:lineRule="auto"/>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Jardiance revenue includes Glyxambi, Synjardy, and Trijardy XR.</w:t>
      </w:r>
    </w:p>
    <w:p>
      <w:pPr>
        <w:spacing w:after="0" w:line="40" w:lineRule="exact"/>
        <w:rPr>
          <w:rFonts w:ascii="Arial" w:cs="Arial" w:eastAsia="Arial" w:hAnsi="Arial"/>
          <w:sz w:val="16"/>
          <w:szCs w:val="16"/>
          <w:color w:val="auto"/>
          <w:vertAlign w:val="superscript"/>
        </w:rPr>
      </w:pPr>
    </w:p>
    <w:p>
      <w:pPr>
        <w:ind w:left="140" w:hanging="132"/>
        <w:spacing w:after="0" w:line="229" w:lineRule="auto"/>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Trajenta revenue includes Jentadueto.</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following table summarizes revenue by geographical area: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September</w:t>
            </w:r>
          </w:p>
        </w:tc>
        <w:tc>
          <w:tcPr>
            <w:tcW w:w="25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76"/>
        </w:trPr>
        <w:tc>
          <w:tcPr>
            <w:tcW w:w="6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30,</w:t>
            </w:r>
          </w:p>
        </w:tc>
        <w:tc>
          <w:tcPr>
            <w:tcW w:w="9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Revenue—to unaffiliated customers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U.S. </w:t>
            </w:r>
            <w:r>
              <w:rPr>
                <w:rFonts w:ascii="Arial" w:cs="Arial" w:eastAsia="Arial" w:hAnsi="Arial"/>
                <w:sz w:val="23"/>
                <w:szCs w:val="23"/>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3,161.4</w:t>
            </w:r>
          </w:p>
        </w:tc>
        <w:tc>
          <w:tcPr>
            <w:tcW w:w="38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3,060.2</w:t>
            </w:r>
          </w:p>
        </w:tc>
        <w:tc>
          <w:tcPr>
            <w:tcW w:w="300" w:type="dxa"/>
            <w:vAlign w:val="bottom"/>
          </w:tcPr>
          <w:p>
            <w:pPr>
              <w:jc w:val="right"/>
              <w:ind w:right="56"/>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b w:val="1"/>
                <w:bCs w:val="1"/>
                <w:color w:val="auto"/>
              </w:rPr>
              <w:t>9,631.4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9,203.5</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Europe</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1,046.7</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923.4</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2,984.4</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2,752.0</w:t>
            </w:r>
          </w:p>
        </w:tc>
        <w:tc>
          <w:tcPr>
            <w:tcW w:w="0" w:type="dxa"/>
            <w:vAlign w:val="bottom"/>
          </w:tcPr>
          <w:p>
            <w:pPr>
              <w:spacing w:after="0"/>
              <w:rPr>
                <w:sz w:val="1"/>
                <w:szCs w:val="1"/>
                <w:color w:val="auto"/>
              </w:rPr>
            </w:pPr>
          </w:p>
        </w:tc>
      </w:tr>
      <w:tr>
        <w:trPr>
          <w:trHeight w:val="229"/>
        </w:trPr>
        <w:tc>
          <w:tcPr>
            <w:tcW w:w="6320" w:type="dxa"/>
            <w:vAlign w:val="bottom"/>
          </w:tcPr>
          <w:p>
            <w:pPr>
              <w:ind w:left="120"/>
              <w:spacing w:after="0"/>
              <w:rPr>
                <w:sz w:val="20"/>
                <w:szCs w:val="20"/>
                <w:color w:val="auto"/>
              </w:rPr>
            </w:pPr>
            <w:r>
              <w:rPr>
                <w:rFonts w:ascii="Arial" w:cs="Arial" w:eastAsia="Arial" w:hAnsi="Arial"/>
                <w:sz w:val="18"/>
                <w:szCs w:val="18"/>
                <w:color w:val="auto"/>
              </w:rPr>
              <w:t>Japan</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660.1</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641.5</w:t>
            </w:r>
          </w:p>
        </w:tc>
        <w:tc>
          <w:tcPr>
            <w:tcW w:w="30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b w:val="1"/>
                <w:bCs w:val="1"/>
                <w:color w:val="auto"/>
              </w:rPr>
              <w:t>1,919.1</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1,838.4</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China</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289.1</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796.2</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foreign countries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583.2</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587.3</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1,768.7</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1,705.5</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5,740.6</w:t>
            </w:r>
          </w:p>
        </w:tc>
        <w:tc>
          <w:tcPr>
            <w:tcW w:w="3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5,476.6</w:t>
            </w:r>
          </w:p>
        </w:tc>
        <w:tc>
          <w:tcPr>
            <w:tcW w:w="3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17,099.8</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16,205.5</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55" w:lineRule="exact"/>
        <w:rPr>
          <w:sz w:val="20"/>
          <w:szCs w:val="20"/>
          <w:color w:val="auto"/>
        </w:rPr>
      </w:pPr>
    </w:p>
    <w:p>
      <w:pPr>
        <w:ind w:left="140" w:hanging="132"/>
        <w:spacing w:after="0"/>
        <w:tabs>
          <w:tab w:leader="none" w:pos="140" w:val="left"/>
        </w:tabs>
        <w:numPr>
          <w:ilvl w:val="0"/>
          <w:numId w:val="8"/>
        </w:numPr>
        <w:rPr>
          <w:rFonts w:ascii="Arial" w:cs="Arial" w:eastAsia="Arial" w:hAnsi="Arial"/>
          <w:sz w:val="9"/>
          <w:szCs w:val="9"/>
          <w:color w:val="auto"/>
        </w:rPr>
      </w:pPr>
      <w:r>
        <w:rPr>
          <w:rFonts w:ascii="Arial" w:cs="Arial" w:eastAsia="Arial" w:hAnsi="Arial"/>
          <w:sz w:val="14"/>
          <w:szCs w:val="14"/>
          <w:color w:val="auto"/>
        </w:rPr>
        <w:t>Revenue is attributed to the countries based on the location of the customer.</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8"/>
        </w:numPr>
        <w:rPr>
          <w:rFonts w:ascii="Arial" w:cs="Arial" w:eastAsia="Arial" w:hAnsi="Arial"/>
          <w:sz w:val="9"/>
          <w:szCs w:val="9"/>
          <w:color w:val="auto"/>
        </w:rPr>
      </w:pPr>
      <w:r>
        <w:rPr>
          <w:rFonts w:ascii="Arial" w:cs="Arial" w:eastAsia="Arial" w:hAnsi="Arial"/>
          <w:sz w:val="14"/>
          <w:szCs w:val="14"/>
          <w:color w:val="auto"/>
        </w:rPr>
        <w:t>U.S. revenue includes revenue in Puerto Rico.</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February 2020 and 2019, we completed the acquisitions of Dermira, Inc. (Dermira) and Loxo Oncology, Inc. (Loxo), respectively. These transactions, as further discussed in this note below in Acquisitions of Businesses, were accounted for as business combinations under the acquisition method of accounting. Under this method, the assets acquired and liabilities assumed were recorded at their respective fair values as of the acquisition date in our consolidated condensed financial statements. The determination of estimated fair value required management to make significant estimates and assumptions. The excess of the purchase price over the fair value of the acquired net assets, where applicable, has been recorded as goodwill. The results of operations of these acquisitions are included in our consolidated condensed financial statements from the date of acquisition.</w:t>
      </w:r>
    </w:p>
    <w:p>
      <w:pPr>
        <w:spacing w:after="0" w:line="68"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We also acquired assets in development which are further discussed in this note below in Asset Acquisitions. Upon acquisition, the acquired in-process research and development (IPR&amp;D) charges related to these compounds were immediately expensed because the compounds had no alternative future use. There were no acquired IPR&amp;D charges recognized in the three months ended September 30, 2020. We recognized $294.1 million of acquired IPR&amp;D charges for the nine months ended September 30, 2020. We recognized $77.7 million and $239.6 million of acquired IPR&amp;D charges for the three and nine months ended September 30, 2019,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of Businesses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Dermira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15"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In February 2020, we acquired all shares of Dermira for a purchase price of approximately $849.3 million, net of cash acquired. Under terms of the agreement, we acquired lebrikizumab, a novel, investigational, monoclonal antibody being evaluated for the treatment of moderate-to-severe atopic dermatitis. Lebrikizumab was granted Fast Track designation from the U.S. Food and Drug Administration (FDA). We also acquired Qbrexza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(glycopyrronium) cloth, a medicated cloth approved by the FDA for the topical treatment of primary axillary hyperhidrosis (uncontrolled excessive underarm sweating).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access to Dermira information was limited prior to the acquisition. As a consequence, we are in the process of determining fair values and tax bases of a significant portion of the assets acquired and liabilities assumed, including the identification and valuation of intangible assets, long-term debt, and tax exposures. The final determination of these amounts will be completed as soon as possible but no later than one year from the acquisition date. The final determination may result in asset and liability fair values and tax bases that differ from the preliminary estimates and require changes to the preliminary amounts recognized. Preliminary fair values related to this acquisition included goodwill of $46.8 million, other intangibles of $1.24 billion primarily related to lebrikizumab, deferred income tax liabilities of $55.0 million, and long-term debt of $375.5 million. After the acquisition, we repaid $276.2 million of long-term debt assumed as part of our acquisition of Dermira.</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u w:val="single" w:color="auto"/>
          <w:color w:val="auto"/>
        </w:rPr>
        <w:t>Loxo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15"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In February 2019, we acquired all shares of Loxo for a purchase price of $ 6.92 billion, net of cash acquired. The accelerated vesting of Loxo employee equity awards was recognized as transaction expense included in asset impairment, restructuring, and other special charges during the nine months ended September 30, 2019 (see Note 6).</w:t>
      </w:r>
    </w:p>
    <w:p>
      <w:pPr>
        <w:spacing w:after="0" w:line="55"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Under the terms of the agreement, we acquired a pipeline of investigational medicines, including selpercatinib (LOXO-292), an oral RET inhibitor, and LOXO-305, an oral BTK inhibitor. In the second quarter of 2020, the FDA approved selpercatinib (Retevmo</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 under its Accelerated Approval regulations and continued approval may be</w:t>
      </w:r>
    </w:p>
    <w:p>
      <w:pPr>
        <w:ind w:right="200"/>
        <w:spacing w:after="0" w:line="258" w:lineRule="auto"/>
        <w:rPr>
          <w:sz w:val="20"/>
          <w:szCs w:val="20"/>
          <w:color w:val="auto"/>
        </w:rPr>
      </w:pPr>
      <w:r>
        <w:rPr>
          <w:rFonts w:ascii="Arial" w:cs="Arial" w:eastAsia="Arial" w:hAnsi="Arial"/>
          <w:sz w:val="18"/>
          <w:szCs w:val="18"/>
          <w:color w:val="auto"/>
        </w:rPr>
        <w:t>contingent upon verification and description of clinical benefit in confirmatory trials. At the time of approval, we reclassified our $4.60 billion intangible asset for selpercatinib (Retevmo) from indefinite-lived intangible assets to finite-lived intangible assets and began amortizing straight line over its estimated useful life.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15" w:lineRule="exact"/>
        <w:rPr>
          <w:sz w:val="20"/>
          <w:szCs w:val="20"/>
          <w:color w:val="auto"/>
        </w:rPr>
      </w:pPr>
    </w:p>
    <w:p>
      <w:pPr>
        <w:ind w:right="500"/>
        <w:spacing w:after="0" w:line="292" w:lineRule="auto"/>
        <w:rPr>
          <w:sz w:val="20"/>
          <w:szCs w:val="20"/>
          <w:color w:val="auto"/>
        </w:rPr>
      </w:pPr>
      <w:r>
        <w:rPr>
          <w:rFonts w:ascii="Arial" w:cs="Arial" w:eastAsia="Arial" w:hAnsi="Arial"/>
          <w:sz w:val="18"/>
          <w:szCs w:val="18"/>
          <w:color w:val="auto"/>
        </w:rPr>
        <w:t>The following table summarizes the amounts recognized for assets acquired and liabilities assumed in the acquisition of Loxo as of the acquisition date:</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Fair Value at February 15, 2019</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72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Acquired IPR&amp;D </w:t>
            </w:r>
            <w:r>
              <w:rPr>
                <w:rFonts w:ascii="Arial" w:cs="Arial" w:eastAsia="Arial" w:hAnsi="Arial"/>
                <w:sz w:val="23"/>
                <w:szCs w:val="23"/>
                <w:color w:val="auto"/>
                <w:vertAlign w:val="superscript"/>
              </w:rPr>
              <w:t>(1)</w:t>
            </w: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4,670.0</w:t>
            </w:r>
          </w:p>
        </w:tc>
      </w:tr>
      <w:tr>
        <w:trPr>
          <w:trHeight w:val="229"/>
        </w:trPr>
        <w:tc>
          <w:tcPr>
            <w:tcW w:w="97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Finite-lived intangibles </w:t>
            </w:r>
            <w:r>
              <w:rPr>
                <w:rFonts w:ascii="Arial" w:cs="Arial" w:eastAsia="Arial" w:hAnsi="Arial"/>
                <w:sz w:val="23"/>
                <w:szCs w:val="23"/>
                <w:color w:val="auto"/>
                <w:vertAlign w:val="superscript"/>
              </w:rPr>
              <w:t>(2)</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980.0</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(1,032.8)</w:t>
            </w:r>
          </w:p>
        </w:tc>
      </w:tr>
      <w:tr>
        <w:trPr>
          <w:trHeight w:val="230"/>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and liabilities - net</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r>
      <w:tr>
        <w:trPr>
          <w:trHeight w:val="223"/>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identifiable net assets</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4,590.8</w:t>
            </w:r>
          </w:p>
        </w:tc>
      </w:tr>
      <w:tr>
        <w:trPr>
          <w:trHeight w:val="230"/>
        </w:trPr>
        <w:tc>
          <w:tcPr>
            <w:tcW w:w="97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(3)</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2,326.9</w:t>
            </w:r>
          </w:p>
        </w:tc>
      </w:tr>
      <w:tr>
        <w:trPr>
          <w:trHeight w:val="230"/>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 transferred - net of cash acquired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6,917.7</w:t>
            </w:r>
          </w:p>
        </w:tc>
      </w:tr>
    </w:tbl>
    <w:p>
      <w:pPr>
        <w:spacing w:after="0" w:line="176" w:lineRule="exact"/>
        <w:rPr>
          <w:sz w:val="20"/>
          <w:szCs w:val="20"/>
          <w:color w:val="auto"/>
        </w:rPr>
      </w:pPr>
    </w:p>
    <w:p>
      <w:pPr>
        <w:ind w:left="160" w:hanging="152"/>
        <w:spacing w:after="0"/>
        <w:tabs>
          <w:tab w:leader="none" w:pos="160" w:val="left"/>
        </w:tabs>
        <w:numPr>
          <w:ilvl w:val="0"/>
          <w:numId w:val="9"/>
        </w:numPr>
        <w:rPr>
          <w:rFonts w:ascii="Arial" w:cs="Arial" w:eastAsia="Arial" w:hAnsi="Arial"/>
          <w:sz w:val="9"/>
          <w:szCs w:val="9"/>
          <w:color w:val="auto"/>
        </w:rPr>
      </w:pPr>
      <w:r>
        <w:rPr>
          <w:rFonts w:ascii="Arial" w:cs="Arial" w:eastAsia="Arial" w:hAnsi="Arial"/>
          <w:sz w:val="14"/>
          <w:szCs w:val="14"/>
          <w:color w:val="auto"/>
        </w:rPr>
        <w:t>$4.60 billion of the acquired IPR&amp;D relates to selpercatinib (LOXO-292).</w:t>
      </w:r>
    </w:p>
    <w:p>
      <w:pPr>
        <w:spacing w:after="0" w:line="55" w:lineRule="exact"/>
        <w:rPr>
          <w:rFonts w:ascii="Arial" w:cs="Arial" w:eastAsia="Arial" w:hAnsi="Arial"/>
          <w:sz w:val="9"/>
          <w:szCs w:val="9"/>
          <w:color w:val="auto"/>
        </w:rPr>
      </w:pPr>
    </w:p>
    <w:p>
      <w:pPr>
        <w:ind w:left="180" w:hanging="172"/>
        <w:spacing w:after="0" w:line="281" w:lineRule="auto"/>
        <w:tabs>
          <w:tab w:leader="none" w:pos="164" w:val="left"/>
        </w:tabs>
        <w:numPr>
          <w:ilvl w:val="0"/>
          <w:numId w:val="9"/>
        </w:numPr>
        <w:rPr>
          <w:rFonts w:ascii="Arial" w:cs="Arial" w:eastAsia="Arial" w:hAnsi="Arial"/>
          <w:sz w:val="9"/>
          <w:szCs w:val="9"/>
          <w:color w:val="auto"/>
        </w:rPr>
      </w:pPr>
      <w:r>
        <w:rPr>
          <w:rFonts w:ascii="Arial" w:cs="Arial" w:eastAsia="Arial" w:hAnsi="Arial"/>
          <w:sz w:val="14"/>
          <w:szCs w:val="14"/>
          <w:color w:val="auto"/>
        </w:rPr>
        <w:t>Contract-based intangibles (primarily related to Vitrakvi</w:t>
      </w:r>
      <w:r>
        <w:rPr>
          <w:rFonts w:ascii="Arial" w:cs="Arial" w:eastAsia="Arial" w:hAnsi="Arial"/>
          <w:sz w:val="9"/>
          <w:szCs w:val="9"/>
          <w:color w:val="auto"/>
        </w:rPr>
        <w:t>®</w:t>
      </w:r>
      <w:r>
        <w:rPr>
          <w:rFonts w:ascii="Arial" w:cs="Arial" w:eastAsia="Arial" w:hAnsi="Arial"/>
          <w:sz w:val="14"/>
          <w:szCs w:val="14"/>
          <w:color w:val="auto"/>
        </w:rPr>
        <w:t>) which are being amortized to cost of sales on a straight-line basis over their estimated useful lives, were expected to have a weighted average useful life of approximately 12 years from the acquisition date.</w:t>
      </w:r>
    </w:p>
    <w:p>
      <w:pPr>
        <w:spacing w:after="0" w:line="1" w:lineRule="exact"/>
        <w:rPr>
          <w:rFonts w:ascii="Arial" w:cs="Arial" w:eastAsia="Arial" w:hAnsi="Arial"/>
          <w:sz w:val="9"/>
          <w:szCs w:val="9"/>
          <w:color w:val="auto"/>
        </w:rPr>
      </w:pPr>
    </w:p>
    <w:p>
      <w:pPr>
        <w:ind w:left="180" w:right="100" w:hanging="172"/>
        <w:spacing w:after="0" w:line="291" w:lineRule="auto"/>
        <w:tabs>
          <w:tab w:leader="none" w:pos="164" w:val="left"/>
        </w:tabs>
        <w:numPr>
          <w:ilvl w:val="0"/>
          <w:numId w:val="9"/>
        </w:numPr>
        <w:rPr>
          <w:rFonts w:ascii="Arial" w:cs="Arial" w:eastAsia="Arial" w:hAnsi="Arial"/>
          <w:sz w:val="9"/>
          <w:szCs w:val="9"/>
          <w:color w:val="auto"/>
        </w:rPr>
      </w:pPr>
      <w:r>
        <w:rPr>
          <w:rFonts w:ascii="Arial" w:cs="Arial" w:eastAsia="Arial" w:hAnsi="Arial"/>
          <w:sz w:val="14"/>
          <w:szCs w:val="14"/>
          <w:color w:val="auto"/>
        </w:rPr>
        <w:t>The goodwill recognized from this acquisition is attributable primarily to future unidentified projects and products and the assembled workforce for Loxo and is not deductible for tax purposes.</w:t>
      </w:r>
    </w:p>
    <w:p>
      <w:pPr>
        <w:sectPr>
          <w:pgSz w:w="11900" w:h="16838" w:orient="portrait"/>
          <w:cols w:equalWidth="0" w:num="1">
            <w:col w:w="11200"/>
          </w:cols>
          <w:pgMar w:left="320" w:top="996" w:right="379" w:bottom="9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96" w:right="379" w:bottom="936"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Asset Acquisitions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and narrative summarize our asset acquisitions during the nine months ended September 30, 2020 and 2019:</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Phase of Development</w:t>
            </w:r>
            <w:r>
              <w:rPr>
                <w:rFonts w:ascii="Arial" w:cs="Arial" w:eastAsia="Arial" w:hAnsi="Arial"/>
                <w:sz w:val="18"/>
                <w:szCs w:val="18"/>
                <w:b w:val="1"/>
                <w:bCs w:val="1"/>
                <w:color w:val="auto"/>
                <w:w w:val="93"/>
                <w:vertAlign w:val="subscript"/>
              </w:rPr>
              <w:t>(1)</w:t>
            </w:r>
          </w:p>
        </w:tc>
        <w:tc>
          <w:tcPr>
            <w:tcW w:w="200" w:type="dxa"/>
            <w:vAlign w:val="bottom"/>
          </w:tcPr>
          <w:p>
            <w:pPr>
              <w:spacing w:after="0"/>
              <w:rPr>
                <w:sz w:val="14"/>
                <w:szCs w:val="14"/>
                <w:color w:val="auto"/>
              </w:rPr>
            </w:pPr>
          </w:p>
        </w:tc>
        <w:tc>
          <w:tcPr>
            <w:tcW w:w="1340" w:type="dxa"/>
            <w:vAlign w:val="bottom"/>
          </w:tcPr>
          <w:p>
            <w:pPr>
              <w:jc w:val="right"/>
              <w:ind w:right="93"/>
              <w:spacing w:after="0"/>
              <w:rPr>
                <w:sz w:val="20"/>
                <w:szCs w:val="20"/>
                <w:color w:val="auto"/>
              </w:rPr>
            </w:pPr>
            <w:r>
              <w:rPr>
                <w:rFonts w:ascii="Arial" w:cs="Arial" w:eastAsia="Arial" w:hAnsi="Arial"/>
                <w:sz w:val="14"/>
                <w:szCs w:val="14"/>
                <w:b w:val="1"/>
                <w:bCs w:val="1"/>
                <w:color w:val="auto"/>
              </w:rPr>
              <w:t>Acquired IPR&amp;D</w:t>
            </w:r>
          </w:p>
        </w:tc>
        <w:tc>
          <w:tcPr>
            <w:tcW w:w="0" w:type="dxa"/>
            <w:vAlign w:val="bottom"/>
          </w:tcPr>
          <w:p>
            <w:pPr>
              <w:spacing w:after="0"/>
              <w:rPr>
                <w:sz w:val="1"/>
                <w:szCs w:val="1"/>
                <w:color w:val="auto"/>
              </w:rPr>
            </w:pPr>
          </w:p>
        </w:tc>
      </w:tr>
      <w:tr>
        <w:trPr>
          <w:trHeight w:val="115"/>
        </w:trPr>
        <w:tc>
          <w:tcPr>
            <w:tcW w:w="302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Counterparty</w:t>
            </w:r>
          </w:p>
        </w:tc>
        <w:tc>
          <w:tcPr>
            <w:tcW w:w="328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Compound(s) or Therapy</w:t>
            </w: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Acquisition Month</w:t>
            </w:r>
          </w:p>
        </w:tc>
        <w:tc>
          <w:tcPr>
            <w:tcW w:w="17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60"/>
        </w:trPr>
        <w:tc>
          <w:tcPr>
            <w:tcW w:w="3020" w:type="dxa"/>
            <w:vAlign w:val="bottom"/>
            <w:tcBorders>
              <w:bottom w:val="single" w:sz="8" w:color="auto"/>
            </w:tcBorders>
            <w:vMerge w:val="continue"/>
          </w:tcPr>
          <w:p>
            <w:pPr>
              <w:spacing w:after="0"/>
              <w:rPr>
                <w:sz w:val="5"/>
                <w:szCs w:val="5"/>
                <w:color w:val="auto"/>
              </w:rPr>
            </w:pPr>
          </w:p>
        </w:tc>
        <w:tc>
          <w:tcPr>
            <w:tcW w:w="3280" w:type="dxa"/>
            <w:vAlign w:val="bottom"/>
            <w:tcBorders>
              <w:bottom w:val="single" w:sz="8" w:color="auto"/>
            </w:tcBorders>
            <w:vMerge w:val="continue"/>
          </w:tcPr>
          <w:p>
            <w:pPr>
              <w:spacing w:after="0"/>
              <w:rPr>
                <w:sz w:val="5"/>
                <w:szCs w:val="5"/>
                <w:color w:val="auto"/>
              </w:rPr>
            </w:pPr>
          </w:p>
        </w:tc>
        <w:tc>
          <w:tcPr>
            <w:tcW w:w="1660" w:type="dxa"/>
            <w:vAlign w:val="bottom"/>
            <w:tcBorders>
              <w:bottom w:val="single" w:sz="8" w:color="auto"/>
            </w:tcBorders>
            <w:vMerge w:val="continue"/>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30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Sitryx Therapeutics Limited</w:t>
            </w:r>
          </w:p>
        </w:tc>
        <w:tc>
          <w:tcPr>
            <w:tcW w:w="3280" w:type="dxa"/>
            <w:vAlign w:val="bottom"/>
            <w:shd w:val="clear" w:color="auto" w:fill="CCEEFF"/>
          </w:tcPr>
          <w:p>
            <w:pPr>
              <w:ind w:left="60"/>
              <w:spacing w:after="0" w:line="169" w:lineRule="exact"/>
              <w:rPr>
                <w:sz w:val="20"/>
                <w:szCs w:val="20"/>
                <w:color w:val="auto"/>
              </w:rPr>
            </w:pPr>
            <w:r>
              <w:rPr>
                <w:rFonts w:ascii="Arial" w:cs="Arial" w:eastAsia="Arial" w:hAnsi="Arial"/>
                <w:sz w:val="18"/>
                <w:szCs w:val="18"/>
                <w:color w:val="auto"/>
              </w:rPr>
              <w:t>Pre-clinical targets that could lead to</w:t>
            </w:r>
          </w:p>
        </w:tc>
        <w:tc>
          <w:tcPr>
            <w:tcW w:w="16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8"/>
              </w:rPr>
              <w:t>March 2020</w:t>
            </w:r>
          </w:p>
        </w:tc>
        <w:tc>
          <w:tcPr>
            <w:tcW w:w="17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Pre-clinical</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52.3</w:t>
            </w:r>
          </w:p>
        </w:tc>
        <w:tc>
          <w:tcPr>
            <w:tcW w:w="0" w:type="dxa"/>
            <w:vAlign w:val="bottom"/>
          </w:tcPr>
          <w:p>
            <w:pPr>
              <w:spacing w:after="0"/>
              <w:rPr>
                <w:sz w:val="1"/>
                <w:szCs w:val="1"/>
                <w:color w:val="auto"/>
              </w:rPr>
            </w:pPr>
          </w:p>
        </w:tc>
      </w:tr>
      <w:tr>
        <w:trPr>
          <w:trHeight w:val="175"/>
        </w:trPr>
        <w:tc>
          <w:tcPr>
            <w:tcW w:w="3020" w:type="dxa"/>
            <w:vAlign w:val="bottom"/>
            <w:vMerge w:val="continue"/>
            <w:shd w:val="clear" w:color="auto" w:fill="CCEEFF"/>
          </w:tcPr>
          <w:p>
            <w:pPr>
              <w:spacing w:after="0"/>
              <w:rPr>
                <w:sz w:val="15"/>
                <w:szCs w:val="15"/>
                <w:color w:val="auto"/>
              </w:rPr>
            </w:pPr>
          </w:p>
        </w:tc>
        <w:tc>
          <w:tcPr>
            <w:tcW w:w="328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potential new medicines for</w:t>
            </w:r>
          </w:p>
        </w:tc>
        <w:tc>
          <w:tcPr>
            <w:tcW w:w="1660" w:type="dxa"/>
            <w:vAlign w:val="bottom"/>
            <w:vMerge w:val="continue"/>
            <w:shd w:val="clear" w:color="auto" w:fill="CCEEFF"/>
          </w:tcPr>
          <w:p>
            <w:pPr>
              <w:spacing w:after="0"/>
              <w:rPr>
                <w:sz w:val="15"/>
                <w:szCs w:val="15"/>
                <w:color w:val="auto"/>
              </w:rPr>
            </w:pPr>
          </w:p>
        </w:tc>
        <w:tc>
          <w:tcPr>
            <w:tcW w:w="1740" w:type="dxa"/>
            <w:vAlign w:val="bottom"/>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13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20" w:type="dxa"/>
            <w:vAlign w:val="bottom"/>
            <w:tcBorders>
              <w:bottom w:val="single" w:sz="8" w:color="auto"/>
            </w:tcBorders>
            <w:shd w:val="clear" w:color="auto" w:fill="CCEEFF"/>
          </w:tcPr>
          <w:p>
            <w:pPr>
              <w:spacing w:after="0"/>
              <w:rPr>
                <w:sz w:val="19"/>
                <w:szCs w:val="19"/>
                <w:color w:val="auto"/>
              </w:rPr>
            </w:pPr>
          </w:p>
        </w:tc>
        <w:tc>
          <w:tcPr>
            <w:tcW w:w="32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autoimmune diseases</w:t>
            </w:r>
          </w:p>
        </w:tc>
        <w:tc>
          <w:tcPr>
            <w:tcW w:w="16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20" w:type="dxa"/>
            <w:vAlign w:val="bottom"/>
          </w:tcPr>
          <w:p>
            <w:pPr>
              <w:ind w:left="20"/>
              <w:spacing w:after="0"/>
              <w:rPr>
                <w:sz w:val="20"/>
                <w:szCs w:val="20"/>
                <w:color w:val="auto"/>
              </w:rPr>
            </w:pPr>
            <w:r>
              <w:rPr>
                <w:rFonts w:ascii="Arial" w:cs="Arial" w:eastAsia="Arial" w:hAnsi="Arial"/>
                <w:sz w:val="18"/>
                <w:szCs w:val="18"/>
                <w:color w:val="auto"/>
              </w:rPr>
              <w:t>AbCellera Biologics Inc.</w:t>
            </w:r>
            <w:r>
              <w:rPr>
                <w:rFonts w:ascii="Arial" w:cs="Arial" w:eastAsia="Arial" w:hAnsi="Arial"/>
                <w:sz w:val="9"/>
                <w:szCs w:val="9"/>
                <w:color w:val="auto"/>
              </w:rPr>
              <w:t>(2)</w:t>
            </w:r>
          </w:p>
        </w:tc>
        <w:tc>
          <w:tcPr>
            <w:tcW w:w="3280" w:type="dxa"/>
            <w:vAlign w:val="bottom"/>
          </w:tcPr>
          <w:p>
            <w:pPr>
              <w:ind w:left="60"/>
              <w:spacing w:after="0"/>
              <w:rPr>
                <w:sz w:val="20"/>
                <w:szCs w:val="20"/>
                <w:color w:val="auto"/>
              </w:rPr>
            </w:pPr>
            <w:r>
              <w:rPr>
                <w:rFonts w:ascii="Arial" w:cs="Arial" w:eastAsia="Arial" w:hAnsi="Arial"/>
                <w:sz w:val="18"/>
                <w:szCs w:val="18"/>
                <w:color w:val="auto"/>
              </w:rPr>
              <w:t>Neutralizing antibodies for the</w:t>
            </w:r>
          </w:p>
        </w:tc>
        <w:tc>
          <w:tcPr>
            <w:tcW w:w="1660" w:type="dxa"/>
            <w:vAlign w:val="bottom"/>
          </w:tcPr>
          <w:p>
            <w:pPr>
              <w:jc w:val="center"/>
              <w:spacing w:after="0"/>
              <w:rPr>
                <w:sz w:val="20"/>
                <w:szCs w:val="20"/>
                <w:color w:val="auto"/>
              </w:rPr>
            </w:pPr>
            <w:r>
              <w:rPr>
                <w:rFonts w:ascii="Arial" w:cs="Arial" w:eastAsia="Arial" w:hAnsi="Arial"/>
                <w:sz w:val="18"/>
                <w:szCs w:val="18"/>
                <w:color w:val="auto"/>
                <w:w w:val="98"/>
              </w:rPr>
              <w:t>March 2020</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Pre-clinical</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25.0</w:t>
            </w:r>
          </w:p>
        </w:tc>
        <w:tc>
          <w:tcPr>
            <w:tcW w:w="0" w:type="dxa"/>
            <w:vAlign w:val="bottom"/>
          </w:tcPr>
          <w:p>
            <w:pPr>
              <w:spacing w:after="0"/>
              <w:rPr>
                <w:sz w:val="1"/>
                <w:szCs w:val="1"/>
                <w:color w:val="auto"/>
              </w:rPr>
            </w:pPr>
          </w:p>
        </w:tc>
      </w:tr>
      <w:tr>
        <w:trPr>
          <w:trHeight w:val="148"/>
        </w:trPr>
        <w:tc>
          <w:tcPr>
            <w:tcW w:w="3020" w:type="dxa"/>
            <w:vAlign w:val="bottom"/>
            <w:tcBorders>
              <w:bottom w:val="single" w:sz="8" w:color="auto"/>
            </w:tcBorders>
          </w:tcPr>
          <w:p>
            <w:pPr>
              <w:spacing w:after="0"/>
              <w:rPr>
                <w:sz w:val="12"/>
                <w:szCs w:val="12"/>
                <w:color w:val="auto"/>
              </w:rPr>
            </w:pPr>
          </w:p>
        </w:tc>
        <w:tc>
          <w:tcPr>
            <w:tcW w:w="3280" w:type="dxa"/>
            <w:vAlign w:val="bottom"/>
            <w:tcBorders>
              <w:bottom w:val="single" w:sz="8" w:color="auto"/>
            </w:tcBorders>
          </w:tcPr>
          <w:p>
            <w:pPr>
              <w:ind w:left="60"/>
              <w:spacing w:after="0" w:line="149" w:lineRule="exact"/>
              <w:rPr>
                <w:sz w:val="20"/>
                <w:szCs w:val="20"/>
                <w:color w:val="auto"/>
              </w:rPr>
            </w:pPr>
            <w:r>
              <w:rPr>
                <w:rFonts w:ascii="Arial" w:cs="Arial" w:eastAsia="Arial" w:hAnsi="Arial"/>
                <w:sz w:val="17"/>
                <w:szCs w:val="17"/>
                <w:color w:val="auto"/>
              </w:rPr>
              <w:t>treatment and prevention of COVID-19</w:t>
            </w:r>
          </w:p>
        </w:tc>
        <w:tc>
          <w:tcPr>
            <w:tcW w:w="166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0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Junshi Biosciences Co., Ltd.</w:t>
            </w:r>
          </w:p>
        </w:tc>
        <w:tc>
          <w:tcPr>
            <w:tcW w:w="3280" w:type="dxa"/>
            <w:vAlign w:val="bottom"/>
            <w:shd w:val="clear" w:color="auto" w:fill="CCEEFF"/>
          </w:tcPr>
          <w:p>
            <w:pPr>
              <w:ind w:left="60"/>
              <w:spacing w:after="0" w:line="169" w:lineRule="exact"/>
              <w:rPr>
                <w:sz w:val="20"/>
                <w:szCs w:val="20"/>
                <w:color w:val="auto"/>
              </w:rPr>
            </w:pPr>
            <w:r>
              <w:rPr>
                <w:rFonts w:ascii="Arial" w:cs="Arial" w:eastAsia="Arial" w:hAnsi="Arial"/>
                <w:sz w:val="18"/>
                <w:szCs w:val="18"/>
                <w:color w:val="auto"/>
              </w:rPr>
              <w:t>Neutralizing antibodies for the</w:t>
            </w:r>
          </w:p>
        </w:tc>
        <w:tc>
          <w:tcPr>
            <w:tcW w:w="16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8"/>
              </w:rPr>
              <w:t>May 2020</w:t>
            </w:r>
          </w:p>
        </w:tc>
        <w:tc>
          <w:tcPr>
            <w:tcW w:w="17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Pre-clinical</w:t>
            </w:r>
          </w:p>
        </w:tc>
        <w:tc>
          <w:tcPr>
            <w:tcW w:w="2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20.0</w:t>
            </w:r>
          </w:p>
        </w:tc>
        <w:tc>
          <w:tcPr>
            <w:tcW w:w="0" w:type="dxa"/>
            <w:vAlign w:val="bottom"/>
          </w:tcPr>
          <w:p>
            <w:pPr>
              <w:spacing w:after="0"/>
              <w:rPr>
                <w:sz w:val="1"/>
                <w:szCs w:val="1"/>
                <w:color w:val="auto"/>
              </w:rPr>
            </w:pPr>
          </w:p>
        </w:tc>
      </w:tr>
      <w:tr>
        <w:trPr>
          <w:trHeight w:val="147"/>
        </w:trPr>
        <w:tc>
          <w:tcPr>
            <w:tcW w:w="3020" w:type="dxa"/>
            <w:vAlign w:val="bottom"/>
            <w:vMerge w:val="continue"/>
            <w:shd w:val="clear" w:color="auto" w:fill="CCEEFF"/>
          </w:tcPr>
          <w:p>
            <w:pPr>
              <w:spacing w:after="0"/>
              <w:rPr>
                <w:sz w:val="12"/>
                <w:szCs w:val="12"/>
                <w:color w:val="auto"/>
              </w:rPr>
            </w:pPr>
          </w:p>
        </w:tc>
        <w:tc>
          <w:tcPr>
            <w:tcW w:w="328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treatment and prevention of COVID-19</w:t>
            </w:r>
          </w:p>
        </w:tc>
        <w:tc>
          <w:tcPr>
            <w:tcW w:w="1660" w:type="dxa"/>
            <w:vAlign w:val="bottom"/>
            <w:vMerge w:val="continue"/>
            <w:shd w:val="clear" w:color="auto" w:fill="CCEEFF"/>
          </w:tcPr>
          <w:p>
            <w:pPr>
              <w:spacing w:after="0"/>
              <w:rPr>
                <w:sz w:val="12"/>
                <w:szCs w:val="12"/>
                <w:color w:val="auto"/>
              </w:rPr>
            </w:pPr>
          </w:p>
        </w:tc>
        <w:tc>
          <w:tcPr>
            <w:tcW w:w="174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3020" w:type="dxa"/>
            <w:vAlign w:val="bottom"/>
            <w:tcBorders>
              <w:bottom w:val="single" w:sz="8" w:color="auto"/>
            </w:tcBorders>
            <w:shd w:val="clear" w:color="auto" w:fill="CCEEFF"/>
          </w:tcPr>
          <w:p>
            <w:pPr>
              <w:spacing w:after="0"/>
              <w:rPr>
                <w:sz w:val="7"/>
                <w:szCs w:val="7"/>
                <w:color w:val="auto"/>
              </w:rPr>
            </w:pPr>
          </w:p>
        </w:tc>
        <w:tc>
          <w:tcPr>
            <w:tcW w:w="3280" w:type="dxa"/>
            <w:vAlign w:val="bottom"/>
            <w:tcBorders>
              <w:bottom w:val="single" w:sz="8" w:color="auto"/>
            </w:tcBorders>
            <w:vMerge w:val="continue"/>
            <w:shd w:val="clear" w:color="auto" w:fill="CCEEFF"/>
          </w:tcPr>
          <w:p>
            <w:pPr>
              <w:spacing w:after="0"/>
              <w:rPr>
                <w:sz w:val="7"/>
                <w:szCs w:val="7"/>
                <w:color w:val="auto"/>
              </w:rPr>
            </w:pPr>
          </w:p>
        </w:tc>
        <w:tc>
          <w:tcPr>
            <w:tcW w:w="1660" w:type="dxa"/>
            <w:vAlign w:val="bottom"/>
            <w:tcBorders>
              <w:bottom w:val="single" w:sz="8" w:color="auto"/>
            </w:tcBorders>
            <w:shd w:val="clear" w:color="auto" w:fill="CCEEFF"/>
          </w:tcPr>
          <w:p>
            <w:pPr>
              <w:spacing w:after="0"/>
              <w:rPr>
                <w:sz w:val="7"/>
                <w:szCs w:val="7"/>
                <w:color w:val="auto"/>
              </w:rPr>
            </w:pPr>
          </w:p>
        </w:tc>
        <w:tc>
          <w:tcPr>
            <w:tcW w:w="174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34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3020" w:type="dxa"/>
            <w:vAlign w:val="bottom"/>
            <w:vMerge w:val="restart"/>
          </w:tcPr>
          <w:p>
            <w:pPr>
              <w:ind w:left="20"/>
              <w:spacing w:after="0"/>
              <w:rPr>
                <w:sz w:val="20"/>
                <w:szCs w:val="20"/>
                <w:color w:val="auto"/>
              </w:rPr>
            </w:pPr>
            <w:r>
              <w:rPr>
                <w:rFonts w:ascii="Arial" w:cs="Arial" w:eastAsia="Arial" w:hAnsi="Arial"/>
                <w:sz w:val="18"/>
                <w:szCs w:val="18"/>
                <w:color w:val="auto"/>
              </w:rPr>
              <w:t>Undisclosed</w:t>
            </w:r>
          </w:p>
        </w:tc>
        <w:tc>
          <w:tcPr>
            <w:tcW w:w="3280" w:type="dxa"/>
            <w:vAlign w:val="bottom"/>
          </w:tcPr>
          <w:p>
            <w:pPr>
              <w:ind w:left="60"/>
              <w:spacing w:after="0" w:line="169" w:lineRule="exact"/>
              <w:rPr>
                <w:sz w:val="20"/>
                <w:szCs w:val="20"/>
                <w:color w:val="auto"/>
              </w:rPr>
            </w:pPr>
            <w:r>
              <w:rPr>
                <w:rFonts w:ascii="Arial" w:cs="Arial" w:eastAsia="Arial" w:hAnsi="Arial"/>
                <w:sz w:val="18"/>
                <w:szCs w:val="18"/>
                <w:color w:val="auto"/>
              </w:rPr>
              <w:t>Pre-clinical target that could lead to</w:t>
            </w:r>
          </w:p>
        </w:tc>
        <w:tc>
          <w:tcPr>
            <w:tcW w:w="1660" w:type="dxa"/>
            <w:vAlign w:val="bottom"/>
            <w:vMerge w:val="restart"/>
          </w:tcPr>
          <w:p>
            <w:pPr>
              <w:jc w:val="center"/>
              <w:spacing w:after="0"/>
              <w:rPr>
                <w:sz w:val="20"/>
                <w:szCs w:val="20"/>
                <w:color w:val="auto"/>
              </w:rPr>
            </w:pPr>
            <w:r>
              <w:rPr>
                <w:rFonts w:ascii="Arial" w:cs="Arial" w:eastAsia="Arial" w:hAnsi="Arial"/>
                <w:sz w:val="18"/>
                <w:szCs w:val="18"/>
                <w:color w:val="auto"/>
                <w:w w:val="98"/>
              </w:rPr>
              <w:t>May 2020</w:t>
            </w:r>
          </w:p>
        </w:tc>
        <w:tc>
          <w:tcPr>
            <w:tcW w:w="1740" w:type="dxa"/>
            <w:vAlign w:val="bottom"/>
            <w:vMerge w:val="restart"/>
          </w:tcPr>
          <w:p>
            <w:pPr>
              <w:jc w:val="center"/>
              <w:spacing w:after="0"/>
              <w:rPr>
                <w:sz w:val="20"/>
                <w:szCs w:val="20"/>
                <w:color w:val="auto"/>
              </w:rPr>
            </w:pPr>
            <w:r>
              <w:rPr>
                <w:rFonts w:ascii="Arial" w:cs="Arial" w:eastAsia="Arial" w:hAnsi="Arial"/>
                <w:sz w:val="18"/>
                <w:szCs w:val="18"/>
                <w:color w:val="auto"/>
                <w:w w:val="99"/>
              </w:rPr>
              <w:t>Pre-clinical</w:t>
            </w:r>
          </w:p>
        </w:tc>
        <w:tc>
          <w:tcPr>
            <w:tcW w:w="2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174.8</w:t>
            </w:r>
          </w:p>
        </w:tc>
        <w:tc>
          <w:tcPr>
            <w:tcW w:w="0" w:type="dxa"/>
            <w:vAlign w:val="bottom"/>
          </w:tcPr>
          <w:p>
            <w:pPr>
              <w:spacing w:after="0"/>
              <w:rPr>
                <w:sz w:val="1"/>
                <w:szCs w:val="1"/>
                <w:color w:val="auto"/>
              </w:rPr>
            </w:pPr>
          </w:p>
        </w:tc>
      </w:tr>
      <w:tr>
        <w:trPr>
          <w:trHeight w:val="147"/>
        </w:trPr>
        <w:tc>
          <w:tcPr>
            <w:tcW w:w="3020" w:type="dxa"/>
            <w:vAlign w:val="bottom"/>
            <w:vMerge w:val="continue"/>
          </w:tcPr>
          <w:p>
            <w:pPr>
              <w:spacing w:after="0"/>
              <w:rPr>
                <w:sz w:val="12"/>
                <w:szCs w:val="12"/>
                <w:color w:val="auto"/>
              </w:rPr>
            </w:pPr>
          </w:p>
        </w:tc>
        <w:tc>
          <w:tcPr>
            <w:tcW w:w="3280" w:type="dxa"/>
            <w:vAlign w:val="bottom"/>
            <w:vMerge w:val="restart"/>
          </w:tcPr>
          <w:p>
            <w:pPr>
              <w:ind w:left="60"/>
              <w:spacing w:after="0"/>
              <w:rPr>
                <w:sz w:val="20"/>
                <w:szCs w:val="20"/>
                <w:color w:val="auto"/>
              </w:rPr>
            </w:pPr>
            <w:r>
              <w:rPr>
                <w:rFonts w:ascii="Arial" w:cs="Arial" w:eastAsia="Arial" w:hAnsi="Arial"/>
                <w:sz w:val="18"/>
                <w:szCs w:val="18"/>
                <w:color w:val="auto"/>
              </w:rPr>
              <w:t>potential new medicine</w:t>
            </w:r>
          </w:p>
        </w:tc>
        <w:tc>
          <w:tcPr>
            <w:tcW w:w="1660" w:type="dxa"/>
            <w:vAlign w:val="bottom"/>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302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vMerge w:val="continue"/>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30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Evox Therapeutics Ltd.</w:t>
            </w:r>
          </w:p>
        </w:tc>
        <w:tc>
          <w:tcPr>
            <w:tcW w:w="3280" w:type="dxa"/>
            <w:vAlign w:val="bottom"/>
            <w:shd w:val="clear" w:color="auto" w:fill="CCEEFF"/>
          </w:tcPr>
          <w:p>
            <w:pPr>
              <w:ind w:left="60"/>
              <w:spacing w:after="0" w:line="169" w:lineRule="exact"/>
              <w:rPr>
                <w:sz w:val="20"/>
                <w:szCs w:val="20"/>
                <w:color w:val="auto"/>
              </w:rPr>
            </w:pPr>
            <w:r>
              <w:rPr>
                <w:rFonts w:ascii="Arial" w:cs="Arial" w:eastAsia="Arial" w:hAnsi="Arial"/>
                <w:sz w:val="18"/>
                <w:szCs w:val="18"/>
                <w:color w:val="auto"/>
              </w:rPr>
              <w:t>Pre-clinical research collaboration for</w:t>
            </w:r>
          </w:p>
        </w:tc>
        <w:tc>
          <w:tcPr>
            <w:tcW w:w="16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June 2020</w:t>
            </w:r>
          </w:p>
        </w:tc>
        <w:tc>
          <w:tcPr>
            <w:tcW w:w="17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Pre-clinical</w:t>
            </w:r>
          </w:p>
        </w:tc>
        <w:tc>
          <w:tcPr>
            <w:tcW w:w="2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22.0</w:t>
            </w:r>
          </w:p>
        </w:tc>
        <w:tc>
          <w:tcPr>
            <w:tcW w:w="0" w:type="dxa"/>
            <w:vAlign w:val="bottom"/>
          </w:tcPr>
          <w:p>
            <w:pPr>
              <w:spacing w:after="0"/>
              <w:rPr>
                <w:sz w:val="1"/>
                <w:szCs w:val="1"/>
                <w:color w:val="auto"/>
              </w:rPr>
            </w:pPr>
          </w:p>
        </w:tc>
      </w:tr>
      <w:tr>
        <w:trPr>
          <w:trHeight w:val="176"/>
        </w:trPr>
        <w:tc>
          <w:tcPr>
            <w:tcW w:w="3020" w:type="dxa"/>
            <w:vAlign w:val="bottom"/>
            <w:vMerge w:val="continue"/>
            <w:shd w:val="clear" w:color="auto" w:fill="CCEEFF"/>
          </w:tcPr>
          <w:p>
            <w:pPr>
              <w:spacing w:after="0"/>
              <w:rPr>
                <w:sz w:val="15"/>
                <w:szCs w:val="15"/>
                <w:color w:val="auto"/>
              </w:rPr>
            </w:pPr>
          </w:p>
        </w:tc>
        <w:tc>
          <w:tcPr>
            <w:tcW w:w="328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the potential treatment of neurological</w:t>
            </w:r>
          </w:p>
        </w:tc>
        <w:tc>
          <w:tcPr>
            <w:tcW w:w="1660" w:type="dxa"/>
            <w:vAlign w:val="bottom"/>
            <w:vMerge w:val="continue"/>
            <w:shd w:val="clear" w:color="auto" w:fill="CCEEFF"/>
          </w:tcPr>
          <w:p>
            <w:pPr>
              <w:spacing w:after="0"/>
              <w:rPr>
                <w:sz w:val="15"/>
                <w:szCs w:val="15"/>
                <w:color w:val="auto"/>
              </w:rPr>
            </w:pPr>
          </w:p>
        </w:tc>
        <w:tc>
          <w:tcPr>
            <w:tcW w:w="174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020" w:type="dxa"/>
            <w:vAlign w:val="bottom"/>
            <w:tcBorders>
              <w:bottom w:val="single" w:sz="8" w:color="auto"/>
            </w:tcBorders>
            <w:shd w:val="clear" w:color="auto" w:fill="CCEEFF"/>
          </w:tcPr>
          <w:p>
            <w:pPr>
              <w:spacing w:after="0"/>
              <w:rPr>
                <w:sz w:val="20"/>
                <w:szCs w:val="20"/>
                <w:color w:val="auto"/>
              </w:rPr>
            </w:pPr>
          </w:p>
        </w:tc>
        <w:tc>
          <w:tcPr>
            <w:tcW w:w="32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disorders</w:t>
            </w:r>
          </w:p>
        </w:tc>
        <w:tc>
          <w:tcPr>
            <w:tcW w:w="166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02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020" w:type="dxa"/>
            <w:vAlign w:val="bottom"/>
            <w:shd w:val="clear" w:color="auto" w:fill="CCEEFF"/>
          </w:tcPr>
          <w:p>
            <w:pPr>
              <w:spacing w:after="0"/>
              <w:rPr>
                <w:sz w:val="15"/>
                <w:szCs w:val="15"/>
                <w:color w:val="auto"/>
              </w:rPr>
            </w:pPr>
          </w:p>
        </w:tc>
        <w:tc>
          <w:tcPr>
            <w:tcW w:w="328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Tau aggregation inhibitor small</w:t>
            </w:r>
          </w:p>
        </w:tc>
        <w:tc>
          <w:tcPr>
            <w:tcW w:w="16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January 2019 &amp;</w:t>
            </w:r>
          </w:p>
        </w:tc>
        <w:tc>
          <w:tcPr>
            <w:tcW w:w="1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AC Immune SA</w:t>
            </w:r>
          </w:p>
        </w:tc>
        <w:tc>
          <w:tcPr>
            <w:tcW w:w="328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molecules for the potential treatment of</w:t>
            </w:r>
          </w:p>
        </w:tc>
        <w:tc>
          <w:tcPr>
            <w:tcW w:w="1660" w:type="dxa"/>
            <w:vAlign w:val="bottom"/>
            <w:vMerge w:val="continue"/>
            <w:shd w:val="clear" w:color="auto" w:fill="CCEEFF"/>
          </w:tcPr>
          <w:p>
            <w:pPr>
              <w:spacing w:after="0"/>
              <w:rPr>
                <w:sz w:val="15"/>
                <w:szCs w:val="15"/>
                <w:color w:val="auto"/>
              </w:rPr>
            </w:pPr>
          </w:p>
        </w:tc>
        <w:tc>
          <w:tcPr>
            <w:tcW w:w="17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Pre-clinical</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175"/>
        </w:trPr>
        <w:tc>
          <w:tcPr>
            <w:tcW w:w="3020" w:type="dxa"/>
            <w:vAlign w:val="bottom"/>
            <w:vMerge w:val="continue"/>
            <w:shd w:val="clear" w:color="auto" w:fill="CCEEFF"/>
          </w:tcPr>
          <w:p>
            <w:pPr>
              <w:spacing w:after="0"/>
              <w:rPr>
                <w:sz w:val="15"/>
                <w:szCs w:val="15"/>
                <w:color w:val="auto"/>
              </w:rPr>
            </w:pPr>
          </w:p>
        </w:tc>
        <w:tc>
          <w:tcPr>
            <w:tcW w:w="328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Alzheimer's disease and other</w:t>
            </w:r>
          </w:p>
        </w:tc>
        <w:tc>
          <w:tcPr>
            <w:tcW w:w="1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rPr>
              <w:t>September 2019</w:t>
            </w:r>
            <w:r>
              <w:rPr>
                <w:rFonts w:ascii="Arial" w:cs="Arial" w:eastAsia="Arial" w:hAnsi="Arial"/>
                <w:sz w:val="9"/>
                <w:szCs w:val="9"/>
                <w:b w:val="1"/>
                <w:bCs w:val="1"/>
                <w:color w:val="auto"/>
              </w:rPr>
              <w:t>(3)</w:t>
            </w:r>
          </w:p>
        </w:tc>
        <w:tc>
          <w:tcPr>
            <w:tcW w:w="1740" w:type="dxa"/>
            <w:vAlign w:val="bottom"/>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13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20" w:type="dxa"/>
            <w:vAlign w:val="bottom"/>
            <w:tcBorders>
              <w:bottom w:val="single" w:sz="8" w:color="auto"/>
            </w:tcBorders>
            <w:shd w:val="clear" w:color="auto" w:fill="CCEEFF"/>
          </w:tcPr>
          <w:p>
            <w:pPr>
              <w:spacing w:after="0"/>
              <w:rPr>
                <w:sz w:val="19"/>
                <w:szCs w:val="19"/>
                <w:color w:val="auto"/>
              </w:rPr>
            </w:pPr>
          </w:p>
        </w:tc>
        <w:tc>
          <w:tcPr>
            <w:tcW w:w="32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neurodegenerative diseases</w:t>
            </w:r>
          </w:p>
        </w:tc>
        <w:tc>
          <w:tcPr>
            <w:tcW w:w="16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ImmuNext, Inc.</w:t>
            </w:r>
          </w:p>
        </w:tc>
        <w:tc>
          <w:tcPr>
            <w:tcW w:w="3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Novel immunometabolism target</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March 2019</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Pre-clinical</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169"/>
        </w:trPr>
        <w:tc>
          <w:tcPr>
            <w:tcW w:w="30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Avidity Biosciences, Inc.</w:t>
            </w:r>
          </w:p>
        </w:tc>
        <w:tc>
          <w:tcPr>
            <w:tcW w:w="3280" w:type="dxa"/>
            <w:vAlign w:val="bottom"/>
            <w:shd w:val="clear" w:color="auto" w:fill="CCEEFF"/>
          </w:tcPr>
          <w:p>
            <w:pPr>
              <w:ind w:left="60"/>
              <w:spacing w:after="0" w:line="169" w:lineRule="exact"/>
              <w:rPr>
                <w:sz w:val="20"/>
                <w:szCs w:val="20"/>
                <w:color w:val="auto"/>
              </w:rPr>
            </w:pPr>
            <w:r>
              <w:rPr>
                <w:rFonts w:ascii="Arial" w:cs="Arial" w:eastAsia="Arial" w:hAnsi="Arial"/>
                <w:sz w:val="18"/>
                <w:szCs w:val="18"/>
                <w:color w:val="auto"/>
              </w:rPr>
              <w:t>Potential new medicines in immunology</w:t>
            </w:r>
          </w:p>
        </w:tc>
        <w:tc>
          <w:tcPr>
            <w:tcW w:w="16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April 2019</w:t>
            </w:r>
          </w:p>
        </w:tc>
        <w:tc>
          <w:tcPr>
            <w:tcW w:w="17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Pre-clinical</w:t>
            </w:r>
          </w:p>
        </w:tc>
        <w:tc>
          <w:tcPr>
            <w:tcW w:w="2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39"/>
        </w:trPr>
        <w:tc>
          <w:tcPr>
            <w:tcW w:w="3020" w:type="dxa"/>
            <w:vAlign w:val="bottom"/>
            <w:vMerge w:val="continue"/>
            <w:shd w:val="clear" w:color="auto" w:fill="CCEEFF"/>
          </w:tcPr>
          <w:p>
            <w:pPr>
              <w:spacing w:after="0"/>
              <w:rPr>
                <w:sz w:val="12"/>
                <w:szCs w:val="12"/>
                <w:color w:val="auto"/>
              </w:rPr>
            </w:pPr>
          </w:p>
        </w:tc>
        <w:tc>
          <w:tcPr>
            <w:tcW w:w="328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and other select indications</w:t>
            </w:r>
          </w:p>
        </w:tc>
        <w:tc>
          <w:tcPr>
            <w:tcW w:w="1660" w:type="dxa"/>
            <w:vAlign w:val="bottom"/>
            <w:vMerge w:val="continue"/>
            <w:shd w:val="clear" w:color="auto" w:fill="CCEEFF"/>
          </w:tcPr>
          <w:p>
            <w:pPr>
              <w:spacing w:after="0"/>
              <w:rPr>
                <w:sz w:val="12"/>
                <w:szCs w:val="12"/>
                <w:color w:val="auto"/>
              </w:rPr>
            </w:pPr>
          </w:p>
        </w:tc>
        <w:tc>
          <w:tcPr>
            <w:tcW w:w="174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020" w:type="dxa"/>
            <w:vAlign w:val="bottom"/>
            <w:tcBorders>
              <w:bottom w:val="single" w:sz="8" w:color="auto"/>
            </w:tcBorders>
            <w:shd w:val="clear" w:color="auto" w:fill="CCEEFF"/>
          </w:tcPr>
          <w:p>
            <w:pPr>
              <w:spacing w:after="0"/>
              <w:rPr>
                <w:sz w:val="7"/>
                <w:szCs w:val="7"/>
                <w:color w:val="auto"/>
              </w:rPr>
            </w:pPr>
          </w:p>
        </w:tc>
        <w:tc>
          <w:tcPr>
            <w:tcW w:w="3280" w:type="dxa"/>
            <w:vAlign w:val="bottom"/>
            <w:tcBorders>
              <w:bottom w:val="single" w:sz="8" w:color="auto"/>
            </w:tcBorders>
            <w:vMerge w:val="continue"/>
            <w:shd w:val="clear" w:color="auto" w:fill="CCEEFF"/>
          </w:tcPr>
          <w:p>
            <w:pPr>
              <w:spacing w:after="0"/>
              <w:rPr>
                <w:sz w:val="7"/>
                <w:szCs w:val="7"/>
                <w:color w:val="auto"/>
              </w:rPr>
            </w:pPr>
          </w:p>
        </w:tc>
        <w:tc>
          <w:tcPr>
            <w:tcW w:w="1660" w:type="dxa"/>
            <w:vAlign w:val="bottom"/>
            <w:tcBorders>
              <w:bottom w:val="single" w:sz="8" w:color="auto"/>
            </w:tcBorders>
            <w:shd w:val="clear" w:color="auto" w:fill="CCEEFF"/>
          </w:tcPr>
          <w:p>
            <w:pPr>
              <w:spacing w:after="0"/>
              <w:rPr>
                <w:sz w:val="7"/>
                <w:szCs w:val="7"/>
                <w:color w:val="auto"/>
              </w:rPr>
            </w:pPr>
          </w:p>
        </w:tc>
        <w:tc>
          <w:tcPr>
            <w:tcW w:w="174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34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3020" w:type="dxa"/>
            <w:vAlign w:val="bottom"/>
          </w:tcPr>
          <w:p>
            <w:pPr>
              <w:ind w:left="20"/>
              <w:spacing w:after="0"/>
              <w:rPr>
                <w:sz w:val="20"/>
                <w:szCs w:val="20"/>
                <w:color w:val="auto"/>
              </w:rPr>
            </w:pPr>
            <w:r>
              <w:rPr>
                <w:rFonts w:ascii="Arial" w:cs="Arial" w:eastAsia="Arial" w:hAnsi="Arial"/>
                <w:sz w:val="18"/>
                <w:szCs w:val="18"/>
                <w:color w:val="auto"/>
              </w:rPr>
              <w:t>Centrexion Therapeutics Corporation</w:t>
            </w:r>
          </w:p>
        </w:tc>
        <w:tc>
          <w:tcPr>
            <w:tcW w:w="3280" w:type="dxa"/>
            <w:vAlign w:val="bottom"/>
          </w:tcPr>
          <w:p>
            <w:pPr>
              <w:ind w:left="60"/>
              <w:spacing w:after="0"/>
              <w:rPr>
                <w:sz w:val="20"/>
                <w:szCs w:val="20"/>
                <w:color w:val="auto"/>
              </w:rPr>
            </w:pPr>
            <w:r>
              <w:rPr>
                <w:rFonts w:ascii="Arial" w:cs="Arial" w:eastAsia="Arial" w:hAnsi="Arial"/>
                <w:sz w:val="18"/>
                <w:szCs w:val="18"/>
                <w:color w:val="auto"/>
              </w:rPr>
              <w:t>CNTX-0290, a novel, small molecule</w:t>
            </w:r>
          </w:p>
        </w:tc>
        <w:tc>
          <w:tcPr>
            <w:tcW w:w="1660" w:type="dxa"/>
            <w:vAlign w:val="bottom"/>
          </w:tcPr>
          <w:p>
            <w:pPr>
              <w:jc w:val="center"/>
              <w:spacing w:after="0"/>
              <w:rPr>
                <w:sz w:val="20"/>
                <w:szCs w:val="20"/>
                <w:color w:val="auto"/>
              </w:rPr>
            </w:pPr>
            <w:r>
              <w:rPr>
                <w:rFonts w:ascii="Arial" w:cs="Arial" w:eastAsia="Arial" w:hAnsi="Arial"/>
                <w:sz w:val="18"/>
                <w:szCs w:val="18"/>
                <w:color w:val="auto"/>
              </w:rPr>
              <w:t>July 2019</w:t>
            </w:r>
          </w:p>
        </w:tc>
        <w:tc>
          <w:tcPr>
            <w:tcW w:w="1740" w:type="dxa"/>
            <w:vAlign w:val="bottom"/>
          </w:tcPr>
          <w:p>
            <w:pPr>
              <w:jc w:val="center"/>
              <w:spacing w:after="0"/>
              <w:rPr>
                <w:sz w:val="20"/>
                <w:szCs w:val="20"/>
                <w:color w:val="auto"/>
              </w:rPr>
            </w:pPr>
            <w:r>
              <w:rPr>
                <w:rFonts w:ascii="Arial" w:cs="Arial" w:eastAsia="Arial" w:hAnsi="Arial"/>
                <w:sz w:val="18"/>
                <w:szCs w:val="18"/>
                <w:color w:val="auto"/>
                <w:w w:val="98"/>
              </w:rPr>
              <w:t>Phase I</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148"/>
        </w:trPr>
        <w:tc>
          <w:tcPr>
            <w:tcW w:w="3020" w:type="dxa"/>
            <w:vAlign w:val="bottom"/>
            <w:tcBorders>
              <w:bottom w:val="single" w:sz="8" w:color="auto"/>
            </w:tcBorders>
          </w:tcPr>
          <w:p>
            <w:pPr>
              <w:spacing w:after="0"/>
              <w:rPr>
                <w:sz w:val="12"/>
                <w:szCs w:val="12"/>
                <w:color w:val="auto"/>
              </w:rPr>
            </w:pPr>
          </w:p>
        </w:tc>
        <w:tc>
          <w:tcPr>
            <w:tcW w:w="3280" w:type="dxa"/>
            <w:vAlign w:val="bottom"/>
            <w:tcBorders>
              <w:bottom w:val="single" w:sz="8" w:color="auto"/>
            </w:tcBorders>
          </w:tcPr>
          <w:p>
            <w:pPr>
              <w:ind w:left="60"/>
              <w:spacing w:after="0" w:line="149" w:lineRule="exact"/>
              <w:rPr>
                <w:sz w:val="20"/>
                <w:szCs w:val="20"/>
                <w:color w:val="auto"/>
              </w:rPr>
            </w:pPr>
            <w:r>
              <w:rPr>
                <w:rFonts w:ascii="Arial" w:cs="Arial" w:eastAsia="Arial" w:hAnsi="Arial"/>
                <w:sz w:val="17"/>
                <w:szCs w:val="17"/>
                <w:color w:val="auto"/>
              </w:rPr>
              <w:t>somatostain receptor type 4 agonist</w:t>
            </w:r>
          </w:p>
        </w:tc>
        <w:tc>
          <w:tcPr>
            <w:tcW w:w="166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 phase of development presented is as of the date of the arrangement and represents the phase of development of the most advanced asset acquired, where applicable.</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We recognized the acquired IPR&amp;D expense of $25.0 million in May 2020 upon closing of the transaction.</w:t>
      </w:r>
    </w:p>
    <w:p>
      <w:pPr>
        <w:spacing w:after="0" w:line="57" w:lineRule="exact"/>
        <w:rPr>
          <w:rFonts w:ascii="Arial" w:cs="Arial" w:eastAsia="Arial" w:hAnsi="Arial"/>
          <w:sz w:val="18"/>
          <w:szCs w:val="18"/>
          <w:color w:val="auto"/>
          <w:vertAlign w:val="superscript"/>
        </w:rPr>
      </w:pPr>
    </w:p>
    <w:p>
      <w:pPr>
        <w:ind w:left="180" w:right="100" w:hanging="172"/>
        <w:spacing w:after="0" w:line="237" w:lineRule="auto"/>
        <w:tabs>
          <w:tab w:leader="none" w:pos="164"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We recognized acquired IPR&amp;D expense of $96.9 million in January 2019 upon entering into a license agreement and $30.2 million in September 2019 upon entering into an amendment to the license agreement.</w:t>
      </w:r>
    </w:p>
    <w:p>
      <w:pPr>
        <w:spacing w:after="0" w:line="363"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In connection with these arrangements, our partners may be entitled to future royalties and/or commercial milestones based on sales should products be approved for commercialization and/or milestones based on the successful progress of compounds through the development process.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11"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In October 2020, we completed the global expansion of our strategic alliance for Tyvyt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(sintilimab injection) with Innovent Biologics, Inc. (Innovent). We and Innovent currently co-commercialize Tyvyt in China. Under the terms of the expanded license agreement, we obtained an exclusive license for Tyvyt for geographies outside of China and plan to pursue registration of Tyvyt in the U.S. and other markets. As a result of the transaction, we will record an acquired IPR&amp;D charge of $200.0 million in the fourth quarter of 2020 associated with the upfront payment due to Innovent. Innovent will be eligible to receive up to $825.0 million in success-based regulatory and sales-based milestones, as well as tiered double digit royalties on net sales for geographies outside of China. Both companies will also retain the right to study Tyvyt in combination with other medicines as part of their own clinical programs.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bookmarkStart w:id="16" w:name="page17"/>
    <w:bookmarkEnd w:id="16"/>
    <w:p>
      <w:pPr>
        <w:ind w:right="40"/>
        <w:spacing w:after="0" w:line="245" w:lineRule="auto"/>
        <w:rPr>
          <w:sz w:val="20"/>
          <w:szCs w:val="20"/>
          <w:color w:val="auto"/>
        </w:rPr>
      </w:pPr>
      <w:r>
        <w:rPr>
          <w:rFonts w:ascii="Arial" w:cs="Arial" w:eastAsia="Arial" w:hAnsi="Arial"/>
          <w:sz w:val="18"/>
          <w:szCs w:val="18"/>
          <w:color w:val="auto"/>
        </w:rPr>
        <w:t>In October 2020, we acquired Disarm Therapeutics, Inc. (Disarm), a privately-held biotechnology company creating a new class of disease-modifying therapeutics for patients with axonal degeneration. Under the terms of the agreement, we acquired Disarm for an upfront payment of $135.0 million and up to $1.23 billion in additional future payments for potential development, success-based regulatory and sales-based milestones. The accounting impact of this acquisition and the results of the operations of Disarm will be included in our consolidated financial statements beginning in the fourth quarter of 2020.</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Collaborations and Other Arrangements</w:t>
      </w:r>
    </w:p>
    <w:p>
      <w:pPr>
        <w:spacing w:after="0" w:line="173"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We often enter into collaborative and other similar arrangements to develop and commercialize drug candidates. Collaborative activities may include research and development, marketing and selling (including promotional activities and physician detailing), manufacturing, and distribution. These arrangements often require milestone and royalty or profit-share payments, contingent upon the occurrence of certain future events linked to the success of the asset in development, as well as expense reimbursements from or payments to the collaboration partner. See Note 2 for amounts of collaboration and other revenue recognized from these types of arrangements.</w:t>
      </w:r>
    </w:p>
    <w:p>
      <w:pPr>
        <w:spacing w:after="0" w:line="67"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collaboration is unique in nature, and our more significant arrangements are discussed below.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Boehringer Ingelheim Diabetes Collaboration</w:t>
      </w:r>
    </w:p>
    <w:p>
      <w:pPr>
        <w:spacing w:after="0" w:line="1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diabetes compounds. Currently included in the collaboration are Boehringer Ingelheim’s oral diabetes products: Trajenta, Jentadueto, Jardiance, Glyxambi, Synjardy, and Trijardy XR as well as our basal insulin, Basaglar. Jentadueto is included in the Trajenta product family. Glyxambi, Synjardy, and Trijardy XR are included in the Jardiance product family.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significant milestones (deferred) capitalized for the compounds included in this collaboration:</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vMerge w:val="restart"/>
          </w:tcPr>
          <w:p>
            <w:pPr>
              <w:ind w:left="2060"/>
              <w:spacing w:after="0"/>
              <w:rPr>
                <w:sz w:val="20"/>
                <w:szCs w:val="20"/>
                <w:color w:val="auto"/>
              </w:rPr>
            </w:pPr>
            <w:r>
              <w:rPr>
                <w:rFonts w:ascii="Arial" w:cs="Arial" w:eastAsia="Arial" w:hAnsi="Arial"/>
                <w:sz w:val="14"/>
                <w:szCs w:val="14"/>
                <w:b w:val="1"/>
                <w:bCs w:val="1"/>
                <w:color w:val="auto"/>
              </w:rPr>
              <w:t>Product Family</w:t>
            </w:r>
          </w:p>
        </w:tc>
        <w:tc>
          <w:tcPr>
            <w:tcW w:w="3080" w:type="dxa"/>
            <w:vAlign w:val="bottom"/>
          </w:tcPr>
          <w:p>
            <w:pPr>
              <w:spacing w:after="0"/>
              <w:rPr>
                <w:sz w:val="14"/>
                <w:szCs w:val="14"/>
                <w:color w:val="auto"/>
              </w:rPr>
            </w:pPr>
          </w:p>
        </w:tc>
        <w:tc>
          <w:tcPr>
            <w:tcW w:w="2160" w:type="dxa"/>
            <w:vAlign w:val="bottom"/>
          </w:tcPr>
          <w:p>
            <w:pPr>
              <w:jc w:val="center"/>
              <w:ind w:right="177"/>
              <w:spacing w:after="0"/>
              <w:rPr>
                <w:sz w:val="20"/>
                <w:szCs w:val="20"/>
                <w:color w:val="auto"/>
              </w:rPr>
            </w:pPr>
            <w:r>
              <w:rPr>
                <w:rFonts w:ascii="Arial" w:cs="Arial" w:eastAsia="Arial" w:hAnsi="Arial"/>
                <w:sz w:val="14"/>
                <w:szCs w:val="14"/>
                <w:b w:val="1"/>
                <w:bCs w:val="1"/>
                <w:color w:val="auto"/>
              </w:rPr>
              <w:t>Milestones</w:t>
            </w:r>
          </w:p>
        </w:tc>
        <w:tc>
          <w:tcPr>
            <w:tcW w:w="0" w:type="dxa"/>
            <w:vAlign w:val="bottom"/>
          </w:tcPr>
          <w:p>
            <w:pPr>
              <w:spacing w:after="0"/>
              <w:rPr>
                <w:sz w:val="1"/>
                <w:szCs w:val="1"/>
                <w:color w:val="auto"/>
              </w:rPr>
            </w:pPr>
          </w:p>
        </w:tc>
      </w:tr>
      <w:tr>
        <w:trPr>
          <w:trHeight w:val="175"/>
        </w:trPr>
        <w:tc>
          <w:tcPr>
            <w:tcW w:w="5960" w:type="dxa"/>
            <w:vAlign w:val="bottom"/>
            <w:tcBorders>
              <w:bottom w:val="single" w:sz="8" w:color="auto"/>
            </w:tcBorders>
            <w:vMerge w:val="continue"/>
          </w:tcPr>
          <w:p>
            <w:pPr>
              <w:spacing w:after="0"/>
              <w:rPr>
                <w:sz w:val="15"/>
                <w:szCs w:val="15"/>
                <w:color w:val="auto"/>
              </w:rPr>
            </w:pPr>
          </w:p>
        </w:tc>
        <w:tc>
          <w:tcPr>
            <w:tcW w:w="30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center"/>
              <w:ind w:right="157"/>
              <w:spacing w:after="0" w:line="176" w:lineRule="exact"/>
              <w:rPr>
                <w:sz w:val="20"/>
                <w:szCs w:val="20"/>
                <w:color w:val="auto"/>
              </w:rPr>
            </w:pPr>
            <w:r>
              <w:rPr>
                <w:rFonts w:ascii="Arial" w:cs="Arial" w:eastAsia="Arial" w:hAnsi="Arial"/>
                <w:sz w:val="14"/>
                <w:szCs w:val="14"/>
                <w:b w:val="1"/>
                <w:bCs w:val="1"/>
                <w:color w:val="auto"/>
              </w:rPr>
              <w:t xml:space="preserve">(Deferred) Capitalized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Trajenta </w:t>
            </w:r>
            <w:r>
              <w:rPr>
                <w:rFonts w:ascii="Arial" w:cs="Arial" w:eastAsia="Arial" w:hAnsi="Arial"/>
                <w:sz w:val="23"/>
                <w:szCs w:val="23"/>
                <w:color w:val="auto"/>
                <w:vertAlign w:val="superscript"/>
              </w:rPr>
              <w:t>(2)</w:t>
            </w:r>
          </w:p>
        </w:tc>
        <w:tc>
          <w:tcPr>
            <w:tcW w:w="3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center"/>
              <w:ind w:left="1477"/>
              <w:spacing w:after="0"/>
              <w:rPr>
                <w:sz w:val="20"/>
                <w:szCs w:val="20"/>
                <w:color w:val="auto"/>
              </w:rPr>
            </w:pPr>
            <w:r>
              <w:rPr>
                <w:rFonts w:ascii="Arial" w:cs="Arial" w:eastAsia="Arial" w:hAnsi="Arial"/>
                <w:sz w:val="18"/>
                <w:szCs w:val="18"/>
                <w:color w:val="auto"/>
                <w:w w:val="97"/>
              </w:rPr>
              <w:t>446.4</w:t>
            </w: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Jardiance </w:t>
            </w:r>
            <w:r>
              <w:rPr>
                <w:rFonts w:ascii="Arial" w:cs="Arial" w:eastAsia="Arial" w:hAnsi="Arial"/>
                <w:sz w:val="23"/>
                <w:szCs w:val="23"/>
                <w:color w:val="auto"/>
                <w:vertAlign w:val="superscript"/>
              </w:rPr>
              <w:t>(3)</w:t>
            </w:r>
          </w:p>
        </w:tc>
        <w:tc>
          <w:tcPr>
            <w:tcW w:w="3080" w:type="dxa"/>
            <w:vAlign w:val="bottom"/>
          </w:tcPr>
          <w:p>
            <w:pPr>
              <w:spacing w:after="0"/>
              <w:rPr>
                <w:sz w:val="19"/>
                <w:szCs w:val="19"/>
                <w:color w:val="auto"/>
              </w:rPr>
            </w:pPr>
          </w:p>
        </w:tc>
        <w:tc>
          <w:tcPr>
            <w:tcW w:w="2160" w:type="dxa"/>
            <w:vAlign w:val="bottom"/>
          </w:tcPr>
          <w:p>
            <w:pPr>
              <w:jc w:val="center"/>
              <w:ind w:left="1477"/>
              <w:spacing w:after="0"/>
              <w:rPr>
                <w:sz w:val="20"/>
                <w:szCs w:val="20"/>
                <w:color w:val="auto"/>
              </w:rPr>
            </w:pPr>
            <w:r>
              <w:rPr>
                <w:rFonts w:ascii="Arial" w:cs="Arial" w:eastAsia="Arial" w:hAnsi="Arial"/>
                <w:sz w:val="18"/>
                <w:szCs w:val="18"/>
                <w:color w:val="auto"/>
                <w:w w:val="97"/>
              </w:rPr>
              <w:t>289.0</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Basaglar</w:t>
            </w:r>
          </w:p>
        </w:tc>
        <w:tc>
          <w:tcPr>
            <w:tcW w:w="3080" w:type="dxa"/>
            <w:vAlign w:val="bottom"/>
            <w:shd w:val="clear" w:color="auto" w:fill="CCEEFF"/>
          </w:tcPr>
          <w:p>
            <w:pPr>
              <w:spacing w:after="0"/>
              <w:rPr>
                <w:sz w:val="19"/>
                <w:szCs w:val="19"/>
                <w:color w:val="auto"/>
              </w:rPr>
            </w:pPr>
          </w:p>
        </w:tc>
        <w:tc>
          <w:tcPr>
            <w:tcW w:w="2160" w:type="dxa"/>
            <w:vAlign w:val="bottom"/>
            <w:shd w:val="clear" w:color="auto" w:fill="CCEEFF"/>
          </w:tcPr>
          <w:p>
            <w:pPr>
              <w:jc w:val="center"/>
              <w:ind w:left="1457"/>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80" w:right="80" w:hanging="172"/>
        <w:spacing w:after="0" w:line="236" w:lineRule="auto"/>
        <w:tabs>
          <w:tab w:leader="none" w:pos="158"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In connection with the regulatory approvals of Basaglar in the U.S., Europe, and Japan, milestone payments received were recorded as contract liabilities and are being amortized through the term of the collaboration (2029) to collaboration and other revenue. In connection with the regulatory approvals of Trajenta and Jardiance, milestone payments made were capitalized as intangible assets and are being amortized to cost of sales through the term of the collaboration. This represents the cumulative amounts that have been (deferred) or capitalized from the start of this collaboration through the end of the reporting period.</w:t>
      </w:r>
    </w:p>
    <w:p>
      <w:pPr>
        <w:spacing w:after="0" w:line="23" w:lineRule="exact"/>
        <w:rPr>
          <w:rFonts w:ascii="Arial" w:cs="Arial" w:eastAsia="Arial" w:hAnsi="Arial"/>
          <w:sz w:val="18"/>
          <w:szCs w:val="18"/>
          <w:color w:val="auto"/>
          <w:vertAlign w:val="superscript"/>
        </w:rPr>
      </w:pPr>
    </w:p>
    <w:p>
      <w:pPr>
        <w:ind w:left="180" w:hanging="172"/>
        <w:spacing w:after="0" w:line="232" w:lineRule="auto"/>
        <w:tabs>
          <w:tab w:leader="none" w:pos="158"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The collaboration agreement with Boehringer Ingelheim for Trajenta ends upon expiration of the compound patent and any supplementary protection certificates or extensions thereto.</w:t>
      </w:r>
    </w:p>
    <w:p>
      <w:pPr>
        <w:spacing w:after="0" w:line="22" w:lineRule="exact"/>
        <w:rPr>
          <w:rFonts w:ascii="Arial" w:cs="Arial" w:eastAsia="Arial" w:hAnsi="Arial"/>
          <w:sz w:val="18"/>
          <w:szCs w:val="18"/>
          <w:color w:val="auto"/>
          <w:vertAlign w:val="superscript"/>
        </w:rPr>
      </w:pPr>
    </w:p>
    <w:p>
      <w:pPr>
        <w:ind w:left="180" w:right="640" w:hanging="172"/>
        <w:spacing w:after="0" w:line="232" w:lineRule="auto"/>
        <w:tabs>
          <w:tab w:leader="none" w:pos="158"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The collaboration agreement with Boehringer Ingelheim for Jardiance ends upon expiration of the compound patent and any supplementary protection certificates or extensions thereto.</w:t>
      </w:r>
    </w:p>
    <w:p>
      <w:pPr>
        <w:spacing w:after="0" w:line="6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Through December 31, 2019, in the most significant markets, we and Boehringer Ingelheim shared equally the ongoing development costs, commercialization costs, and agreed upon gross margin for any product resulting from the collaboration. We recorded our portion of the gross margin associated with Boehringer Ingelheim's products as collaboration and other revenue. We recorded our sales of Basaglar to third parties as net product revenue with the payments made to Boehringer Ingelheim for their portion of the gross margin recorded as cost of sales. For all compounds under this collaboration, we recorded our portion of the development and commercialization costs as research and development expense and marketing, selling, and administrative expense, respectively. Each company was entitled to potential performance payments depending on the sales of the molecules it contributes to the collaboration. These performance payments may have resulted in the owner of the molecule retaining a greater share of the agreed upon gross margin of that product. Subject to achieving these thresholds, in a given period, our reported revenue for Trajenta and Jardiance may have been reduced by any performance payments we made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9" w:right="359" w:bottom="1440" w:gutter="0" w:footer="0" w:header="0"/>
        </w:sectPr>
      </w:pPr>
    </w:p>
    <w:bookmarkStart w:id="17" w:name="page18"/>
    <w:bookmarkEnd w:id="17"/>
    <w:p>
      <w:pPr>
        <w:ind w:right="660"/>
        <w:spacing w:after="0" w:line="292" w:lineRule="auto"/>
        <w:rPr>
          <w:sz w:val="20"/>
          <w:szCs w:val="20"/>
          <w:color w:val="auto"/>
        </w:rPr>
      </w:pPr>
      <w:r>
        <w:rPr>
          <w:rFonts w:ascii="Arial" w:cs="Arial" w:eastAsia="Arial" w:hAnsi="Arial"/>
          <w:sz w:val="18"/>
          <w:szCs w:val="18"/>
          <w:color w:val="auto"/>
        </w:rPr>
        <w:t>related to these products. Similarly, performance payments we may have received related to Basaglar effectively reduced Boehringer Ingelheim's share of the gross margin, which reduced our cost of sales.</w:t>
      </w:r>
    </w:p>
    <w:p>
      <w:pPr>
        <w:spacing w:after="0" w:line="3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Effective January 1, 2020, we and Boehringer Ingelheim modernized the alliance. In the most significant markets, we and Boehringer Ingelheim share equally the ongoing development costs and commercialization costs for the Jardiance product family. We receive a royalty on net sales of Boehringer Ingelheim's products in the most significant markets and recognize the royalty as collaboration and other revenue. We pay to Boehringer Ingelheim a royalty on net sales for Basaglar in the U.S. We record our sales of Basaglar to third parties as net product revenue with the royalty payments made to Boehringer Ingelheim recorded as cost of sales. For the Jardiance product family, we record our portion of the development and commercialization costs as research and development expense and marketing, selling, and administrative expense, respectively. Boehringer Ingelheim is entitled to potential performance payments depending on the net sales of the Jardiance product family; therefore, our reported revenue for Jardiance may be reduced by any potential performance payments we make related to this product. Beginning January 1, 2021, the royalty received by us related to the Jardiance product family may also be increased or decreased depending on whether net sales for this product family exceed or fall below certain thresholds.</w:t>
      </w:r>
    </w:p>
    <w:p>
      <w:pPr>
        <w:spacing w:after="0" w:line="69" w:lineRule="exact"/>
        <w:rPr>
          <w:sz w:val="20"/>
          <w:szCs w:val="20"/>
          <w:color w:val="auto"/>
        </w:rPr>
      </w:pPr>
    </w:p>
    <w:p>
      <w:pPr>
        <w:ind w:right="920"/>
        <w:spacing w:after="0" w:line="292" w:lineRule="auto"/>
        <w:rPr>
          <w:sz w:val="20"/>
          <w:szCs w:val="20"/>
          <w:color w:val="auto"/>
        </w:rPr>
      </w:pPr>
      <w:r>
        <w:rPr>
          <w:rFonts w:ascii="Arial" w:cs="Arial" w:eastAsia="Arial" w:hAnsi="Arial"/>
          <w:sz w:val="18"/>
          <w:szCs w:val="18"/>
          <w:color w:val="auto"/>
        </w:rPr>
        <w:t>The following table summarizes our net product revenue recognized with respect to Basaglar and collaboration and other revenue recognized with respect to the Jardiance and Trajenta families of products: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72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5"/>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Basaglar</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248.2</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263.2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842.3</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805.4</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Jardiance</w:t>
            </w:r>
          </w:p>
        </w:tc>
        <w:tc>
          <w:tcPr>
            <w:tcW w:w="30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b w:val="1"/>
                <w:bCs w:val="1"/>
                <w:color w:val="auto"/>
              </w:rPr>
              <w:t>310.8</w:t>
            </w:r>
          </w:p>
        </w:tc>
        <w:tc>
          <w:tcPr>
            <w:tcW w:w="38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240.7</w:t>
            </w:r>
          </w:p>
        </w:tc>
        <w:tc>
          <w:tcPr>
            <w:tcW w:w="200" w:type="dxa"/>
            <w:vAlign w:val="bottom"/>
          </w:tcPr>
          <w:p>
            <w:pPr>
              <w:spacing w:after="0"/>
              <w:rPr>
                <w:sz w:val="19"/>
                <w:szCs w:val="19"/>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b w:val="1"/>
                <w:bCs w:val="1"/>
                <w:color w:val="auto"/>
              </w:rPr>
              <w:t>840.3</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676.2</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Trajenta</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91.7</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155.5</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261.7</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w:t>
            </w: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Olumiant</w:t>
      </w:r>
    </w:p>
    <w:p>
      <w:pPr>
        <w:spacing w:after="0" w:line="119"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We have a worldwide license and collaboration agreement with Incyte Corporation (Incyte), which provides us the development and commercialization rights to its Janus tyrosine kinase (JAK) inhibitor compound, now known as Olumiant, and certain follow-on compounds, for the treatment of inflammatory and autoimmune diseases. In the first half of 2020, the agreement was amended to include the potential treatment of COVID-19. Incyte has the right to receive tiered, double digit royalty payments on future global sales with rates ranging up to 20 percent. The agreement calls for payments by us to Incyte associated with certain development, success-based regulatory, and sales-based milestones.</w:t>
      </w:r>
    </w:p>
    <w:p>
      <w:pPr>
        <w:spacing w:after="0" w:line="6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connection with the regulatory approvals of Olumiant in the U.S., Europe, and Japan, milestone payments of $180.0 million were capitalized as intangible assets and are being amortized to cost of sales through the term of the collaboration. This represents the cumulative amounts that have been capitalized from the start of this collaboration through the end of the reporting period.</w:t>
      </w:r>
    </w:p>
    <w:p>
      <w:pPr>
        <w:spacing w:after="0" w:line="55"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auto"/>
        </w:rPr>
        <w:t>As of September 30, 2020, Incyte is eligible to receive up to $130.0 million of additional payments from us contingent upon certain development and success-based regulatory milestones. Incyte is also eligible to receive up to $150.0 million of potential sales-based milestones.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We record our sales of Olumiant to third parties as net product revenue with the royalty payments made to Incyte recorded as cost of sales.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net product revenue recognized with respect to Olumiant:</w:t>
      </w:r>
    </w:p>
    <w:p>
      <w:pPr>
        <w:spacing w:after="0" w:line="224" w:lineRule="exact"/>
        <w:rPr>
          <w:sz w:val="20"/>
          <w:szCs w:val="20"/>
          <w:color w:val="auto"/>
        </w:rPr>
      </w:pPr>
    </w:p>
    <w:tbl>
      <w:tblPr>
        <w:tblLayout w:type="fixed"/>
        <w:tblInd w:w="80" w:type="dxa"/>
        <w:tblCellMar>
          <w:top w:w="0" w:type="dxa"/>
          <w:left w:w="0" w:type="dxa"/>
          <w:bottom w:w="0" w:type="dxa"/>
          <w:right w:w="0" w:type="dxa"/>
        </w:tblCellMar>
      </w:tblPr>
      <w:tr>
        <w:trPr>
          <w:trHeight w:val="191"/>
        </w:trPr>
        <w:tc>
          <w:tcPr>
            <w:tcW w:w="570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7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Olumiant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162.0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114.6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446.7</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Tanezumab</w:t>
      </w:r>
    </w:p>
    <w:p>
      <w:pPr>
        <w:spacing w:after="0" w:line="173"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We have a collaboration agreement with Pfizer Inc. (Pfizer) to jointly develop and globally commercialize tanezumab for the treatment of osteoarthritis pain and cancer pain. The companies equally share the ongoing development costs and, if successful, in the U.S. will co-commercialize and equally share in gross margin and certain commercialization expenses. As a result of an amendment to the agreement in the third quarter of 2020, Pfizer will be responsible for commercialization activities and costs outside the U.S., and Lilly has the right to receive tiered royalties in percentages from the high teens to mid-twenties for net sales in Japan as well as low double digit</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8" w:name="page19"/>
    <w:bookmarkEnd w:id="18"/>
    <w:p>
      <w:pPr>
        <w:ind w:right="80"/>
        <w:spacing w:after="0" w:line="271" w:lineRule="auto"/>
        <w:rPr>
          <w:sz w:val="20"/>
          <w:szCs w:val="20"/>
          <w:color w:val="auto"/>
        </w:rPr>
      </w:pPr>
      <w:r>
        <w:rPr>
          <w:rFonts w:ascii="Arial" w:cs="Arial" w:eastAsia="Arial" w:hAnsi="Arial"/>
          <w:sz w:val="18"/>
          <w:szCs w:val="18"/>
          <w:color w:val="auto"/>
        </w:rPr>
        <w:t>royalties on annual net sales greater than $150.0 million in all other territories outside of the U.S. and Japan. As of September 30, 2020, Pfizer is eligible to receive up to $147.5 million in success-based regulatory milestones based on current development plans and up to $1.23 billion in a series of sales-based milestones, contingent upon the commercial success of tanezumab.</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Lebrikizumab</w:t>
      </w:r>
    </w:p>
    <w:p>
      <w:pPr>
        <w:spacing w:after="0" w:line="119"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As a result of our acquisition of Dermira, we have a worldwide licensing agreement with F. Hoffmann-La Roche Ltd and Genentech, Inc. (collectively Roche), which provides us the global development and commercialization rights to lebrikizumab. Roche has the right to receive tiered royalty payments on future global net sales ranging in percentages from high single digits to high teens if the product is successfully commercialized. As of September 30, 2020, Roche is eligible to receive up to $180.0 million of payments from us contingent upon the achievement of success-based regulatory milestones, and up to $1.03 billion in a series of sales-based milestones, contingent upon the commercial success of lebrikizumab.</w:t>
      </w:r>
    </w:p>
    <w:p>
      <w:pPr>
        <w:spacing w:after="0" w:line="6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As a result of our acquisition of Dermira, we have a license agreement with Almirall, S.A. (Almirall), under which Almirall licensed the rights to develop and commercialize lebrikizumab for the treatment or prevention of dermatology indications, including, but not limited to, atopic dermatitis in Europe. We have the right to receive tiered royalty payments on future net sales in Europe ranging in percentages from low double digits to low twenties if the product is successfully commercialized. As of September 30, 2020, we are eligible to receive additional payments of $85.0 million from Almirall contingent upon the achievement of success-based regulatory milestones and up to $1.25 billion in a series of sales-based milestones, contingent upon the commercial success of lebrikizumab.</w:t>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September 30, 2020, $36.2 million was recorded as a contract liability on the consolidated condensed balance sheet and is expected to be recognized as collaboration and other revenue over the remaining Phase III development period. During the three and nine months ended September 30, 2020, milestones received and collaboration and other revenue recognized were not material.</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Discontinued Operations</w:t>
      </w:r>
    </w:p>
    <w:p>
      <w:pPr>
        <w:spacing w:after="0" w:line="17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On March 11, 2019, we completed the disposition of our remaining 80.2 percent ownership of Elanco Animal Health (Elanco) common stock through a tax-free exchange offer. As a result, we have presented Elanco as discontinued operations in our consolidated condensed financial statements for all periods presented.</w:t>
      </w:r>
    </w:p>
    <w:p>
      <w:pPr>
        <w:spacing w:after="0" w:line="5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Revenue and net income from discontinued operations for the nine months ended September 30, 2019 were $580.0 million and $3.68 billion, respectively. Net income from discontinued operations for the nine months ended September 30, 2019 included an approximate $3.7 billion gain related to the disposition of Elanco.</w:t>
      </w:r>
    </w:p>
    <w:p>
      <w:pPr>
        <w:spacing w:after="0" w:line="55" w:lineRule="exact"/>
        <w:rPr>
          <w:sz w:val="20"/>
          <w:szCs w:val="20"/>
          <w:color w:val="auto"/>
        </w:rPr>
      </w:pPr>
    </w:p>
    <w:p>
      <w:pPr>
        <w:jc w:val="both"/>
        <w:ind w:right="120"/>
        <w:spacing w:after="0" w:line="271" w:lineRule="auto"/>
        <w:rPr>
          <w:sz w:val="20"/>
          <w:szCs w:val="20"/>
          <w:color w:val="auto"/>
        </w:rPr>
      </w:pPr>
      <w:r>
        <w:rPr>
          <w:rFonts w:ascii="Arial" w:cs="Arial" w:eastAsia="Arial" w:hAnsi="Arial"/>
          <w:sz w:val="18"/>
          <w:szCs w:val="18"/>
          <w:color w:val="auto"/>
        </w:rPr>
        <w:t>The gain related to the disposition of Elanco in the consolidated condensed statement of cash flows included the operating results of Elanco through the disposition date, which were not material. Net cash flows of our discontinued operations for operating and investing activities for the nine months ended September 30, 2019 were not material.</w:t>
      </w:r>
    </w:p>
    <w:p>
      <w:pPr>
        <w:spacing w:after="0" w:line="5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entered into a transitional services agreement (TSA) with Elanco in order to facilitate the orderly transfer of various services to Elanco. The TSA relates primarily to administrative services, which are generally to be provided over 24 months from March 11, 2019, the disposition date. This agreement is not material and does not confer upon us the ability to influence the operating and/or financial policies of Elanco subsequent to the disposition date.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6: Asset Impairment, Restructuring, and Other Special Charges</w:t>
      </w:r>
    </w:p>
    <w:p>
      <w:pPr>
        <w:spacing w:after="0" w:line="173" w:lineRule="exact"/>
        <w:rPr>
          <w:sz w:val="20"/>
          <w:szCs w:val="20"/>
          <w:color w:val="auto"/>
        </w:rPr>
      </w:pPr>
    </w:p>
    <w:p>
      <w:pPr>
        <w:ind w:right="620"/>
        <w:spacing w:after="0" w:line="292" w:lineRule="auto"/>
        <w:rPr>
          <w:sz w:val="20"/>
          <w:szCs w:val="20"/>
          <w:color w:val="auto"/>
        </w:rPr>
      </w:pPr>
      <w:r>
        <w:rPr>
          <w:rFonts w:ascii="Arial" w:cs="Arial" w:eastAsia="Arial" w:hAnsi="Arial"/>
          <w:sz w:val="18"/>
          <w:szCs w:val="18"/>
          <w:color w:val="auto"/>
        </w:rPr>
        <w:t>The components of the charges included in asset impairment, restructuring, and other special charges in our consolidated condensed statements of operations are described below.</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3"/>
          </w:tcPr>
          <w:p>
            <w:pPr>
              <w:jc w:val="right"/>
              <w:ind w:right="295"/>
              <w:spacing w:after="0"/>
              <w:rPr>
                <w:sz w:val="20"/>
                <w:szCs w:val="20"/>
                <w:color w:val="auto"/>
              </w:rPr>
            </w:pPr>
            <w:r>
              <w:rPr>
                <w:rFonts w:ascii="Arial" w:cs="Arial" w:eastAsia="Arial" w:hAnsi="Arial"/>
                <w:sz w:val="14"/>
                <w:szCs w:val="14"/>
                <w:b w:val="1"/>
                <w:bCs w:val="1"/>
                <w:color w:val="auto"/>
              </w:rPr>
              <w:t>Nine Months Ended</w:t>
            </w:r>
          </w:p>
        </w:tc>
      </w:tr>
      <w:tr>
        <w:trPr>
          <w:trHeight w:val="176"/>
        </w:trPr>
        <w:tc>
          <w:tcPr>
            <w:tcW w:w="69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ind w:right="176"/>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69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r>
      <w:tr>
        <w:trPr>
          <w:trHeight w:val="223"/>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144.4</w:t>
            </w:r>
          </w:p>
        </w:tc>
        <w:tc>
          <w:tcPr>
            <w:tcW w:w="76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154.2</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 impairment (recovery) and other special charges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(43.0)</w:t>
            </w:r>
          </w:p>
        </w:tc>
        <w:tc>
          <w:tcPr>
            <w:tcW w:w="7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7.1</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427.5</w:t>
            </w:r>
          </w:p>
        </w:tc>
      </w:tr>
      <w:tr>
        <w:trPr>
          <w:trHeight w:val="23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 impairment, restructuring, and other special charges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101.4</w:t>
            </w:r>
          </w:p>
        </w:tc>
        <w:tc>
          <w:tcPr>
            <w:tcW w:w="76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161.3</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w:t>
            </w:r>
          </w:p>
        </w:tc>
      </w:tr>
    </w:tbl>
    <w:p>
      <w:pPr>
        <w:spacing w:after="0" w:line="200" w:lineRule="exact"/>
        <w:rPr>
          <w:sz w:val="20"/>
          <w:szCs w:val="20"/>
          <w:color w:val="auto"/>
        </w:rPr>
      </w:pPr>
    </w:p>
    <w:p>
      <w:pPr>
        <w:spacing w:after="0" w:line="236"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Severance costs recognized during the three and nine months ended September 30, 2020 were incurred as a result of actions taken worldwide to reduce our cost structure. Substantially all of the severance costs incurred during the three months ended September 30, 2020 are expected to be paid in the next 12 months.</w:t>
      </w:r>
    </w:p>
    <w:p>
      <w:pPr>
        <w:spacing w:after="0" w:line="55" w:lineRule="exact"/>
        <w:rPr>
          <w:sz w:val="20"/>
          <w:szCs w:val="20"/>
          <w:color w:val="auto"/>
        </w:rPr>
      </w:pPr>
    </w:p>
    <w:p>
      <w:pPr>
        <w:ind w:right="380"/>
        <w:spacing w:after="0" w:line="292" w:lineRule="auto"/>
        <w:rPr>
          <w:sz w:val="20"/>
          <w:szCs w:val="20"/>
          <w:color w:val="auto"/>
        </w:rPr>
      </w:pPr>
      <w:r>
        <w:rPr>
          <w:rFonts w:ascii="Arial" w:cs="Arial" w:eastAsia="Arial" w:hAnsi="Arial"/>
          <w:sz w:val="18"/>
          <w:szCs w:val="18"/>
          <w:color w:val="auto"/>
        </w:rPr>
        <w:t>Asset impairment and other special charges recognized during the nine months ended September 30, 2019 consisted of $400.7 million related to the acquisition of Loxo, substantially all of which was associated with the accelerated vesting of Loxo employee equity awards.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Financial Instruments</w:t>
      </w:r>
    </w:p>
    <w:p>
      <w:pPr>
        <w:spacing w:after="0" w:line="17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life science products account for a substantial portion of our trade receivables; collateral is generally not required. We seek to mitigate the risk associated with this concentration through our ongoing credit-review procedures and insurance. A large portion of our cash is held by a few major financial institutions. We monitor our exposures with these institutions and do not expect any of these institutions to fail to meet their obligations. In accordance with documented corporate risk-management policies, we monitor the amount of credit exposure to any one financial institution or corporate issuer. We are exposed to credit-related losses in the event of nonperformance by counterparties to risk-management instruments but do not expect any counterparties to fail to meet their obligations given their high credit ratings.</w:t>
      </w:r>
    </w:p>
    <w:p>
      <w:pPr>
        <w:spacing w:after="0" w:line="70"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We consider all highly liquid investments with a maturity of three months or less from the date of purchase to be cash equivalents. The cost of these investments approximates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equity investments are accounted for using three different methods depending on the type of equity investment:</w:t>
      </w:r>
    </w:p>
    <w:p>
      <w:pPr>
        <w:spacing w:after="0" w:line="171" w:lineRule="exact"/>
        <w:rPr>
          <w:sz w:val="20"/>
          <w:szCs w:val="20"/>
          <w:color w:val="auto"/>
        </w:rPr>
      </w:pPr>
    </w:p>
    <w:p>
      <w:pPr>
        <w:ind w:left="660" w:right="240" w:hanging="328"/>
        <w:spacing w:after="0" w:line="292"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Investments in companies over which we have significant influence but not a controlling interest are accounted for using the equity method, with our share of earnings or losses reported in other-net, (income) expense.</w:t>
      </w:r>
    </w:p>
    <w:p>
      <w:pPr>
        <w:spacing w:after="0" w:line="90" w:lineRule="exact"/>
        <w:rPr>
          <w:rFonts w:ascii="Arial" w:cs="Arial" w:eastAsia="Arial" w:hAnsi="Arial"/>
          <w:sz w:val="18"/>
          <w:szCs w:val="18"/>
          <w:color w:val="auto"/>
        </w:rPr>
      </w:pPr>
    </w:p>
    <w:p>
      <w:pPr>
        <w:ind w:left="660" w:right="700" w:hanging="328"/>
        <w:spacing w:after="0" w:line="27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equity investments that do not have readily determinable fair values, we measure these investments at cost, less any impairment, plus or minus changes resulting from observable price changes in orderly transactions for the identical or similar investment of the same issuer. Any change in recorded value is recorded in other-net, (income) expense.</w:t>
      </w:r>
    </w:p>
    <w:p>
      <w:pPr>
        <w:spacing w:after="0" w:line="108" w:lineRule="exact"/>
        <w:rPr>
          <w:rFonts w:ascii="Arial" w:cs="Arial" w:eastAsia="Arial" w:hAnsi="Arial"/>
          <w:sz w:val="18"/>
          <w:szCs w:val="18"/>
          <w:color w:val="auto"/>
        </w:rPr>
      </w:pPr>
    </w:p>
    <w:p>
      <w:pPr>
        <w:ind w:left="660" w:right="240" w:hanging="328"/>
        <w:spacing w:after="0" w:line="292"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public equity investments are measured and carried at fair value. Any change in fair value is recognized in other-net, (income) expense.</w:t>
      </w:r>
    </w:p>
    <w:p>
      <w:pPr>
        <w:spacing w:after="0" w:line="90"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We review equity investments other than public equity investments for indications of impairment and observable price changes on a regular basis.</w:t>
      </w:r>
    </w:p>
    <w:p>
      <w:pPr>
        <w:spacing w:after="0" w:line="36" w:lineRule="exact"/>
        <w:rPr>
          <w:sz w:val="20"/>
          <w:szCs w:val="20"/>
          <w:color w:val="auto"/>
        </w:rPr>
      </w:pPr>
    </w:p>
    <w:p>
      <w:pPr>
        <w:jc w:val="both"/>
        <w:ind w:right="480"/>
        <w:spacing w:after="0" w:line="271"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are intended to offset losses and gains on the assets, liabilities, and transactions being hedged. Management reviews the correlation and effectiveness of our derivatives on a quarterly basis.</w:t>
      </w:r>
    </w:p>
    <w:p>
      <w:pPr>
        <w:spacing w:after="0" w:line="5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gains and losses are reported as a component of accumulated other comprehensive loss and reclassified into earnings in</w:t>
      </w:r>
    </w:p>
    <w:p>
      <w:pPr>
        <w:sectPr>
          <w:pgSz w:w="11900" w:h="16838" w:orient="portrait"/>
          <w:cols w:equalWidth="0" w:num="1">
            <w:col w:w="11240"/>
          </w:cols>
          <w:pgMar w:left="320" w:top="884"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type w:val="continuous"/>
        </w:sectPr>
      </w:pPr>
    </w:p>
    <w:bookmarkStart w:id="20" w:name="page21"/>
    <w:bookmarkEnd w:id="20"/>
    <w:p>
      <w:pPr>
        <w:ind w:right="220"/>
        <w:spacing w:after="0" w:line="264" w:lineRule="auto"/>
        <w:rPr>
          <w:sz w:val="20"/>
          <w:szCs w:val="20"/>
          <w:color w:val="auto"/>
        </w:rPr>
      </w:pPr>
      <w:r>
        <w:rPr>
          <w:rFonts w:ascii="Arial" w:cs="Arial" w:eastAsia="Arial" w:hAnsi="Arial"/>
          <w:sz w:val="18"/>
          <w:szCs w:val="18"/>
          <w:color w:val="auto"/>
        </w:rPr>
        <w:t>the same period the hedged transaction affects earnings. For derivative and non-derivative instruments that are designated and qualify as net investment hedges, the foreign currency translation gains or losses due to spot rate fluctuations are reported as a component of accumulated other comprehensive loss. Derivative contracts that are not designated as hedging instruments are recorded at fair value with the gain or loss recognized in earnings during the period of change.</w:t>
      </w:r>
    </w:p>
    <w:p>
      <w:pPr>
        <w:spacing w:after="0" w:line="6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may enter into foreign currency forward or option contracts to reduce the effect of fluctuating currency exchange rates (principally the euro, British pound, and Japanese yen).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We may enter into foreign currency forward and option contracts and currency swaps as fair value hedges of firm commitments. Forward contracts generally have maturities not exceeding 12 months. At September 30, 2020, we had outstanding foreign currency forward commitments to purchase 367.5 million U.S. dollars and sell 312.3 million euro, commitments to purchase 2.56 billion euro and sell 3.01 billion U.S. dollars, commitments to purchase 302.3 million U.S. dollars and sell 31.81 billion Japanese yen, and commitments to purchase 226.2 million British pounds and sell 290.7 million U.S. dollars, which will all settle within 30 days.</w:t>
      </w:r>
    </w:p>
    <w:p>
      <w:pPr>
        <w:spacing w:after="0" w:line="6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Foreign currency exchange risk is also managed through the use of foreign currency debt and cross-currency interest rate swaps. Our foreign currency-denominated notes had carrying amounts of $ 5.74 billion and $5.49 billion as of September 30, 2020 and December 31, 2019, respectively, of which $4.29 billion and $4.10 billion have been designated as, and are effective as, economic hedges of net investments in certain of our euro-denominated foreign operations as of September 30, 2020 and December 31, 2019, respectively. At September 30, 2020, we had outstanding cross currency swaps with notional amounts of $3.16 billion swapping U.S. dollars to euro and $1.00 billion swapping Swiss francs to U.S. dollars which have settlement dates ranging through 2028. Our cross-currency interest rate swaps, for which a majority convert a portion of our U.S. dollar-denominated floating rate debt to foreign-denominated floating rate debt, have also been designated as, and are effective as, economic hedges of net investments.</w:t>
      </w:r>
    </w:p>
    <w:p>
      <w:pPr>
        <w:spacing w:after="0" w:line="70"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our costs of financing, investing, and operating. We seek to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6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condensed statements of cash flows. At September 30, 2020, substantially all of our total long-term debt is fixed rate. We have converted approximately 9 percent of our long-term fixed-rate notes to floating rates through the use of interest rate swaps.</w:t>
      </w:r>
    </w:p>
    <w:p>
      <w:pPr>
        <w:spacing w:after="0" w:line="6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also may enter into forward-starting interest rate swaps, which we designate as cash flow hedges, as part of anticipated future debt issuances in order to reduce the risk of cash flow volatility from future changes in interest rates. The change in fair value of these instruments is recorded as part of other comprehensive income (loss), and upon completion of a debt issuance and termination of the swap, is amortized to interest expense over the life of the underlying debt. As of September 30, 2020, the total notional amounts of forward-starting interest rate contracts in designated cash flow hedging instruments were $1.75 billion, which have settlement dates ranging between 2023 and 2025.</w:t>
      </w:r>
    </w:p>
    <w:p>
      <w:pPr>
        <w:spacing w:after="0" w:line="52"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In May 2020, we issued $1.00 billion of 2.25 percent fixed-rate notes due in May 2050, with interest to be paid semi-annually. We used the net proceeds from the sale of these notes for general corporate purposes, including the repayment of outstanding commercial paper.</w:t>
      </w:r>
    </w:p>
    <w:p>
      <w:pPr>
        <w:spacing w:after="0" w:line="3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August 2020, we issued $ 850.0 million of 2.50 percent fixed-rate notes due in September 2060 and an additional $250.0 million of our 2.25 percent fixed-rate notes due in May 2050, with interest to be paid semi-annually. We used the net proceeds from the sale of these notes for general corporate purposes, including the repayment of outstanding commercial paper.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The Effect of Risk-Management Instruments on the Consolidated Condensed Statements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effects of risk-management instruments were recognized in other–net, (income) expense: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3"/>
          </w:tcPr>
          <w:p>
            <w:pPr>
              <w:jc w:val="right"/>
              <w:ind w:right="313"/>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880" w:type="dxa"/>
            <w:vAlign w:val="bottom"/>
            <w:gridSpan w:val="3"/>
          </w:tcPr>
          <w:p>
            <w:pPr>
              <w:jc w:val="right"/>
              <w:ind w:right="29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6"/>
        </w:trPr>
        <w:tc>
          <w:tcPr>
            <w:tcW w:w="69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533"/>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6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hedges: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tcPr>
          <w:p>
            <w:pPr>
              <w:ind w:left="220"/>
              <w:spacing w:after="0"/>
              <w:rPr>
                <w:sz w:val="20"/>
                <w:szCs w:val="20"/>
                <w:color w:val="auto"/>
              </w:rPr>
            </w:pPr>
            <w:r>
              <w:rPr>
                <w:rFonts w:ascii="Arial" w:cs="Arial" w:eastAsia="Arial" w:hAnsi="Arial"/>
                <w:sz w:val="18"/>
                <w:szCs w:val="18"/>
                <w:color w:val="auto"/>
              </w:rPr>
              <w:t>Effect from hedged fixed-rate debt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(14.0)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49.5</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6"/>
              <w:spacing w:after="0"/>
              <w:rPr>
                <w:sz w:val="20"/>
                <w:szCs w:val="20"/>
                <w:color w:val="auto"/>
              </w:rPr>
            </w:pPr>
            <w:r>
              <w:rPr>
                <w:rFonts w:ascii="Arial" w:cs="Arial" w:eastAsia="Arial" w:hAnsi="Arial"/>
                <w:sz w:val="18"/>
                <w:szCs w:val="18"/>
                <w:b w:val="1"/>
                <w:bCs w:val="1"/>
                <w:color w:val="auto"/>
              </w:rPr>
              <w:t>110.4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from interest rate contracts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14.0</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(110.4)</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Cash flow hedges: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9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Effective portion of losses on interest rate contracts reclassified from accumulated</w:t>
            </w: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4.1</w:t>
            </w:r>
          </w:p>
        </w:tc>
        <w:tc>
          <w:tcPr>
            <w:tcW w:w="3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12.3</w:t>
            </w:r>
          </w:p>
        </w:tc>
        <w:tc>
          <w:tcPr>
            <w:tcW w:w="2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comprehensive loss</w:t>
            </w:r>
          </w:p>
        </w:tc>
        <w:tc>
          <w:tcPr>
            <w:tcW w:w="2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220"/>
              <w:spacing w:after="0"/>
              <w:rPr>
                <w:sz w:val="20"/>
                <w:szCs w:val="20"/>
                <w:color w:val="auto"/>
              </w:rPr>
            </w:pPr>
            <w:r>
              <w:rPr>
                <w:rFonts w:ascii="Arial" w:cs="Arial" w:eastAsia="Arial" w:hAnsi="Arial"/>
                <w:sz w:val="18"/>
                <w:szCs w:val="18"/>
                <w:color w:val="auto"/>
              </w:rPr>
              <w:t>Cross-currency interest rate swaps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(30.2)</w:t>
            </w:r>
          </w:p>
        </w:tc>
        <w:tc>
          <w:tcPr>
            <w:tcW w:w="30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47.4</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(54.6)</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75"/>
        </w:trPr>
        <w:tc>
          <w:tcPr>
            <w:tcW w:w="69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(gains) losses on foreign currency exchange contracts not designated as hedging</w:t>
            </w: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(54.2)</w:t>
            </w:r>
          </w:p>
        </w:tc>
        <w:tc>
          <w:tcPr>
            <w:tcW w:w="3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52.6</w:t>
            </w:r>
          </w:p>
        </w:tc>
        <w:tc>
          <w:tcPr>
            <w:tcW w:w="2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(82.8)</w:t>
            </w:r>
          </w:p>
        </w:tc>
        <w:tc>
          <w:tcPr>
            <w:tcW w:w="2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instruments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(80.3)</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102.8</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(125.1)</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During the three and nine months ended September 30, 2020 and 2019, the amortization of losses related to the portion of our risk management hedging instruments, fair value hedges, and cash flow hedges that was excluded from the assessment of effectiveness was not material.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Effect of Risk-Management Instruments on Other Comprehensive Income (Loss)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portion of risk-management instruments that was recognized in other comprehensive income (loss)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3"/>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880" w:type="dxa"/>
            <w:vAlign w:val="bottom"/>
            <w:gridSpan w:val="3"/>
          </w:tcPr>
          <w:p>
            <w:pPr>
              <w:jc w:val="right"/>
              <w:ind w:right="294"/>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69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6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r>
      <w:tr>
        <w:trPr>
          <w:trHeight w:val="223"/>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hedges: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920" w:type="dxa"/>
            <w:vAlign w:val="bottom"/>
          </w:tcPr>
          <w:p>
            <w:pPr>
              <w:ind w:left="220"/>
              <w:spacing w:after="0"/>
              <w:rPr>
                <w:sz w:val="20"/>
                <w:szCs w:val="20"/>
                <w:color w:val="auto"/>
              </w:rPr>
            </w:pPr>
            <w:r>
              <w:rPr>
                <w:rFonts w:ascii="Arial" w:cs="Arial" w:eastAsia="Arial" w:hAnsi="Arial"/>
                <w:sz w:val="18"/>
                <w:szCs w:val="18"/>
                <w:color w:val="auto"/>
              </w:rPr>
              <w:t>Foreign currency-denominated notes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(181.1)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center"/>
              <w:ind w:left="114"/>
              <w:spacing w:after="0"/>
              <w:rPr>
                <w:sz w:val="20"/>
                <w:szCs w:val="20"/>
                <w:color w:val="auto"/>
              </w:rPr>
            </w:pPr>
            <w:r>
              <w:rPr>
                <w:rFonts w:ascii="Arial" w:cs="Arial" w:eastAsia="Arial" w:hAnsi="Arial"/>
                <w:sz w:val="18"/>
                <w:szCs w:val="18"/>
                <w:color w:val="auto"/>
                <w:w w:val="96"/>
              </w:rPr>
              <w:t>89.3</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(186.0)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112.6</w:t>
            </w:r>
          </w:p>
        </w:tc>
      </w:tr>
      <w:tr>
        <w:trPr>
          <w:trHeight w:val="230"/>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Cross-currency interest rate swaps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(110.4)</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96"/>
              </w:rPr>
              <w:t>89.0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(55.4)</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Cash flow hedges: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Forward-starting interest rate swaps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99.6</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94"/>
              <w:spacing w:after="0"/>
              <w:rPr>
                <w:sz w:val="20"/>
                <w:szCs w:val="20"/>
                <w:color w:val="auto"/>
              </w:rPr>
            </w:pPr>
            <w:r>
              <w:rPr>
                <w:rFonts w:ascii="Arial" w:cs="Arial" w:eastAsia="Arial" w:hAnsi="Arial"/>
                <w:sz w:val="18"/>
                <w:szCs w:val="18"/>
                <w:color w:val="auto"/>
              </w:rPr>
              <w:t>(32.7)</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(231.9)</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53"/>
        </w:trPr>
        <w:tc>
          <w:tcPr>
            <w:tcW w:w="6920" w:type="dxa"/>
            <w:vAlign w:val="bottom"/>
          </w:tcPr>
          <w:p>
            <w:pPr>
              <w:ind w:left="220"/>
              <w:spacing w:after="0"/>
              <w:rPr>
                <w:sz w:val="20"/>
                <w:szCs w:val="20"/>
                <w:color w:val="auto"/>
              </w:rPr>
            </w:pPr>
            <w:r>
              <w:rPr>
                <w:rFonts w:ascii="Arial" w:cs="Arial" w:eastAsia="Arial" w:hAnsi="Arial"/>
                <w:sz w:val="18"/>
                <w:szCs w:val="18"/>
                <w:color w:val="auto"/>
              </w:rPr>
              <w:t>Cross-currency interest rate swaps</w:t>
            </w:r>
          </w:p>
        </w:tc>
        <w:tc>
          <w:tcPr>
            <w:tcW w:w="220" w:type="dxa"/>
            <w:vAlign w:val="bottom"/>
          </w:tcPr>
          <w:p>
            <w:pPr>
              <w:spacing w:after="0"/>
              <w:rPr>
                <w:sz w:val="21"/>
                <w:szCs w:val="21"/>
                <w:color w:val="auto"/>
              </w:rPr>
            </w:pPr>
          </w:p>
        </w:tc>
        <w:tc>
          <w:tcPr>
            <w:tcW w:w="820" w:type="dxa"/>
            <w:vAlign w:val="bottom"/>
          </w:tcPr>
          <w:p>
            <w:pPr>
              <w:jc w:val="right"/>
              <w:ind w:right="38"/>
              <w:spacing w:after="0"/>
              <w:rPr>
                <w:sz w:val="20"/>
                <w:szCs w:val="20"/>
                <w:color w:val="auto"/>
              </w:rPr>
            </w:pPr>
            <w:r>
              <w:rPr>
                <w:rFonts w:ascii="Arial" w:cs="Arial" w:eastAsia="Arial" w:hAnsi="Arial"/>
                <w:sz w:val="18"/>
                <w:szCs w:val="18"/>
                <w:b w:val="1"/>
                <w:bCs w:val="1"/>
                <w:color w:val="auto"/>
              </w:rPr>
              <w:t>6.6</w:t>
            </w:r>
          </w:p>
        </w:tc>
        <w:tc>
          <w:tcPr>
            <w:tcW w:w="300" w:type="dxa"/>
            <w:vAlign w:val="bottom"/>
          </w:tcPr>
          <w:p>
            <w:pPr>
              <w:spacing w:after="0"/>
              <w:rPr>
                <w:sz w:val="21"/>
                <w:szCs w:val="21"/>
                <w:color w:val="auto"/>
              </w:rPr>
            </w:pPr>
          </w:p>
        </w:tc>
        <w:tc>
          <w:tcPr>
            <w:tcW w:w="820" w:type="dxa"/>
            <w:vAlign w:val="bottom"/>
          </w:tcPr>
          <w:p>
            <w:pPr>
              <w:jc w:val="center"/>
              <w:ind w:left="114"/>
              <w:spacing w:after="0"/>
              <w:rPr>
                <w:sz w:val="20"/>
                <w:szCs w:val="20"/>
                <w:color w:val="auto"/>
              </w:rPr>
            </w:pPr>
            <w:r>
              <w:rPr>
                <w:rFonts w:ascii="Arial" w:cs="Arial" w:eastAsia="Arial" w:hAnsi="Arial"/>
                <w:sz w:val="18"/>
                <w:szCs w:val="18"/>
                <w:color w:val="auto"/>
                <w:w w:val="96"/>
              </w:rPr>
              <w:t>16.6</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(58.3)</w:t>
            </w: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(20.8)</w:t>
            </w:r>
          </w:p>
        </w:tc>
      </w:tr>
    </w:tbl>
    <w:p>
      <w:pPr>
        <w:spacing w:after="0" w:line="200" w:lineRule="exact"/>
        <w:rPr>
          <w:sz w:val="20"/>
          <w:szCs w:val="20"/>
          <w:color w:val="auto"/>
        </w:rPr>
      </w:pPr>
    </w:p>
    <w:p>
      <w:pPr>
        <w:spacing w:after="0" w:line="213"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During the next 12 months, we expect to reclassify $16.7 million of pretax net losses on cash flow hedges from accumulated other comprehensive loss to other–net, (income) expense. During the three and nine months ended September 30, 2020 and 2019, the amounts excluded from the assessment of hedge effectiveness recognized in other comprehensive income (loss) were not material.</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5" w:lineRule="exact"/>
        <w:rPr>
          <w:sz w:val="20"/>
          <w:szCs w:val="20"/>
          <w:color w:val="auto"/>
        </w:rPr>
      </w:pPr>
    </w:p>
    <w:p>
      <w:pPr>
        <w:ind w:right="620"/>
        <w:spacing w:after="0" w:line="292" w:lineRule="auto"/>
        <w:rPr>
          <w:sz w:val="20"/>
          <w:szCs w:val="20"/>
          <w:color w:val="auto"/>
        </w:rPr>
      </w:pPr>
      <w:r>
        <w:rPr>
          <w:rFonts w:ascii="Arial" w:cs="Arial" w:eastAsia="Arial" w:hAnsi="Arial"/>
          <w:sz w:val="18"/>
          <w:szCs w:val="18"/>
          <w:color w:val="auto"/>
        </w:rPr>
        <w:t>The following tables summarize certain fair value information at September 30, 2020 and December 31, 2019 for assets and liabilities measured at fair value on a recurring basis, as well as the carrying amount and amortized cost of certain other investments: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rPr>
              <w:t>Fair Value Measurements Using</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Quoted Prices</w:t>
            </w:r>
          </w:p>
        </w:tc>
        <w:tc>
          <w:tcPr>
            <w:tcW w:w="220" w:type="dxa"/>
            <w:vAlign w:val="bottom"/>
          </w:tcPr>
          <w:p>
            <w:pPr>
              <w:spacing w:after="0"/>
              <w:rPr>
                <w:sz w:val="12"/>
                <w:szCs w:val="12"/>
                <w:color w:val="auto"/>
              </w:rPr>
            </w:pPr>
          </w:p>
        </w:tc>
        <w:tc>
          <w:tcPr>
            <w:tcW w:w="100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rPr>
              <w:t>Significant</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81"/>
              <w:spacing w:after="0" w:line="135" w:lineRule="exact"/>
              <w:rPr>
                <w:sz w:val="20"/>
                <w:szCs w:val="20"/>
                <w:color w:val="auto"/>
              </w:rPr>
            </w:pPr>
            <w:r>
              <w:rPr>
                <w:rFonts w:ascii="Arial" w:cs="Arial" w:eastAsia="Arial" w:hAnsi="Arial"/>
                <w:sz w:val="14"/>
                <w:szCs w:val="14"/>
                <w:b w:val="1"/>
                <w:bCs w:val="1"/>
                <w:color w:val="auto"/>
              </w:rPr>
              <w:t>in Active</w:t>
            </w:r>
          </w:p>
        </w:tc>
        <w:tc>
          <w:tcPr>
            <w:tcW w:w="2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rPr>
              <w:t>Significant</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Markets for</w:t>
            </w:r>
          </w:p>
        </w:tc>
        <w:tc>
          <w:tcPr>
            <w:tcW w:w="22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Identical</w:t>
            </w:r>
          </w:p>
        </w:tc>
        <w:tc>
          <w:tcPr>
            <w:tcW w:w="22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1"/>
                <w:szCs w:val="11"/>
                <w:color w:val="auto"/>
              </w:rPr>
            </w:pPr>
          </w:p>
        </w:tc>
        <w:tc>
          <w:tcPr>
            <w:tcW w:w="116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rPr>
              <w:t>Unobservable</w:t>
            </w:r>
          </w:p>
        </w:tc>
        <w:tc>
          <w:tcPr>
            <w:tcW w:w="340" w:type="dxa"/>
            <w:vAlign w:val="bottom"/>
          </w:tcPr>
          <w:p>
            <w:pPr>
              <w:spacing w:after="0"/>
              <w:rPr>
                <w:sz w:val="11"/>
                <w:szCs w:val="11"/>
                <w:color w:val="auto"/>
              </w:rPr>
            </w:pPr>
          </w:p>
        </w:tc>
        <w:tc>
          <w:tcPr>
            <w:tcW w:w="88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8"/>
                <w:szCs w:val="18"/>
                <w:b w:val="1"/>
                <w:bCs w:val="1"/>
                <w:color w:val="auto"/>
                <w:vertAlign w:val="superscript"/>
              </w:rPr>
              <w:t>(1)</w:t>
            </w:r>
          </w:p>
        </w:tc>
        <w:tc>
          <w:tcPr>
            <w:tcW w:w="14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w w:val="99"/>
              </w:rPr>
              <w:t>Inputs</w:t>
            </w:r>
          </w:p>
        </w:tc>
        <w:tc>
          <w:tcPr>
            <w:tcW w:w="220" w:type="dxa"/>
            <w:vAlign w:val="bottom"/>
          </w:tcPr>
          <w:p>
            <w:pPr>
              <w:spacing w:after="0"/>
              <w:rPr>
                <w:sz w:val="11"/>
                <w:szCs w:val="11"/>
                <w:color w:val="auto"/>
              </w:rPr>
            </w:pPr>
          </w:p>
        </w:tc>
        <w:tc>
          <w:tcPr>
            <w:tcW w:w="116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99"/>
              </w:rPr>
              <w:t>Inputs</w:t>
            </w:r>
          </w:p>
        </w:tc>
        <w:tc>
          <w:tcPr>
            <w:tcW w:w="3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2,374.2</w:t>
            </w:r>
          </w:p>
        </w:tc>
        <w:tc>
          <w:tcPr>
            <w:tcW w:w="3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b w:val="1"/>
                <w:bCs w:val="1"/>
                <w:color w:val="auto"/>
              </w:rPr>
              <w:t>2,374.2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rPr>
              <w:t>2,374.2</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2,374.2</w:t>
            </w:r>
          </w:p>
        </w:tc>
        <w:tc>
          <w:tcPr>
            <w:tcW w:w="0" w:type="dxa"/>
            <w:vAlign w:val="bottom"/>
          </w:tcPr>
          <w:p>
            <w:pPr>
              <w:spacing w:after="0"/>
              <w:rPr>
                <w:sz w:val="1"/>
                <w:szCs w:val="1"/>
                <w:color w:val="auto"/>
              </w:rPr>
            </w:pPr>
          </w:p>
        </w:tc>
      </w:tr>
      <w:tr>
        <w:trPr>
          <w:trHeight w:val="94"/>
        </w:trPr>
        <w:tc>
          <w:tcPr>
            <w:tcW w:w="3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11.8</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11.7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11.8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11.8</w:t>
            </w:r>
          </w:p>
        </w:tc>
        <w:tc>
          <w:tcPr>
            <w:tcW w:w="0" w:type="dxa"/>
            <w:vAlign w:val="bottom"/>
          </w:tcPr>
          <w:p>
            <w:pPr>
              <w:spacing w:after="0"/>
              <w:rPr>
                <w:sz w:val="1"/>
                <w:szCs w:val="1"/>
                <w:color w:val="auto"/>
              </w:rPr>
            </w:pPr>
          </w:p>
        </w:tc>
      </w:tr>
      <w:tr>
        <w:trPr>
          <w:trHeight w:val="216"/>
        </w:trPr>
        <w:tc>
          <w:tcPr>
            <w:tcW w:w="3820" w:type="dxa"/>
            <w:vAlign w:val="bottom"/>
          </w:tcPr>
          <w:p>
            <w:pPr>
              <w:ind w:left="12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5.5</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5.5</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5.5</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5.5</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3.6</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3.6</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b w:val="1"/>
                <w:bCs w:val="1"/>
                <w:color w:val="auto"/>
              </w:rPr>
              <w:t>14.1</w:t>
            </w: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14.1</w:t>
            </w: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14.1</w:t>
            </w:r>
          </w:p>
        </w:tc>
        <w:tc>
          <w:tcPr>
            <w:tcW w:w="0" w:type="dxa"/>
            <w:vAlign w:val="bottom"/>
          </w:tcPr>
          <w:p>
            <w:pPr>
              <w:spacing w:after="0"/>
              <w:rPr>
                <w:sz w:val="1"/>
                <w:szCs w:val="1"/>
                <w:color w:val="auto"/>
              </w:rPr>
            </w:pPr>
          </w:p>
        </w:tc>
      </w:tr>
      <w:tr>
        <w:trPr>
          <w:trHeight w:val="217"/>
        </w:trPr>
        <w:tc>
          <w:tcPr>
            <w:tcW w:w="3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35.0</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3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investments: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2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73.2</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68.5</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73.2</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73.2</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137.5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128.0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137.5</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137.5</w:t>
            </w:r>
          </w:p>
        </w:tc>
        <w:tc>
          <w:tcPr>
            <w:tcW w:w="0" w:type="dxa"/>
            <w:vAlign w:val="bottom"/>
          </w:tcPr>
          <w:p>
            <w:pPr>
              <w:spacing w:after="0"/>
              <w:rPr>
                <w:sz w:val="1"/>
                <w:szCs w:val="1"/>
                <w:color w:val="auto"/>
              </w:rPr>
            </w:pPr>
          </w:p>
        </w:tc>
      </w:tr>
      <w:tr>
        <w:trPr>
          <w:trHeight w:val="216"/>
        </w:trPr>
        <w:tc>
          <w:tcPr>
            <w:tcW w:w="3820" w:type="dxa"/>
            <w:vAlign w:val="bottom"/>
          </w:tcPr>
          <w:p>
            <w:pPr>
              <w:ind w:left="12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104.3</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99.2</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104.3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104.3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24.8</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25.4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25.4</w:t>
            </w:r>
          </w:p>
        </w:tc>
        <w:tc>
          <w:tcPr>
            <w:tcW w:w="0" w:type="dxa"/>
            <w:vAlign w:val="bottom"/>
          </w:tcPr>
          <w:p>
            <w:pPr>
              <w:spacing w:after="0"/>
              <w:rPr>
                <w:sz w:val="1"/>
                <w:szCs w:val="1"/>
                <w:color w:val="auto"/>
              </w:rPr>
            </w:pPr>
          </w:p>
        </w:tc>
      </w:tr>
      <w:tr>
        <w:trPr>
          <w:trHeight w:val="216"/>
        </w:trPr>
        <w:tc>
          <w:tcPr>
            <w:tcW w:w="3820" w:type="dxa"/>
            <w:vAlign w:val="bottom"/>
          </w:tcPr>
          <w:p>
            <w:pPr>
              <w:ind w:left="120"/>
              <w:spacing w:after="0"/>
              <w:rPr>
                <w:sz w:val="20"/>
                <w:szCs w:val="20"/>
                <w:color w:val="auto"/>
              </w:rPr>
            </w:pPr>
            <w:r>
              <w:rPr>
                <w:rFonts w:ascii="Arial" w:cs="Arial" w:eastAsia="Arial" w:hAnsi="Arial"/>
                <w:sz w:val="16"/>
                <w:szCs w:val="16"/>
                <w:color w:val="auto"/>
              </w:rPr>
              <w:t>Other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97.8</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31.4</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97.8</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97.8</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Marketable equity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1,258.4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275.2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1,258.4</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1,258.4</w:t>
            </w:r>
          </w:p>
        </w:tc>
        <w:tc>
          <w:tcPr>
            <w:tcW w:w="0" w:type="dxa"/>
            <w:vAlign w:val="bottom"/>
          </w:tcPr>
          <w:p>
            <w:pPr>
              <w:spacing w:after="0"/>
              <w:rPr>
                <w:sz w:val="1"/>
                <w:szCs w:val="1"/>
                <w:color w:val="auto"/>
              </w:rPr>
            </w:pPr>
          </w:p>
        </w:tc>
      </w:tr>
      <w:tr>
        <w:trPr>
          <w:trHeight w:val="162"/>
        </w:trPr>
        <w:tc>
          <w:tcPr>
            <w:tcW w:w="3820" w:type="dxa"/>
            <w:vAlign w:val="bottom"/>
          </w:tcPr>
          <w:p>
            <w:pPr>
              <w:ind w:left="140"/>
              <w:spacing w:after="0" w:line="162" w:lineRule="exact"/>
              <w:rPr>
                <w:sz w:val="20"/>
                <w:szCs w:val="20"/>
                <w:color w:val="auto"/>
              </w:rPr>
            </w:pPr>
            <w:r>
              <w:rPr>
                <w:rFonts w:ascii="Arial" w:cs="Arial" w:eastAsia="Arial" w:hAnsi="Arial"/>
                <w:sz w:val="16"/>
                <w:szCs w:val="16"/>
                <w:color w:val="auto"/>
              </w:rPr>
              <w:t>Equity investments without readily determinable</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339.5</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fair values </w:t>
            </w:r>
            <w:r>
              <w:rPr>
                <w:rFonts w:ascii="Arial" w:cs="Arial" w:eastAsia="Arial" w:hAnsi="Arial"/>
                <w:sz w:val="21"/>
                <w:szCs w:val="21"/>
                <w:color w:val="auto"/>
                <w:vertAlign w:val="superscript"/>
              </w:rPr>
              <w:t>(2)</w:t>
            </w: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Equity method investments </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440.1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2,476.2</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6"/>
                <w:szCs w:val="16"/>
                <w:b w:val="1"/>
                <w:bCs w:val="1"/>
                <w:color w:val="auto"/>
              </w:rPr>
              <w:t>December 31, 2019</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1,025.4</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1,025.4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1,025.4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1,025.4</w:t>
            </w:r>
          </w:p>
        </w:tc>
        <w:tc>
          <w:tcPr>
            <w:tcW w:w="0" w:type="dxa"/>
            <w:vAlign w:val="bottom"/>
          </w:tcPr>
          <w:p>
            <w:pPr>
              <w:spacing w:after="0"/>
              <w:rPr>
                <w:sz w:val="1"/>
                <w:szCs w:val="1"/>
                <w:color w:val="auto"/>
              </w:rPr>
            </w:pPr>
          </w:p>
        </w:tc>
      </w:tr>
      <w:tr>
        <w:trPr>
          <w:trHeight w:val="95"/>
        </w:trPr>
        <w:tc>
          <w:tcPr>
            <w:tcW w:w="3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investments: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2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7.2</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7.2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81.1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81.4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0" w:type="dxa"/>
            <w:vAlign w:val="bottom"/>
          </w:tcPr>
          <w:p>
            <w:pPr>
              <w:spacing w:after="0"/>
              <w:rPr>
                <w:sz w:val="1"/>
                <w:szCs w:val="1"/>
                <w:color w:val="auto"/>
              </w:rPr>
            </w:pPr>
          </w:p>
        </w:tc>
      </w:tr>
      <w:tr>
        <w:trPr>
          <w:trHeight w:val="216"/>
        </w:trPr>
        <w:tc>
          <w:tcPr>
            <w:tcW w:w="3820" w:type="dxa"/>
            <w:vAlign w:val="bottom"/>
          </w:tcPr>
          <w:p>
            <w:pPr>
              <w:ind w:left="12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2.6</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2.6</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9.8</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7"/>
        </w:trPr>
        <w:tc>
          <w:tcPr>
            <w:tcW w:w="38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101.0</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3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6"/>
                <w:szCs w:val="16"/>
                <w:color w:val="auto"/>
              </w:rPr>
              <w:t>Noncurrent investments: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76.3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77.2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r>
        <w:trPr>
          <w:trHeight w:val="216"/>
        </w:trPr>
        <w:tc>
          <w:tcPr>
            <w:tcW w:w="3820" w:type="dxa"/>
            <w:vAlign w:val="bottom"/>
          </w:tcPr>
          <w:p>
            <w:pPr>
              <w:ind w:left="12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271.1</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267.8</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271.1</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271.1</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Mortgage-backed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99.6</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101.1</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r>
        <w:trPr>
          <w:trHeight w:val="216"/>
        </w:trPr>
        <w:tc>
          <w:tcPr>
            <w:tcW w:w="3820" w:type="dxa"/>
            <w:vAlign w:val="bottom"/>
          </w:tcPr>
          <w:p>
            <w:pPr>
              <w:ind w:left="12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30.0</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29.6</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30.0</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27.4</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16"/>
        </w:trPr>
        <w:tc>
          <w:tcPr>
            <w:tcW w:w="3820" w:type="dxa"/>
            <w:vAlign w:val="bottom"/>
          </w:tcPr>
          <w:p>
            <w:pPr>
              <w:ind w:left="120"/>
              <w:spacing w:after="0"/>
              <w:rPr>
                <w:sz w:val="20"/>
                <w:szCs w:val="20"/>
                <w:color w:val="auto"/>
              </w:rPr>
            </w:pPr>
            <w:r>
              <w:rPr>
                <w:rFonts w:ascii="Arial" w:cs="Arial" w:eastAsia="Arial" w:hAnsi="Arial"/>
                <w:sz w:val="16"/>
                <w:szCs w:val="16"/>
                <w:color w:val="auto"/>
              </w:rPr>
              <w:t>Marketable equity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718.6</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254.4</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718.6</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718.6</w:t>
            </w:r>
          </w:p>
        </w:tc>
        <w:tc>
          <w:tcPr>
            <w:tcW w:w="0" w:type="dxa"/>
            <w:vAlign w:val="bottom"/>
          </w:tcPr>
          <w:p>
            <w:pPr>
              <w:spacing w:after="0"/>
              <w:rPr>
                <w:sz w:val="1"/>
                <w:szCs w:val="1"/>
                <w:color w:val="auto"/>
              </w:rPr>
            </w:pPr>
          </w:p>
        </w:tc>
      </w:tr>
      <w:tr>
        <w:trPr>
          <w:trHeight w:val="162"/>
        </w:trPr>
        <w:tc>
          <w:tcPr>
            <w:tcW w:w="38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Equity investments without readily determinable</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405.0</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fair values </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 xml:space="preserve">Equity method investments </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299.4</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1,962.4</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For available-for-sale debt securities, amounts disclosed represent the securities' amortized cost.</w:t>
      </w:r>
    </w:p>
    <w:p>
      <w:pPr>
        <w:spacing w:after="0" w:line="50" w:lineRule="exact"/>
        <w:rPr>
          <w:rFonts w:ascii="Arial" w:cs="Arial" w:eastAsia="Arial" w:hAnsi="Arial"/>
          <w:sz w:val="16"/>
          <w:szCs w:val="16"/>
          <w:color w:val="auto"/>
          <w:vertAlign w:val="superscript"/>
        </w:rPr>
      </w:pPr>
    </w:p>
    <w:p>
      <w:pPr>
        <w:ind w:left="140" w:hanging="132"/>
        <w:spacing w:after="0" w:line="229" w:lineRule="auto"/>
        <w:tabs>
          <w:tab w:leader="none" w:pos="140"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Fair value disclosures are not applicable for equity method investments and investments accounted for under the measurement alternative for equity investments.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0" w:right="3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1"/>
        </w:trPr>
        <w:tc>
          <w:tcPr>
            <w:tcW w:w="3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Fair Value Measurements Using</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Quoted Prices in</w:t>
            </w:r>
          </w:p>
        </w:tc>
        <w:tc>
          <w:tcPr>
            <w:tcW w:w="260" w:type="dxa"/>
            <w:vAlign w:val="bottom"/>
          </w:tcPr>
          <w:p>
            <w:pPr>
              <w:spacing w:after="0"/>
              <w:rPr>
                <w:sz w:val="12"/>
                <w:szCs w:val="12"/>
                <w:color w:val="auto"/>
              </w:rPr>
            </w:pPr>
          </w:p>
        </w:tc>
        <w:tc>
          <w:tcPr>
            <w:tcW w:w="116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rPr>
              <w:t>Significant</w:t>
            </w:r>
          </w:p>
        </w:tc>
        <w:tc>
          <w:tcPr>
            <w:tcW w:w="220" w:type="dxa"/>
            <w:vAlign w:val="bottom"/>
          </w:tcPr>
          <w:p>
            <w:pPr>
              <w:spacing w:after="0"/>
              <w:rPr>
                <w:sz w:val="12"/>
                <w:szCs w:val="12"/>
                <w:color w:val="auto"/>
              </w:rPr>
            </w:pPr>
          </w:p>
        </w:tc>
        <w:tc>
          <w:tcPr>
            <w:tcW w:w="118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rPr>
              <w:t>Significant</w:t>
            </w: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Active Markets</w:t>
            </w:r>
          </w:p>
        </w:tc>
        <w:tc>
          <w:tcPr>
            <w:tcW w:w="2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1"/>
                <w:szCs w:val="11"/>
                <w:color w:val="auto"/>
              </w:rPr>
            </w:pPr>
          </w:p>
        </w:tc>
        <w:tc>
          <w:tcPr>
            <w:tcW w:w="1100" w:type="dxa"/>
            <w:vAlign w:val="bottom"/>
          </w:tcPr>
          <w:p>
            <w:pPr>
              <w:jc w:val="center"/>
              <w:ind w:right="119"/>
              <w:spacing w:after="0" w:line="135" w:lineRule="exact"/>
              <w:rPr>
                <w:sz w:val="20"/>
                <w:szCs w:val="20"/>
                <w:color w:val="auto"/>
              </w:rPr>
            </w:pPr>
            <w:r>
              <w:rPr>
                <w:rFonts w:ascii="Arial" w:cs="Arial" w:eastAsia="Arial" w:hAnsi="Arial"/>
                <w:sz w:val="14"/>
                <w:szCs w:val="14"/>
                <w:b w:val="1"/>
                <w:bCs w:val="1"/>
                <w:color w:val="auto"/>
              </w:rPr>
              <w:t>for Identical</w:t>
            </w:r>
          </w:p>
        </w:tc>
        <w:tc>
          <w:tcPr>
            <w:tcW w:w="14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Other Observable</w:t>
            </w:r>
          </w:p>
        </w:tc>
        <w:tc>
          <w:tcPr>
            <w:tcW w:w="220" w:type="dxa"/>
            <w:vAlign w:val="bottom"/>
          </w:tcPr>
          <w:p>
            <w:pPr>
              <w:spacing w:after="0"/>
              <w:rPr>
                <w:sz w:val="11"/>
                <w:szCs w:val="11"/>
                <w:color w:val="auto"/>
              </w:rPr>
            </w:pPr>
          </w:p>
        </w:tc>
        <w:tc>
          <w:tcPr>
            <w:tcW w:w="118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rPr>
              <w:t>Unobservable</w:t>
            </w:r>
          </w:p>
        </w:tc>
        <w:tc>
          <w:tcPr>
            <w:tcW w:w="3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3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ind w:right="119"/>
              <w:spacing w:after="0" w:line="135" w:lineRule="exact"/>
              <w:rPr>
                <w:sz w:val="20"/>
                <w:szCs w:val="20"/>
                <w:color w:val="auto"/>
              </w:rPr>
            </w:pPr>
            <w:r>
              <w:rPr>
                <w:rFonts w:ascii="Arial" w:cs="Arial" w:eastAsia="Arial" w:hAnsi="Arial"/>
                <w:sz w:val="14"/>
                <w:szCs w:val="14"/>
                <w:b w:val="1"/>
                <w:bCs w:val="1"/>
                <w:color w:val="auto"/>
              </w:rPr>
              <w:t>Assets</w:t>
            </w:r>
          </w:p>
        </w:tc>
        <w:tc>
          <w:tcPr>
            <w:tcW w:w="260" w:type="dxa"/>
            <w:vAlign w:val="bottom"/>
          </w:tcPr>
          <w:p>
            <w:pPr>
              <w:spacing w:after="0"/>
              <w:rPr>
                <w:sz w:val="11"/>
                <w:szCs w:val="11"/>
                <w:color w:val="auto"/>
              </w:rPr>
            </w:pPr>
          </w:p>
        </w:tc>
        <w:tc>
          <w:tcPr>
            <w:tcW w:w="1160" w:type="dxa"/>
            <w:vAlign w:val="bottom"/>
          </w:tcPr>
          <w:p>
            <w:pPr>
              <w:jc w:val="center"/>
              <w:ind w:right="158"/>
              <w:spacing w:after="0" w:line="135" w:lineRule="exact"/>
              <w:rPr>
                <w:sz w:val="20"/>
                <w:szCs w:val="20"/>
                <w:color w:val="auto"/>
              </w:rPr>
            </w:pPr>
            <w:r>
              <w:rPr>
                <w:rFonts w:ascii="Arial" w:cs="Arial" w:eastAsia="Arial" w:hAnsi="Arial"/>
                <w:sz w:val="14"/>
                <w:szCs w:val="14"/>
                <w:b w:val="1"/>
                <w:bCs w:val="1"/>
                <w:color w:val="auto"/>
              </w:rPr>
              <w:t>Inputs</w:t>
            </w:r>
          </w:p>
        </w:tc>
        <w:tc>
          <w:tcPr>
            <w:tcW w:w="220" w:type="dxa"/>
            <w:vAlign w:val="bottom"/>
          </w:tcPr>
          <w:p>
            <w:pPr>
              <w:spacing w:after="0"/>
              <w:rPr>
                <w:sz w:val="11"/>
                <w:szCs w:val="11"/>
                <w:color w:val="auto"/>
              </w:rPr>
            </w:pPr>
          </w:p>
        </w:tc>
        <w:tc>
          <w:tcPr>
            <w:tcW w:w="118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rPr>
              <w:t>Inputs</w:t>
            </w:r>
          </w:p>
        </w:tc>
        <w:tc>
          <w:tcPr>
            <w:tcW w:w="3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80" w:type="dxa"/>
            <w:vAlign w:val="bottom"/>
          </w:tcPr>
          <w:p>
            <w:pPr>
              <w:jc w:val="right"/>
              <w:ind w:right="415"/>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1100" w:type="dxa"/>
            <w:vAlign w:val="bottom"/>
          </w:tcPr>
          <w:p>
            <w:pPr>
              <w:jc w:val="center"/>
              <w:ind w:right="119"/>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5"/>
                <w:szCs w:val="15"/>
                <w:color w:val="auto"/>
              </w:rPr>
            </w:pPr>
          </w:p>
        </w:tc>
        <w:tc>
          <w:tcPr>
            <w:tcW w:w="1160" w:type="dxa"/>
            <w:vAlign w:val="bottom"/>
          </w:tcPr>
          <w:p>
            <w:pPr>
              <w:jc w:val="center"/>
              <w:ind w:right="178"/>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5"/>
                <w:szCs w:val="15"/>
                <w:color w:val="auto"/>
              </w:rPr>
            </w:pPr>
          </w:p>
        </w:tc>
        <w:tc>
          <w:tcPr>
            <w:tcW w:w="1180" w:type="dxa"/>
            <w:vAlign w:val="bottom"/>
          </w:tcPr>
          <w:p>
            <w:pPr>
              <w:jc w:val="center"/>
              <w:ind w:right="79"/>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3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Short-term commercial paper borrowings</w:t>
            </w:r>
          </w:p>
        </w:tc>
        <w:tc>
          <w:tcPr>
            <w:tcW w:w="6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September 30, 2020</w:t>
            </w: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b w:val="1"/>
                <w:bCs w:val="1"/>
                <w:color w:val="auto"/>
              </w:rPr>
              <w:t>(579.9)</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ind w:left="8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(578.8)</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ind w:left="9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(578.8)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(1,494.2)</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(1,491.6)</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Long-term debt, including current portion</w:t>
            </w:r>
          </w:p>
        </w:tc>
        <w:tc>
          <w:tcPr>
            <w:tcW w:w="6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2020</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(16,342.2)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ind w:left="80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(16,148.2)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(16,148.2)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December 31, 2019</w:t>
            </w:r>
          </w:p>
        </w:tc>
        <w:tc>
          <w:tcPr>
            <w:tcW w:w="60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(13,823.0)</w:t>
            </w:r>
          </w:p>
        </w:tc>
        <w:tc>
          <w:tcPr>
            <w:tcW w:w="160" w:type="dxa"/>
            <w:vAlign w:val="bottom"/>
          </w:tcPr>
          <w:p>
            <w:pPr>
              <w:spacing w:after="0"/>
              <w:rPr>
                <w:sz w:val="21"/>
                <w:szCs w:val="21"/>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(15,150.0)</w:t>
            </w:r>
          </w:p>
        </w:tc>
        <w:tc>
          <w:tcPr>
            <w:tcW w:w="220" w:type="dxa"/>
            <w:vAlign w:val="bottom"/>
          </w:tcPr>
          <w:p>
            <w:pPr>
              <w:spacing w:after="0"/>
              <w:rPr>
                <w:sz w:val="21"/>
                <w:szCs w:val="21"/>
                <w:color w:val="auto"/>
              </w:rPr>
            </w:pP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(15,150.0)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1"/>
        </w:trPr>
        <w:tc>
          <w:tcPr>
            <w:tcW w:w="3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9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9"/>
        </w:trPr>
        <w:tc>
          <w:tcPr>
            <w:tcW w:w="4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gridSpan w:val="5"/>
          </w:tcPr>
          <w:p>
            <w:pPr>
              <w:ind w:left="920"/>
              <w:spacing w:after="0"/>
              <w:rPr>
                <w:sz w:val="20"/>
                <w:szCs w:val="20"/>
                <w:color w:val="auto"/>
              </w:rPr>
            </w:pPr>
            <w:r>
              <w:rPr>
                <w:rFonts w:ascii="Arial" w:cs="Arial" w:eastAsia="Arial" w:hAnsi="Arial"/>
                <w:sz w:val="18"/>
                <w:szCs w:val="18"/>
                <w:color w:val="auto"/>
              </w:rPr>
              <w:t>Fair Value Measurements Using</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Quoted Prices in</w:t>
            </w:r>
          </w:p>
        </w:tc>
        <w:tc>
          <w:tcPr>
            <w:tcW w:w="240" w:type="dxa"/>
            <w:vAlign w:val="bottom"/>
          </w:tcPr>
          <w:p>
            <w:pPr>
              <w:spacing w:after="0"/>
              <w:rPr>
                <w:sz w:val="14"/>
                <w:szCs w:val="14"/>
                <w:color w:val="auto"/>
              </w:rPr>
            </w:pPr>
          </w:p>
        </w:tc>
        <w:tc>
          <w:tcPr>
            <w:tcW w:w="1180" w:type="dxa"/>
            <w:vAlign w:val="bottom"/>
          </w:tcPr>
          <w:p>
            <w:pPr>
              <w:jc w:val="center"/>
              <w:ind w:right="130"/>
              <w:spacing w:after="0" w:line="169" w:lineRule="exact"/>
              <w:rPr>
                <w:sz w:val="20"/>
                <w:szCs w:val="20"/>
                <w:color w:val="auto"/>
              </w:rPr>
            </w:pPr>
            <w:r>
              <w:rPr>
                <w:rFonts w:ascii="Arial" w:cs="Arial" w:eastAsia="Arial" w:hAnsi="Arial"/>
                <w:sz w:val="18"/>
                <w:szCs w:val="18"/>
                <w:color w:val="auto"/>
              </w:rPr>
              <w:t>Significant</w:t>
            </w:r>
          </w:p>
        </w:tc>
        <w:tc>
          <w:tcPr>
            <w:tcW w:w="220" w:type="dxa"/>
            <w:vAlign w:val="bottom"/>
          </w:tcPr>
          <w:p>
            <w:pPr>
              <w:spacing w:after="0"/>
              <w:rPr>
                <w:sz w:val="14"/>
                <w:szCs w:val="14"/>
                <w:color w:val="auto"/>
              </w:rPr>
            </w:pPr>
          </w:p>
        </w:tc>
        <w:tc>
          <w:tcPr>
            <w:tcW w:w="1660" w:type="dxa"/>
            <w:vAlign w:val="bottom"/>
            <w:gridSpan w:val="2"/>
            <w:vMerge w:val="restart"/>
          </w:tcPr>
          <w:p>
            <w:pPr>
              <w:jc w:val="center"/>
              <w:ind w:right="460"/>
              <w:spacing w:after="0"/>
              <w:rPr>
                <w:sz w:val="20"/>
                <w:szCs w:val="20"/>
                <w:color w:val="auto"/>
              </w:rPr>
            </w:pPr>
            <w:r>
              <w:rPr>
                <w:rFonts w:ascii="Arial" w:cs="Arial" w:eastAsia="Arial" w:hAnsi="Arial"/>
                <w:sz w:val="18"/>
                <w:szCs w:val="18"/>
                <w:color w:val="auto"/>
              </w:rPr>
              <w:t>Significant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10"/>
              <w:spacing w:after="0" w:line="176" w:lineRule="exact"/>
              <w:rPr>
                <w:sz w:val="20"/>
                <w:szCs w:val="20"/>
                <w:color w:val="auto"/>
              </w:rPr>
            </w:pPr>
            <w:r>
              <w:rPr>
                <w:rFonts w:ascii="Arial" w:cs="Arial" w:eastAsia="Arial" w:hAnsi="Arial"/>
                <w:sz w:val="18"/>
                <w:szCs w:val="18"/>
                <w:color w:val="auto"/>
              </w:rPr>
              <w:t>Other</w:t>
            </w:r>
          </w:p>
        </w:tc>
        <w:tc>
          <w:tcPr>
            <w:tcW w:w="22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Carrying</w:t>
            </w:r>
          </w:p>
        </w:tc>
        <w:tc>
          <w:tcPr>
            <w:tcW w:w="166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9"/>
              </w:rPr>
              <w:t>Active Markets for</w:t>
            </w:r>
          </w:p>
        </w:tc>
        <w:tc>
          <w:tcPr>
            <w:tcW w:w="240" w:type="dxa"/>
            <w:vAlign w:val="bottom"/>
          </w:tcPr>
          <w:p>
            <w:pPr>
              <w:spacing w:after="0"/>
              <w:rPr>
                <w:sz w:val="15"/>
                <w:szCs w:val="15"/>
                <w:color w:val="auto"/>
              </w:rPr>
            </w:pPr>
          </w:p>
        </w:tc>
        <w:tc>
          <w:tcPr>
            <w:tcW w:w="118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9"/>
              </w:rPr>
              <w:t>Observable</w:t>
            </w:r>
          </w:p>
        </w:tc>
        <w:tc>
          <w:tcPr>
            <w:tcW w:w="220" w:type="dxa"/>
            <w:vAlign w:val="bottom"/>
          </w:tcPr>
          <w:p>
            <w:pPr>
              <w:spacing w:after="0"/>
              <w:rPr>
                <w:sz w:val="15"/>
                <w:szCs w:val="15"/>
                <w:color w:val="auto"/>
              </w:rPr>
            </w:pPr>
          </w:p>
        </w:tc>
        <w:tc>
          <w:tcPr>
            <w:tcW w:w="1660" w:type="dxa"/>
            <w:vAlign w:val="bottom"/>
            <w:gridSpan w:val="2"/>
          </w:tcPr>
          <w:p>
            <w:pPr>
              <w:jc w:val="center"/>
              <w:ind w:right="460"/>
              <w:spacing w:after="0" w:line="176" w:lineRule="exact"/>
              <w:rPr>
                <w:sz w:val="20"/>
                <w:szCs w:val="20"/>
                <w:color w:val="auto"/>
              </w:rPr>
            </w:pPr>
            <w:r>
              <w:rPr>
                <w:rFonts w:ascii="Arial" w:cs="Arial" w:eastAsia="Arial" w:hAnsi="Arial"/>
                <w:sz w:val="18"/>
                <w:szCs w:val="18"/>
                <w:color w:val="auto"/>
              </w:rPr>
              <w:t>Unobservable</w:t>
            </w:r>
          </w:p>
        </w:tc>
        <w:tc>
          <w:tcPr>
            <w:tcW w:w="800" w:type="dxa"/>
            <w:vAlign w:val="bottom"/>
            <w:vMerge w:val="restart"/>
          </w:tcPr>
          <w:p>
            <w:pPr>
              <w:jc w:val="right"/>
              <w:ind w:right="25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9"/>
              </w:rPr>
              <w:t>Identical Assets</w:t>
            </w:r>
          </w:p>
        </w:tc>
        <w:tc>
          <w:tcPr>
            <w:tcW w:w="240" w:type="dxa"/>
            <w:vAlign w:val="bottom"/>
          </w:tcPr>
          <w:p>
            <w:pPr>
              <w:spacing w:after="0"/>
              <w:rPr>
                <w:sz w:val="15"/>
                <w:szCs w:val="15"/>
                <w:color w:val="auto"/>
              </w:rPr>
            </w:pPr>
          </w:p>
        </w:tc>
        <w:tc>
          <w:tcPr>
            <w:tcW w:w="1180" w:type="dxa"/>
            <w:vAlign w:val="bottom"/>
          </w:tcPr>
          <w:p>
            <w:pPr>
              <w:jc w:val="center"/>
              <w:ind w:right="110"/>
              <w:spacing w:after="0" w:line="176" w:lineRule="exact"/>
              <w:rPr>
                <w:sz w:val="20"/>
                <w:szCs w:val="20"/>
                <w:color w:val="auto"/>
              </w:rPr>
            </w:pPr>
            <w:r>
              <w:rPr>
                <w:rFonts w:ascii="Arial" w:cs="Arial" w:eastAsia="Arial" w:hAnsi="Arial"/>
                <w:sz w:val="18"/>
                <w:szCs w:val="18"/>
                <w:color w:val="auto"/>
              </w:rPr>
              <w:t>Inputs</w:t>
            </w:r>
          </w:p>
        </w:tc>
        <w:tc>
          <w:tcPr>
            <w:tcW w:w="220" w:type="dxa"/>
            <w:vAlign w:val="bottom"/>
          </w:tcPr>
          <w:p>
            <w:pPr>
              <w:spacing w:after="0"/>
              <w:rPr>
                <w:sz w:val="15"/>
                <w:szCs w:val="15"/>
                <w:color w:val="auto"/>
              </w:rPr>
            </w:pPr>
          </w:p>
        </w:tc>
        <w:tc>
          <w:tcPr>
            <w:tcW w:w="1660" w:type="dxa"/>
            <w:vAlign w:val="bottom"/>
            <w:gridSpan w:val="2"/>
          </w:tcPr>
          <w:p>
            <w:pPr>
              <w:jc w:val="center"/>
              <w:ind w:right="460"/>
              <w:spacing w:after="0" w:line="176" w:lineRule="exact"/>
              <w:rPr>
                <w:sz w:val="20"/>
                <w:szCs w:val="20"/>
                <w:color w:val="auto"/>
              </w:rPr>
            </w:pPr>
            <w:r>
              <w:rPr>
                <w:rFonts w:ascii="Arial" w:cs="Arial" w:eastAsia="Arial" w:hAnsi="Arial"/>
                <w:sz w:val="18"/>
                <w:szCs w:val="18"/>
                <w:color w:val="auto"/>
                <w:w w:val="97"/>
              </w:rPr>
              <w:t>Inputs</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(Level 1)</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9"/>
              </w:rPr>
              <w:t>(Level 2)</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color w:val="auto"/>
                <w:w w:val="99"/>
              </w:rPr>
              <w:t>(Level 3)</w:t>
            </w: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2020</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Risk-management instruments: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36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rPr>
              <w:t>Interest rate contracts designated as fair value</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hedges: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182.4</w:t>
            </w:r>
          </w:p>
        </w:tc>
        <w:tc>
          <w:tcPr>
            <w:tcW w:w="140" w:type="dxa"/>
            <w:vAlign w:val="bottom"/>
          </w:tcPr>
          <w:p>
            <w:pPr>
              <w:ind w:left="2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Pr>
          <w:p>
            <w:pPr>
              <w:ind w:left="12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182.4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gridSpan w:val="2"/>
          </w:tcPr>
          <w:p>
            <w:pPr>
              <w:ind w:left="1100"/>
              <w:spacing w:after="0"/>
              <w:rPr>
                <w:sz w:val="20"/>
                <w:szCs w:val="20"/>
                <w:color w:val="auto"/>
              </w:rPr>
            </w:pPr>
            <w:r>
              <w:rPr>
                <w:rFonts w:ascii="Arial" w:cs="Arial" w:eastAsia="Arial" w:hAnsi="Arial"/>
                <w:sz w:val="18"/>
                <w:szCs w:val="18"/>
                <w:b w:val="1"/>
                <w:bCs w:val="1"/>
                <w:color w:val="auto"/>
              </w:rPr>
              <w:t>—  $</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182.4</w:t>
            </w: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rPr>
              <w:t>Interest rate contracts designated as cash flow</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hedges: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21.1</w:t>
            </w:r>
          </w:p>
        </w:tc>
        <w:tc>
          <w:tcPr>
            <w:tcW w:w="140" w:type="dxa"/>
            <w:vAlign w:val="bottom"/>
          </w:tcPr>
          <w:p>
            <w:pPr>
              <w:spacing w:after="0"/>
              <w:rPr>
                <w:sz w:val="19"/>
                <w:szCs w:val="19"/>
                <w:color w:val="auto"/>
              </w:rPr>
            </w:pPr>
          </w:p>
        </w:tc>
        <w:tc>
          <w:tcPr>
            <w:tcW w:w="1520" w:type="dxa"/>
            <w:vAlign w:val="bottom"/>
          </w:tcPr>
          <w:p>
            <w:pPr>
              <w:ind w:left="12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21.1</w:t>
            </w:r>
          </w:p>
        </w:tc>
        <w:tc>
          <w:tcPr>
            <w:tcW w:w="220" w:type="dxa"/>
            <w:vAlign w:val="bottom"/>
          </w:tcPr>
          <w:p>
            <w:pPr>
              <w:spacing w:after="0"/>
              <w:rPr>
                <w:sz w:val="19"/>
                <w:szCs w:val="19"/>
                <w:color w:val="auto"/>
              </w:rPr>
            </w:pPr>
          </w:p>
        </w:tc>
        <w:tc>
          <w:tcPr>
            <w:tcW w:w="1660" w:type="dxa"/>
            <w:vAlign w:val="bottom"/>
            <w:gridSpan w:val="2"/>
          </w:tcPr>
          <w:p>
            <w:pPr>
              <w:ind w:left="110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21.1</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ind w:left="124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(201.8)</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10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175"/>
        </w:trPr>
        <w:tc>
          <w:tcPr>
            <w:tcW w:w="4360" w:type="dxa"/>
            <w:vAlign w:val="bottom"/>
          </w:tcPr>
          <w:p>
            <w:pPr>
              <w:ind w:left="380"/>
              <w:spacing w:after="0" w:line="176" w:lineRule="exact"/>
              <w:rPr>
                <w:sz w:val="20"/>
                <w:szCs w:val="20"/>
                <w:color w:val="auto"/>
              </w:rPr>
            </w:pPr>
            <w:r>
              <w:rPr>
                <w:rFonts w:ascii="Arial" w:cs="Arial" w:eastAsia="Arial" w:hAnsi="Arial"/>
                <w:sz w:val="18"/>
                <w:szCs w:val="18"/>
                <w:color w:val="auto"/>
              </w:rPr>
              <w:t>Cross-currency interest rate contracts designated</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80"/>
              <w:spacing w:after="0"/>
              <w:rPr>
                <w:sz w:val="20"/>
                <w:szCs w:val="20"/>
                <w:color w:val="auto"/>
              </w:rPr>
            </w:pPr>
            <w:r>
              <w:rPr>
                <w:rFonts w:ascii="Arial" w:cs="Arial" w:eastAsia="Arial" w:hAnsi="Arial"/>
                <w:sz w:val="18"/>
                <w:szCs w:val="18"/>
                <w:color w:val="auto"/>
              </w:rPr>
              <w:t>as net investment hedges: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2.2</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ind w:left="124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10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30"/>
        </w:trPr>
        <w:tc>
          <w:tcPr>
            <w:tcW w:w="436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34.1</w:t>
            </w:r>
          </w:p>
        </w:tc>
        <w:tc>
          <w:tcPr>
            <w:tcW w:w="140" w:type="dxa"/>
            <w:vAlign w:val="bottom"/>
          </w:tcPr>
          <w:p>
            <w:pPr>
              <w:spacing w:after="0"/>
              <w:rPr>
                <w:sz w:val="19"/>
                <w:szCs w:val="19"/>
                <w:color w:val="auto"/>
              </w:rPr>
            </w:pPr>
          </w:p>
        </w:tc>
        <w:tc>
          <w:tcPr>
            <w:tcW w:w="1520" w:type="dxa"/>
            <w:vAlign w:val="bottom"/>
          </w:tcPr>
          <w:p>
            <w:pPr>
              <w:ind w:left="12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34.1</w:t>
            </w:r>
          </w:p>
        </w:tc>
        <w:tc>
          <w:tcPr>
            <w:tcW w:w="220" w:type="dxa"/>
            <w:vAlign w:val="bottom"/>
          </w:tcPr>
          <w:p>
            <w:pPr>
              <w:spacing w:after="0"/>
              <w:rPr>
                <w:sz w:val="19"/>
                <w:szCs w:val="19"/>
                <w:color w:val="auto"/>
              </w:rPr>
            </w:pPr>
          </w:p>
        </w:tc>
        <w:tc>
          <w:tcPr>
            <w:tcW w:w="1660" w:type="dxa"/>
            <w:vAlign w:val="bottom"/>
            <w:gridSpan w:val="2"/>
          </w:tcPr>
          <w:p>
            <w:pPr>
              <w:ind w:left="110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34.1</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(30.3)</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ind w:left="124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(30.3)</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10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(30.3)</w:t>
            </w:r>
          </w:p>
        </w:tc>
        <w:tc>
          <w:tcPr>
            <w:tcW w:w="0" w:type="dxa"/>
            <w:vAlign w:val="bottom"/>
          </w:tcPr>
          <w:p>
            <w:pPr>
              <w:spacing w:after="0"/>
              <w:rPr>
                <w:sz w:val="1"/>
                <w:szCs w:val="1"/>
                <w:color w:val="auto"/>
              </w:rPr>
            </w:pPr>
          </w:p>
        </w:tc>
      </w:tr>
      <w:tr>
        <w:trPr>
          <w:trHeight w:val="229"/>
        </w:trPr>
        <w:tc>
          <w:tcPr>
            <w:tcW w:w="436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(43.6)</w:t>
            </w:r>
          </w:p>
        </w:tc>
        <w:tc>
          <w:tcPr>
            <w:tcW w:w="140" w:type="dxa"/>
            <w:vAlign w:val="bottom"/>
          </w:tcPr>
          <w:p>
            <w:pPr>
              <w:spacing w:after="0"/>
              <w:rPr>
                <w:sz w:val="19"/>
                <w:szCs w:val="19"/>
                <w:color w:val="auto"/>
              </w:rPr>
            </w:pPr>
          </w:p>
        </w:tc>
        <w:tc>
          <w:tcPr>
            <w:tcW w:w="1520" w:type="dxa"/>
            <w:vAlign w:val="bottom"/>
          </w:tcPr>
          <w:p>
            <w:pPr>
              <w:ind w:left="12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(43.6)</w:t>
            </w:r>
          </w:p>
        </w:tc>
        <w:tc>
          <w:tcPr>
            <w:tcW w:w="220" w:type="dxa"/>
            <w:vAlign w:val="bottom"/>
          </w:tcPr>
          <w:p>
            <w:pPr>
              <w:spacing w:after="0"/>
              <w:rPr>
                <w:sz w:val="19"/>
                <w:szCs w:val="19"/>
                <w:color w:val="auto"/>
              </w:rPr>
            </w:pPr>
          </w:p>
        </w:tc>
        <w:tc>
          <w:tcPr>
            <w:tcW w:w="1660" w:type="dxa"/>
            <w:vAlign w:val="bottom"/>
            <w:gridSpan w:val="2"/>
          </w:tcPr>
          <w:p>
            <w:pPr>
              <w:ind w:left="110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(43.6)</w:t>
            </w: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rPr>
              <w:t>Cross-currency interest rate contracts designated</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as cash flow hedges: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5.5</w:t>
            </w:r>
          </w:p>
        </w:tc>
        <w:tc>
          <w:tcPr>
            <w:tcW w:w="140" w:type="dxa"/>
            <w:vAlign w:val="bottom"/>
          </w:tcPr>
          <w:p>
            <w:pPr>
              <w:spacing w:after="0"/>
              <w:rPr>
                <w:sz w:val="19"/>
                <w:szCs w:val="19"/>
                <w:color w:val="auto"/>
              </w:rPr>
            </w:pPr>
          </w:p>
        </w:tc>
        <w:tc>
          <w:tcPr>
            <w:tcW w:w="1520" w:type="dxa"/>
            <w:vAlign w:val="bottom"/>
          </w:tcPr>
          <w:p>
            <w:pPr>
              <w:ind w:left="12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5.5</w:t>
            </w:r>
          </w:p>
        </w:tc>
        <w:tc>
          <w:tcPr>
            <w:tcW w:w="220" w:type="dxa"/>
            <w:vAlign w:val="bottom"/>
          </w:tcPr>
          <w:p>
            <w:pPr>
              <w:spacing w:after="0"/>
              <w:rPr>
                <w:sz w:val="19"/>
                <w:szCs w:val="19"/>
                <w:color w:val="auto"/>
              </w:rPr>
            </w:pPr>
          </w:p>
        </w:tc>
        <w:tc>
          <w:tcPr>
            <w:tcW w:w="1660" w:type="dxa"/>
            <w:vAlign w:val="bottom"/>
            <w:gridSpan w:val="2"/>
          </w:tcPr>
          <w:p>
            <w:pPr>
              <w:ind w:left="110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(26.4)</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ind w:left="124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(26.4)</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10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(26.4)</w:t>
            </w:r>
          </w:p>
        </w:tc>
        <w:tc>
          <w:tcPr>
            <w:tcW w:w="0" w:type="dxa"/>
            <w:vAlign w:val="bottom"/>
          </w:tcPr>
          <w:p>
            <w:pPr>
              <w:spacing w:after="0"/>
              <w:rPr>
                <w:sz w:val="1"/>
                <w:szCs w:val="1"/>
                <w:color w:val="auto"/>
              </w:rPr>
            </w:pPr>
          </w:p>
        </w:tc>
      </w:tr>
      <w:tr>
        <w:trPr>
          <w:trHeight w:val="175"/>
        </w:trPr>
        <w:tc>
          <w:tcPr>
            <w:tcW w:w="4360" w:type="dxa"/>
            <w:vAlign w:val="bottom"/>
          </w:tcPr>
          <w:p>
            <w:pPr>
              <w:ind w:left="380"/>
              <w:spacing w:after="0" w:line="176" w:lineRule="exact"/>
              <w:rPr>
                <w:sz w:val="20"/>
                <w:szCs w:val="20"/>
                <w:color w:val="auto"/>
              </w:rPr>
            </w:pPr>
            <w:r>
              <w:rPr>
                <w:rFonts w:ascii="Arial" w:cs="Arial" w:eastAsia="Arial" w:hAnsi="Arial"/>
                <w:sz w:val="18"/>
                <w:szCs w:val="18"/>
                <w:color w:val="auto"/>
              </w:rPr>
              <w:t>Foreign exchange contracts not designated as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80"/>
              <w:spacing w:after="0"/>
              <w:rPr>
                <w:sz w:val="20"/>
                <w:szCs w:val="20"/>
                <w:color w:val="auto"/>
              </w:rPr>
            </w:pPr>
            <w:r>
              <w:rPr>
                <w:rFonts w:ascii="Arial" w:cs="Arial" w:eastAsia="Arial" w:hAnsi="Arial"/>
                <w:sz w:val="18"/>
                <w:szCs w:val="18"/>
                <w:color w:val="auto"/>
              </w:rPr>
              <w:t>hedging instruments: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8.5</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ind w:left="124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8.5</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10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0" w:type="dxa"/>
            <w:vAlign w:val="bottom"/>
          </w:tcPr>
          <w:p>
            <w:pPr>
              <w:spacing w:after="0"/>
              <w:rPr>
                <w:sz w:val="1"/>
                <w:szCs w:val="1"/>
                <w:color w:val="auto"/>
              </w:rPr>
            </w:pPr>
          </w:p>
        </w:tc>
      </w:tr>
      <w:tr>
        <w:trPr>
          <w:trHeight w:val="230"/>
        </w:trPr>
        <w:tc>
          <w:tcPr>
            <w:tcW w:w="436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(16.4)</w:t>
            </w:r>
          </w:p>
        </w:tc>
        <w:tc>
          <w:tcPr>
            <w:tcW w:w="140" w:type="dxa"/>
            <w:vAlign w:val="bottom"/>
          </w:tcPr>
          <w:p>
            <w:pPr>
              <w:spacing w:after="0"/>
              <w:rPr>
                <w:sz w:val="19"/>
                <w:szCs w:val="19"/>
                <w:color w:val="auto"/>
              </w:rPr>
            </w:pPr>
          </w:p>
        </w:tc>
        <w:tc>
          <w:tcPr>
            <w:tcW w:w="1520" w:type="dxa"/>
            <w:vAlign w:val="bottom"/>
          </w:tcPr>
          <w:p>
            <w:pPr>
              <w:ind w:left="12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(16.4)</w:t>
            </w:r>
          </w:p>
        </w:tc>
        <w:tc>
          <w:tcPr>
            <w:tcW w:w="220" w:type="dxa"/>
            <w:vAlign w:val="bottom"/>
          </w:tcPr>
          <w:p>
            <w:pPr>
              <w:spacing w:after="0"/>
              <w:rPr>
                <w:sz w:val="19"/>
                <w:szCs w:val="19"/>
                <w:color w:val="auto"/>
              </w:rPr>
            </w:pPr>
          </w:p>
        </w:tc>
        <w:tc>
          <w:tcPr>
            <w:tcW w:w="1660" w:type="dxa"/>
            <w:vAlign w:val="bottom"/>
            <w:gridSpan w:val="2"/>
          </w:tcPr>
          <w:p>
            <w:pPr>
              <w:ind w:left="110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(16.4)</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December 31, 2019</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Risk-management instruments: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60" w:type="dxa"/>
            <w:vAlign w:val="bottom"/>
          </w:tcPr>
          <w:p>
            <w:pPr>
              <w:ind w:left="380"/>
              <w:spacing w:after="0" w:line="176" w:lineRule="exact"/>
              <w:rPr>
                <w:sz w:val="20"/>
                <w:szCs w:val="20"/>
                <w:color w:val="auto"/>
              </w:rPr>
            </w:pPr>
            <w:r>
              <w:rPr>
                <w:rFonts w:ascii="Arial" w:cs="Arial" w:eastAsia="Arial" w:hAnsi="Arial"/>
                <w:sz w:val="18"/>
                <w:szCs w:val="18"/>
                <w:color w:val="auto"/>
              </w:rPr>
              <w:t>Interest rate contracts designated as fair value</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380"/>
              <w:spacing w:after="0"/>
              <w:rPr>
                <w:sz w:val="20"/>
                <w:szCs w:val="20"/>
                <w:color w:val="auto"/>
              </w:rPr>
            </w:pPr>
            <w:r>
              <w:rPr>
                <w:rFonts w:ascii="Arial" w:cs="Arial" w:eastAsia="Arial" w:hAnsi="Arial"/>
                <w:sz w:val="18"/>
                <w:szCs w:val="18"/>
                <w:color w:val="auto"/>
              </w:rPr>
              <w:t>hedges: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72.0</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72.0</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175"/>
        </w:trPr>
        <w:tc>
          <w:tcPr>
            <w:tcW w:w="4360" w:type="dxa"/>
            <w:vAlign w:val="bottom"/>
          </w:tcPr>
          <w:p>
            <w:pPr>
              <w:ind w:left="380"/>
              <w:spacing w:after="0" w:line="176" w:lineRule="exact"/>
              <w:rPr>
                <w:sz w:val="20"/>
                <w:szCs w:val="20"/>
                <w:color w:val="auto"/>
              </w:rPr>
            </w:pPr>
            <w:r>
              <w:rPr>
                <w:rFonts w:ascii="Arial" w:cs="Arial" w:eastAsia="Arial" w:hAnsi="Arial"/>
                <w:sz w:val="18"/>
                <w:szCs w:val="18"/>
                <w:color w:val="auto"/>
              </w:rPr>
              <w:t>Interest rate contracts designated as cash flow</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80"/>
              <w:spacing w:after="0"/>
              <w:rPr>
                <w:sz w:val="20"/>
                <w:szCs w:val="20"/>
                <w:color w:val="auto"/>
              </w:rPr>
            </w:pPr>
            <w:r>
              <w:rPr>
                <w:rFonts w:ascii="Arial" w:cs="Arial" w:eastAsia="Arial" w:hAnsi="Arial"/>
                <w:sz w:val="18"/>
                <w:szCs w:val="18"/>
                <w:color w:val="auto"/>
              </w:rPr>
              <w:t>hedges: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43.3</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43.3</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175"/>
        </w:trPr>
        <w:tc>
          <w:tcPr>
            <w:tcW w:w="4360" w:type="dxa"/>
            <w:vAlign w:val="bottom"/>
          </w:tcPr>
          <w:p>
            <w:pPr>
              <w:ind w:left="380"/>
              <w:spacing w:after="0" w:line="176" w:lineRule="exact"/>
              <w:rPr>
                <w:sz w:val="20"/>
                <w:szCs w:val="20"/>
                <w:color w:val="auto"/>
              </w:rPr>
            </w:pPr>
            <w:r>
              <w:rPr>
                <w:rFonts w:ascii="Arial" w:cs="Arial" w:eastAsia="Arial" w:hAnsi="Arial"/>
                <w:sz w:val="18"/>
                <w:szCs w:val="18"/>
                <w:color w:val="auto"/>
              </w:rPr>
              <w:t>Cross-currency interest rate contracts designated</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80"/>
              <w:spacing w:after="0"/>
              <w:rPr>
                <w:sz w:val="20"/>
                <w:szCs w:val="20"/>
                <w:color w:val="auto"/>
              </w:rPr>
            </w:pPr>
            <w:r>
              <w:rPr>
                <w:rFonts w:ascii="Arial" w:cs="Arial" w:eastAsia="Arial" w:hAnsi="Arial"/>
                <w:sz w:val="18"/>
                <w:szCs w:val="18"/>
                <w:color w:val="auto"/>
              </w:rPr>
              <w:t>as net investment hedges: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45.1</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45.1</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30"/>
        </w:trPr>
        <w:tc>
          <w:tcPr>
            <w:tcW w:w="436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19"/>
                <w:szCs w:val="19"/>
                <w:color w:val="auto"/>
              </w:rPr>
            </w:pPr>
          </w:p>
        </w:tc>
        <w:tc>
          <w:tcPr>
            <w:tcW w:w="1520" w:type="dxa"/>
            <w:vAlign w:val="bottom"/>
          </w:tcPr>
          <w:p>
            <w:pPr>
              <w:ind w:left="1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Pr>
          <w:p>
            <w:pPr>
              <w:spacing w:after="0"/>
              <w:rPr>
                <w:sz w:val="19"/>
                <w:szCs w:val="19"/>
                <w:color w:val="auto"/>
              </w:rPr>
            </w:pPr>
          </w:p>
        </w:tc>
        <w:tc>
          <w:tcPr>
            <w:tcW w:w="16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75"/>
        </w:trPr>
        <w:tc>
          <w:tcPr>
            <w:tcW w:w="4360" w:type="dxa"/>
            <w:vAlign w:val="bottom"/>
          </w:tcPr>
          <w:p>
            <w:pPr>
              <w:ind w:left="380"/>
              <w:spacing w:after="0" w:line="176" w:lineRule="exact"/>
              <w:rPr>
                <w:sz w:val="20"/>
                <w:szCs w:val="20"/>
                <w:color w:val="auto"/>
              </w:rPr>
            </w:pPr>
            <w:r>
              <w:rPr>
                <w:rFonts w:ascii="Arial" w:cs="Arial" w:eastAsia="Arial" w:hAnsi="Arial"/>
                <w:sz w:val="18"/>
                <w:szCs w:val="18"/>
                <w:color w:val="auto"/>
              </w:rPr>
              <w:t>Cross-currency interest rate contracts designated</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80"/>
              <w:spacing w:after="0"/>
              <w:rPr>
                <w:sz w:val="20"/>
                <w:szCs w:val="20"/>
                <w:color w:val="auto"/>
              </w:rPr>
            </w:pPr>
            <w:r>
              <w:rPr>
                <w:rFonts w:ascii="Arial" w:cs="Arial" w:eastAsia="Arial" w:hAnsi="Arial"/>
                <w:sz w:val="18"/>
                <w:szCs w:val="18"/>
                <w:color w:val="auto"/>
              </w:rPr>
              <w:t>as cash flow hedges: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436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19"/>
                <w:szCs w:val="19"/>
                <w:color w:val="auto"/>
              </w:rPr>
            </w:pPr>
          </w:p>
        </w:tc>
        <w:tc>
          <w:tcPr>
            <w:tcW w:w="1520" w:type="dxa"/>
            <w:vAlign w:val="bottom"/>
          </w:tcPr>
          <w:p>
            <w:pPr>
              <w:ind w:left="1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w:t>
            </w:r>
          </w:p>
        </w:tc>
        <w:tc>
          <w:tcPr>
            <w:tcW w:w="220" w:type="dxa"/>
            <w:vAlign w:val="bottom"/>
          </w:tcPr>
          <w:p>
            <w:pPr>
              <w:spacing w:after="0"/>
              <w:rPr>
                <w:sz w:val="19"/>
                <w:szCs w:val="19"/>
                <w:color w:val="auto"/>
              </w:rPr>
            </w:pPr>
          </w:p>
        </w:tc>
        <w:tc>
          <w:tcPr>
            <w:tcW w:w="16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rPr>
              <w:t>Foreign exchange contracts not designated as</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hedging instruments: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40"/>
              <w:spacing w:after="0"/>
              <w:rPr>
                <w:sz w:val="20"/>
                <w:szCs w:val="20"/>
                <w:color w:val="auto"/>
              </w:rPr>
            </w:pPr>
            <w:r>
              <w:rPr>
                <w:rFonts w:ascii="Arial" w:cs="Arial" w:eastAsia="Arial" w:hAnsi="Arial"/>
                <w:sz w:val="18"/>
                <w:szCs w:val="18"/>
                <w:color w:val="auto"/>
              </w:rPr>
              <w:t>Other receivables</w:t>
            </w:r>
          </w:p>
        </w:tc>
        <w:tc>
          <w:tcPr>
            <w:tcW w:w="1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9"/>
                <w:szCs w:val="19"/>
                <w:color w:val="auto"/>
              </w:rPr>
            </w:pPr>
          </w:p>
        </w:tc>
        <w:tc>
          <w:tcPr>
            <w:tcW w:w="1520" w:type="dxa"/>
            <w:vAlign w:val="bottom"/>
          </w:tcPr>
          <w:p>
            <w:pPr>
              <w:ind w:left="1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19"/>
                <w:szCs w:val="19"/>
                <w:color w:val="auto"/>
              </w:rPr>
            </w:pPr>
          </w:p>
        </w:tc>
        <w:tc>
          <w:tcPr>
            <w:tcW w:w="16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881"/>
        </w:trPr>
        <w:tc>
          <w:tcPr>
            <w:tcW w:w="4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gridSpan w:val="2"/>
          </w:tcPr>
          <w:p>
            <w:pPr>
              <w:ind w:left="4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3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25" w:name="page26"/>
    <w:bookmarkEnd w:id="25"/>
    <w:p>
      <w:pPr>
        <w:ind w:right="120"/>
        <w:spacing w:after="0" w:line="264"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enforceable master netting arrangements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6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 changes from orderly transactions. The fair values of equity method investments and investments measured under the measurement alternative for equity investments that do not have readily determinable fair values are not readily available. As of September 30, 2020, we had approximately $615 million of unfunded commitments to invest in venture capital funds, which we anticipate will be paid over a period of up to 10 years.</w:t>
      </w:r>
    </w:p>
    <w:p>
      <w:pPr>
        <w:spacing w:after="0" w:line="68"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September 30,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1040" w:type="dxa"/>
            <w:vAlign w:val="bottom"/>
          </w:tcPr>
          <w:p>
            <w:pPr>
              <w:jc w:val="center"/>
              <w:ind w:right="102"/>
              <w:spacing w:after="0" w:line="142" w:lineRule="exact"/>
              <w:rPr>
                <w:sz w:val="20"/>
                <w:szCs w:val="20"/>
                <w:color w:val="auto"/>
              </w:rPr>
            </w:pPr>
            <w:r>
              <w:rPr>
                <w:rFonts w:ascii="Arial" w:cs="Arial" w:eastAsia="Arial" w:hAnsi="Arial"/>
                <w:sz w:val="14"/>
                <w:szCs w:val="14"/>
                <w:b w:val="1"/>
                <w:bCs w:val="1"/>
                <w:color w:val="auto"/>
              </w:rPr>
              <w:t>Less Than</w:t>
            </w:r>
          </w:p>
        </w:tc>
        <w:tc>
          <w:tcPr>
            <w:tcW w:w="400" w:type="dxa"/>
            <w:vAlign w:val="bottom"/>
          </w:tcPr>
          <w:p>
            <w:pPr>
              <w:spacing w:after="0"/>
              <w:rPr>
                <w:sz w:val="12"/>
                <w:szCs w:val="12"/>
                <w:color w:val="auto"/>
              </w:rPr>
            </w:pPr>
          </w:p>
        </w:tc>
        <w:tc>
          <w:tcPr>
            <w:tcW w:w="1080" w:type="dxa"/>
            <w:vAlign w:val="bottom"/>
          </w:tcPr>
          <w:p>
            <w:pPr>
              <w:jc w:val="center"/>
              <w:ind w:right="302"/>
              <w:spacing w:after="0" w:line="142" w:lineRule="exact"/>
              <w:rPr>
                <w:sz w:val="20"/>
                <w:szCs w:val="20"/>
                <w:color w:val="auto"/>
              </w:rPr>
            </w:pPr>
            <w:r>
              <w:rPr>
                <w:rFonts w:ascii="Arial" w:cs="Arial" w:eastAsia="Arial" w:hAnsi="Arial"/>
                <w:sz w:val="14"/>
                <w:szCs w:val="14"/>
                <w:b w:val="1"/>
                <w:bCs w:val="1"/>
                <w:color w:val="auto"/>
              </w:rPr>
              <w:t>1-5</w:t>
            </w:r>
          </w:p>
        </w:tc>
        <w:tc>
          <w:tcPr>
            <w:tcW w:w="280" w:type="dxa"/>
            <w:vAlign w:val="bottom"/>
          </w:tcPr>
          <w:p>
            <w:pPr>
              <w:spacing w:after="0"/>
              <w:rPr>
                <w:sz w:val="12"/>
                <w:szCs w:val="12"/>
                <w:color w:val="auto"/>
              </w:rPr>
            </w:pPr>
          </w:p>
        </w:tc>
        <w:tc>
          <w:tcPr>
            <w:tcW w:w="1000" w:type="dxa"/>
            <w:vAlign w:val="bottom"/>
          </w:tcPr>
          <w:p>
            <w:pPr>
              <w:jc w:val="right"/>
              <w:ind w:right="422"/>
              <w:spacing w:after="0" w:line="142" w:lineRule="exact"/>
              <w:rPr>
                <w:sz w:val="20"/>
                <w:szCs w:val="20"/>
                <w:color w:val="auto"/>
              </w:rPr>
            </w:pPr>
            <w:r>
              <w:rPr>
                <w:rFonts w:ascii="Arial" w:cs="Arial" w:eastAsia="Arial" w:hAnsi="Arial"/>
                <w:sz w:val="14"/>
                <w:szCs w:val="14"/>
                <w:b w:val="1"/>
                <w:bCs w:val="1"/>
                <w:color w:val="auto"/>
              </w:rPr>
              <w:t>6-10</w:t>
            </w:r>
          </w:p>
        </w:tc>
        <w:tc>
          <w:tcPr>
            <w:tcW w:w="280" w:type="dxa"/>
            <w:vAlign w:val="bottom"/>
          </w:tcPr>
          <w:p>
            <w:pPr>
              <w:spacing w:after="0"/>
              <w:rPr>
                <w:sz w:val="12"/>
                <w:szCs w:val="12"/>
                <w:color w:val="auto"/>
              </w:rPr>
            </w:pPr>
          </w:p>
        </w:tc>
        <w:tc>
          <w:tcPr>
            <w:tcW w:w="1060" w:type="dxa"/>
            <w:vAlign w:val="bottom"/>
          </w:tcPr>
          <w:p>
            <w:pPr>
              <w:jc w:val="center"/>
              <w:ind w:right="102"/>
              <w:spacing w:after="0" w:line="142"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6"/>
        </w:trPr>
        <w:tc>
          <w:tcPr>
            <w:tcW w:w="44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9"/>
              </w:rPr>
              <w:t>1 Year</w:t>
            </w: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10 Years</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debt securities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361.2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4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110.2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94.0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net gains recognized in our consolidated condensed statements of operations for equity securities were $142.5 million and $884.7 million for the three and nine months ended September 30, 2020, respectively, and $26.4 million and $182.4 million for the three and nine months ended September 30, 2019, respectively. The net gains/losses recognized during the three and nine months ended September 30, 2020 and 2019 on equity securities sold during the respective periods were not material.</w:t>
      </w:r>
    </w:p>
    <w:p>
      <w:pPr>
        <w:spacing w:after="0" w:line="61"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We adjust our equity investments without readily determinable fair values based upon changes in the equity instruments' values resulting from observable price changes in orderly transactions for an identical or similar investment of the same issuer. Downward adjustments resulting from an impairment are recorded based upon impairment considerations, including the financial condition and near term prospects of the issuer, general market conditions, and industry specific factors. Adjustments recorded during the three and nine months ended September 30, 2020 and 2019 were not material.</w:t>
      </w:r>
    </w:p>
    <w:p>
      <w:pPr>
        <w:spacing w:after="0" w:line="67" w:lineRule="exact"/>
        <w:rPr>
          <w:sz w:val="20"/>
          <w:szCs w:val="20"/>
          <w:color w:val="auto"/>
        </w:rPr>
      </w:pPr>
    </w:p>
    <w:p>
      <w:pPr>
        <w:ind w:right="420"/>
        <w:spacing w:after="0" w:line="292" w:lineRule="auto"/>
        <w:rPr>
          <w:sz w:val="20"/>
          <w:szCs w:val="20"/>
          <w:color w:val="auto"/>
        </w:rPr>
      </w:pPr>
      <w:r>
        <w:rPr>
          <w:rFonts w:ascii="Arial" w:cs="Arial" w:eastAsia="Arial" w:hAnsi="Arial"/>
          <w:sz w:val="18"/>
          <w:szCs w:val="18"/>
          <w:color w:val="auto"/>
        </w:rPr>
        <w:t>A summary of the fair value of available-for-sale securities in an unrealized gain or loss position and the amount of unrealized gains and losses in accumulated other comprehensive loss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8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September 30, 2020</w:t>
            </w: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gross gains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20.8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Unrealized gross losses</w:t>
            </w:r>
          </w:p>
        </w:tc>
        <w:tc>
          <w:tcPr>
            <w:tcW w:w="1800" w:type="dxa"/>
            <w:vAlign w:val="bottom"/>
          </w:tcPr>
          <w:p>
            <w:pPr>
              <w:spacing w:after="0"/>
              <w:rPr>
                <w:sz w:val="19"/>
                <w:szCs w:val="19"/>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b w:val="1"/>
                <w:bCs w:val="1"/>
                <w:color w:val="auto"/>
              </w:rPr>
              <w:t>0.8</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securities in an unrealized gain position</w:t>
            </w:r>
          </w:p>
        </w:tc>
        <w:tc>
          <w:tcPr>
            <w:tcW w:w="18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335.4</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w:t>
            </w:r>
          </w:p>
        </w:tc>
      </w:tr>
      <w:tr>
        <w:trPr>
          <w:trHeight w:val="253"/>
        </w:trPr>
        <w:tc>
          <w:tcPr>
            <w:tcW w:w="5860" w:type="dxa"/>
            <w:vAlign w:val="bottom"/>
          </w:tcPr>
          <w:p>
            <w:pPr>
              <w:ind w:left="20"/>
              <w:spacing w:after="0"/>
              <w:rPr>
                <w:sz w:val="20"/>
                <w:szCs w:val="20"/>
                <w:color w:val="auto"/>
              </w:rPr>
            </w:pPr>
            <w:r>
              <w:rPr>
                <w:rFonts w:ascii="Arial" w:cs="Arial" w:eastAsia="Arial" w:hAnsi="Arial"/>
                <w:sz w:val="18"/>
                <w:szCs w:val="18"/>
                <w:color w:val="auto"/>
              </w:rPr>
              <w:t>Fair value of securities in an unrealized loss position</w:t>
            </w:r>
          </w:p>
        </w:tc>
        <w:tc>
          <w:tcPr>
            <w:tcW w:w="18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b w:val="1"/>
                <w:bCs w:val="1"/>
                <w:color w:val="auto"/>
              </w:rPr>
              <w:t>25.7</w:t>
            </w: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141.1</w:t>
            </w:r>
          </w:p>
        </w:tc>
      </w:tr>
    </w:tbl>
    <w:p>
      <w:pPr>
        <w:spacing w:after="0" w:line="200" w:lineRule="exact"/>
        <w:rPr>
          <w:sz w:val="20"/>
          <w:szCs w:val="20"/>
          <w:color w:val="auto"/>
        </w:rPr>
      </w:pPr>
    </w:p>
    <w:p>
      <w:pPr>
        <w:spacing w:after="0" w:line="213" w:lineRule="exact"/>
        <w:rPr>
          <w:sz w:val="20"/>
          <w:szCs w:val="20"/>
          <w:color w:val="auto"/>
        </w:rPr>
      </w:pPr>
    </w:p>
    <w:p>
      <w:pPr>
        <w:ind w:right="400"/>
        <w:spacing w:after="0" w:line="292" w:lineRule="auto"/>
        <w:rPr>
          <w:sz w:val="20"/>
          <w:szCs w:val="20"/>
          <w:color w:val="auto"/>
        </w:rPr>
      </w:pPr>
      <w:r>
        <w:rPr>
          <w:rFonts w:ascii="Arial" w:cs="Arial" w:eastAsia="Arial" w:hAnsi="Arial"/>
          <w:sz w:val="18"/>
          <w:szCs w:val="18"/>
          <w:color w:val="auto"/>
        </w:rPr>
        <w:t>We periodically assess our investment in available-for-sale securities for other-than-temporary impairment losses. Other-than-temporary impairment losses were not material in the three and nine months ended September 30, 2020 and 2019.</w:t>
      </w:r>
    </w:p>
    <w:p>
      <w:pPr>
        <w:spacing w:after="0" w:line="3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debt securities, the amount of credit losses are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 Credit losses related to debt securities were not material in the three and nine months ended September 30, 2020.</w:t>
      </w:r>
    </w:p>
    <w:p>
      <w:pPr>
        <w:spacing w:after="0" w:line="6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September 30, 2020, the available-for-sale securities in an unrealized loss position include primarily fixed-rate debt securities of varying maturities, which are sensitive to changes in the yield curve and other market conditions. Approximately 94 percent of the fixed-rate debt securities in a loss position are investment-grade debt securities. As of September 30, 2020, we do not intend to sell, and it is not more likely than not that we will be required to sell, the</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4" w:right="359" w:bottom="1440" w:gutter="0" w:footer="0" w:header="0"/>
        </w:sectPr>
      </w:pPr>
    </w:p>
    <w:bookmarkStart w:id="26" w:name="page27"/>
    <w:bookmarkEnd w:id="26"/>
    <w:p>
      <w:pPr>
        <w:ind w:right="220"/>
        <w:spacing w:after="0" w:line="292" w:lineRule="auto"/>
        <w:rPr>
          <w:sz w:val="20"/>
          <w:szCs w:val="20"/>
          <w:color w:val="auto"/>
        </w:rPr>
      </w:pPr>
      <w:r>
        <w:rPr>
          <w:rFonts w:ascii="Arial" w:cs="Arial" w:eastAsia="Arial" w:hAnsi="Arial"/>
          <w:sz w:val="18"/>
          <w:szCs w:val="18"/>
          <w:color w:val="auto"/>
        </w:rPr>
        <w:t>securities in a loss position before the market values recover or the underlying cash flows have been received, and there is no indication of default on interest or principal payments for any of our debt securities.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our available-for-sale securities, was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3"/>
          </w:tcPr>
          <w:p>
            <w:pPr>
              <w:jc w:val="right"/>
              <w:ind w:right="295"/>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880" w:type="dxa"/>
            <w:vAlign w:val="bottom"/>
            <w:gridSpan w:val="3"/>
          </w:tcPr>
          <w:p>
            <w:pPr>
              <w:jc w:val="right"/>
              <w:ind w:right="295"/>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69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515"/>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6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r>
      <w:tr>
        <w:trPr>
          <w:trHeight w:val="223"/>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14.0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46.5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246.8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w:t>
            </w: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Realized gross gains on sales</w:t>
            </w:r>
          </w:p>
        </w:tc>
        <w:tc>
          <w:tcPr>
            <w:tcW w:w="2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8"/>
                <w:szCs w:val="18"/>
                <w:b w:val="1"/>
                <w:bCs w:val="1"/>
                <w:color w:val="auto"/>
              </w:rPr>
              <w:t>0.4</w:t>
            </w:r>
          </w:p>
        </w:tc>
        <w:tc>
          <w:tcPr>
            <w:tcW w:w="320" w:type="dxa"/>
            <w:vAlign w:val="bottom"/>
          </w:tcPr>
          <w:p>
            <w:pPr>
              <w:spacing w:after="0"/>
              <w:rPr>
                <w:sz w:val="19"/>
                <w:szCs w:val="19"/>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8"/>
                <w:szCs w:val="18"/>
                <w:b w:val="1"/>
                <w:bCs w:val="1"/>
                <w:color w:val="auto"/>
              </w:rPr>
              <w:t>4.0</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gross losses on sales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0.2</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8.2</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bl>
    <w:p>
      <w:pPr>
        <w:spacing w:after="0" w:line="200" w:lineRule="exact"/>
        <w:rPr>
          <w:sz w:val="20"/>
          <w:szCs w:val="20"/>
          <w:color w:val="auto"/>
        </w:rPr>
      </w:pPr>
    </w:p>
    <w:p>
      <w:pPr>
        <w:spacing w:after="0" w:line="236" w:lineRule="exact"/>
        <w:rPr>
          <w:sz w:val="20"/>
          <w:szCs w:val="20"/>
          <w:color w:val="auto"/>
        </w:rPr>
      </w:pPr>
    </w:p>
    <w:p>
      <w:pPr>
        <w:ind w:right="620"/>
        <w:spacing w:after="0" w:line="292" w:lineRule="auto"/>
        <w:rPr>
          <w:sz w:val="20"/>
          <w:szCs w:val="20"/>
          <w:color w:val="auto"/>
        </w:rPr>
      </w:pPr>
      <w:r>
        <w:rPr>
          <w:rFonts w:ascii="Arial" w:cs="Arial" w:eastAsia="Arial" w:hAnsi="Arial"/>
          <w:sz w:val="18"/>
          <w:szCs w:val="18"/>
          <w:color w:val="auto"/>
        </w:rPr>
        <w:t>Realized gains and losses on sales of available-for-sale investments are computed based upon specific identification of the initial cost adjusted for any other-than-temporary declines in fair value that were recorded in earnings.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Factoring Arrangements</w:t>
      </w:r>
    </w:p>
    <w:p>
      <w:pPr>
        <w:spacing w:after="0" w:line="11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$708.1 million and $678.8 million of accounts receivable as of September 30, 2020 and December 31, 2019, respectively, under these factoring arrangements. The costs of factoring such accounts receivable on our consolidated condensed results of operations for the three and nine months ended September 30, 2020 and 2019 were not material.</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73"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effective tax rate was 15.9 percent for the three months ended September 30, 2020, compared with 10.8 percent for the three months ended September 30, 2019. The effective tax rate was 14.4 percent for the nine months ended September 30, 2020, compared with 12.8 percent for the nine months ended September 30, 2019. The higher effective tax rates for the three and nine months ended September 30, 2020 were driven primarily by a mix of earnings in higher tax jurisdictions and a lower net discrete tax benefit compared to the same period in 2019.</w:t>
      </w:r>
    </w:p>
    <w:p>
      <w:pPr>
        <w:spacing w:after="0" w:line="67"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During the fourth quarter of 2019, the Internal Revenue Service began its examination of tax years 2016-2018. Because this examination is still in the early stages of information gathering, the resolution of the audit will likely extend beyond the next 12 months.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9: Retirement Benefits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Net pension and retiree health benefit (income) cost included the following components: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4"/>
                <w:szCs w:val="14"/>
                <w:b w:val="1"/>
                <w:bCs w:val="1"/>
                <w:color w:val="auto"/>
              </w:rPr>
              <w:t>Defined Benefit Pension Plans</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3"/>
        </w:trPr>
        <w:tc>
          <w:tcPr>
            <w:tcW w:w="60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r>
      <w:tr>
        <w:trPr>
          <w:trHeight w:val="209"/>
        </w:trPr>
        <w:tc>
          <w:tcPr>
            <w:tcW w:w="6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r>
      <w:tr>
        <w:trPr>
          <w:trHeight w:val="22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 cost: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30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b w:val="1"/>
                <w:bCs w:val="1"/>
                <w:color w:val="auto"/>
              </w:rPr>
              <w:t>81.7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62.4</w:t>
            </w:r>
          </w:p>
        </w:tc>
        <w:tc>
          <w:tcPr>
            <w:tcW w:w="340" w:type="dxa"/>
            <w:vAlign w:val="bottom"/>
          </w:tcPr>
          <w:p>
            <w:pPr>
              <w:jc w:val="right"/>
              <w:ind w:right="76"/>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b w:val="1"/>
                <w:bCs w:val="1"/>
                <w:color w:val="auto"/>
              </w:rPr>
              <w:t>243.4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187.8</w:t>
            </w:r>
          </w:p>
        </w:tc>
      </w:tr>
      <w:tr>
        <w:trPr>
          <w:trHeight w:val="230"/>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106.6</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121.0</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319.0</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w:t>
            </w:r>
          </w:p>
        </w:tc>
      </w:tr>
      <w:tr>
        <w:trPr>
          <w:trHeight w:val="229"/>
        </w:trPr>
        <w:tc>
          <w:tcPr>
            <w:tcW w:w="606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(229.5)</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(208.9)</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(671.4)</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(630.2)</w:t>
            </w:r>
          </w:p>
        </w:tc>
      </w:tr>
      <w:tr>
        <w:trPr>
          <w:trHeight w:val="229"/>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1.1</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3.2</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6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Recognized actuarial loss</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58.4</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70.9</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286.5</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w:t>
            </w:r>
          </w:p>
        </w:tc>
      </w:tr>
      <w:tr>
        <w:trPr>
          <w:trHeight w:val="230"/>
        </w:trPr>
        <w:tc>
          <w:tcPr>
            <w:tcW w:w="6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periodic benefit cost</w:t>
            </w:r>
          </w:p>
        </w:tc>
        <w:tc>
          <w:tcPr>
            <w:tcW w:w="3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18.3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46.9</w:t>
            </w:r>
          </w:p>
        </w:tc>
        <w:tc>
          <w:tcPr>
            <w:tcW w:w="3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180.7</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r>
      <w:tr>
        <w:trPr>
          <w:trHeight w:val="405"/>
        </w:trPr>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4"/>
                <w:szCs w:val="14"/>
                <w:b w:val="1"/>
                <w:bCs w:val="1"/>
                <w:color w:val="auto"/>
              </w:rPr>
              <w:t>Retiree Health Benefit Plans</w:t>
            </w: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83"/>
        </w:trPr>
        <w:tc>
          <w:tcPr>
            <w:tcW w:w="6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r>
      <w:tr>
        <w:trPr>
          <w:trHeight w:val="209"/>
        </w:trPr>
        <w:tc>
          <w:tcPr>
            <w:tcW w:w="6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r>
      <w:tr>
        <w:trPr>
          <w:trHeight w:val="22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 income:</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30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b w:val="1"/>
                <w:bCs w:val="1"/>
                <w:color w:val="auto"/>
              </w:rPr>
              <w:t>10.2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9.1</w:t>
            </w:r>
          </w:p>
        </w:tc>
        <w:tc>
          <w:tcPr>
            <w:tcW w:w="340" w:type="dxa"/>
            <w:vAlign w:val="bottom"/>
          </w:tcPr>
          <w:p>
            <w:pPr>
              <w:jc w:val="right"/>
              <w:ind w:right="76"/>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b w:val="1"/>
                <w:bCs w:val="1"/>
                <w:color w:val="auto"/>
              </w:rPr>
              <w:t>30.6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29"/>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10.9</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14.5</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32.8</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30"/>
        </w:trPr>
        <w:tc>
          <w:tcPr>
            <w:tcW w:w="606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(40.3)</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(35.9)</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(115.1)</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(107.8)</w:t>
            </w:r>
          </w:p>
        </w:tc>
      </w:tr>
      <w:tr>
        <w:trPr>
          <w:trHeight w:val="229"/>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prior service benefit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(51.6)</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r>
      <w:tr>
        <w:trPr>
          <w:trHeight w:val="230"/>
        </w:trPr>
        <w:tc>
          <w:tcPr>
            <w:tcW w:w="6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Recognized actuarial loss</w:t>
            </w: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0.7</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0.4</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2.1</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6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periodic benefit income</w:t>
            </w: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3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(101.2)</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r>
    </w:tbl>
    <w:p>
      <w:pPr>
        <w:spacing w:after="0" w:line="18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contributed approximately $20 million to satisfy minimum funding requirements to our defined benefit pension and retiree health benefit plans during the nine months ended September 30, 2020. We contributed $200 million in discretionary funding during the nine months ended September 30, 2020. During the remainder of 2020, we expect to make contributions of approximately $5 million to our defined benefit pension and retiree health plans to satisfy minimum funding requirements.</w:t>
      </w:r>
    </w:p>
    <w:p>
      <w:pPr>
        <w:spacing w:after="0" w:line="6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Effective during the third quarter of 2020, we adopted a voluntary change in our method of applying an accounting principle for certain of our retirement benefit plans. The new accounting method changes the computation of expected returns on U.S. Dollar denominated investment grade debt securities and derivatives in such plans from a calculated value that includes changes in the fair values over a period of five years to actual fair value. This change in accounting principle is preferable because changes in the fair value of this class of assets will be amortized into net periodic pension and retiree health cost sooner. No change is being made to the accounting principle for the other classes of pension assets. The impact of the adoption of this change in accounting method was not material to our historical and current financial statements.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10: Contingencies</w:t>
      </w:r>
    </w:p>
    <w:p>
      <w:pPr>
        <w:spacing w:after="0" w:line="119"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We are a party to various legal actions and government investigations. The most significant of these are described below. It is not possible to determine the outcome of these matters, and we cannot reasonably estimate the maximum potential exposure or the range of possible loss in excess of amounts accrued for any of these matters; however, we believe that, except as noted below with respect to the U.S. Alimta patent litigation, the resolution of all such matters will not have a material adverse effect on our consolidated financial position or liquidity, but could possibly be material to our consolidated results of operations in any one accounting period.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Litigation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Alimta Patent Litigation and Administrative Proceedings</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 number of manufacturers are seeking approvals in the U.S., a number of countries in Europe, and Japan to market generic forms of Alimta prior to the expiration of our vitamin regimen patents, alleging that those patents are invalid, not infringed, or both. We believe our Alimta vitamin regimen patents are valid and enforceable against these generic manufacturers. However, it is not possible to determine the ultimate outcome of the proceedings, and accordingly, we can provide no assurance that we will prevail. An unfavorable outcome in the U.S. could have a material adverse impact on our future consolidated results of operations, liquidity, and financial position. We expect that a loss of exclusivity for Alimta in any of the below jurisdictions would result in a rapid and severe decline in future revenue for the product in the relevant market.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Patent Litigation</w:t>
      </w:r>
    </w:p>
    <w:p>
      <w:pPr>
        <w:spacing w:after="0" w:line="11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Alimta is protected by a vitamin regimen patent until 2021, plus pediatric exclusivity through May 2022. In June 2018, the U.S. District Court for the Southern District of Indiana ruled in our favor in two cases, finding Dr. Reddy's Laboratories, Ltd. and Dr. Reddy's Laboratories, Inc.'s (collectively, Dr. Reddy) and Hospira, Inc.'s (Hospira) proposed products using an alternative form of pemetrexed (the active ingredient in Alimta) would infringe our method of use patent under the doctrine of equivalents. In August 2019, the U.S. Court of Appeals for the Federal Circuit affirmed that ruling, and in November 2019, the appeals court denied Dr. Reddy and Hospira’s petition for a rehearing. In June 2020, the U.S. Supreme Court denied Dr. Reddy and Hospira’s petitions to review the case and this litigation has ended.</w:t>
      </w:r>
    </w:p>
    <w:p>
      <w:pPr>
        <w:spacing w:after="0" w:line="69"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We have one additional lawsuit pending in federal court in which we allege infringement against Apotex Inc. (Apotex) in response to its application to market products using alternative forms of pemetrexed. In December 2019, the U.S. District Court for the Southern District of Indiana granted our motion for summary judgment of infringement under the doctrine of equivalents against Apotex. Apotex has appealed that ruling to the U.S. Court of Appeals for the Federal Circuit, with argument scheduled in November 2020. We had filed a similar lawsuit against Actavis LLC in the U.S. District Court for the Southern District of Indiana, which has been administratively closed.</w:t>
      </w:r>
    </w:p>
    <w:p>
      <w:pPr>
        <w:spacing w:after="0" w:line="67" w:lineRule="exact"/>
        <w:rPr>
          <w:sz w:val="20"/>
          <w:szCs w:val="20"/>
          <w:color w:val="auto"/>
        </w:rPr>
      </w:pPr>
    </w:p>
    <w:p>
      <w:pPr>
        <w:jc w:val="both"/>
        <w:ind w:right="540"/>
        <w:spacing w:after="0" w:line="271" w:lineRule="auto"/>
        <w:rPr>
          <w:sz w:val="20"/>
          <w:szCs w:val="20"/>
          <w:color w:val="auto"/>
        </w:rPr>
      </w:pPr>
      <w:r>
        <w:rPr>
          <w:rFonts w:ascii="Arial" w:cs="Arial" w:eastAsia="Arial" w:hAnsi="Arial"/>
          <w:sz w:val="18"/>
          <w:szCs w:val="18"/>
          <w:color w:val="auto"/>
        </w:rPr>
        <w:t>In December 2019, we settled a lawsuit we filed against Eagle Pharmaceuticals, Inc. (Eagle) in response to its application to market a product using an alternative form of pemetrexed. Per the settlement agreement, Eagle has a limited initial entry into the market with its product starting February 2022 (up to an approximate three-week supply) and subsequent unlimited entry starting April 2022.</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Patent Litigation</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Legal proceedings are ongoing regarding our Alimta patents in various national courts throughout Europe. We are aware that several companies have received approval to market generic versions of pemetrexed in major European markets (including generics currently on the market at risk in France and the Netherlands) and that additional generic competitors may choose to launch at risk. Following a final decision in the Supreme Court of Germany in July 2020 overturning the lower court and upholding the validity of our Alimta patent, several generics that were on the market at risk left. We have removed the remaining generics from the market by obtaining preliminary injunctions in our favor. In September 2020, the Paris Court of First Instance in France issued a final decision upholding the validity of our Alimta patent and found infringement by Fresenius Kabi’s (Kabi) pemetrexed product. The court issued an injunction against Kabi and provisionally awarded us damages. We will continue to pursue injunctions to remove remaining generics from the market in France. In late October 2020, the Court of Appeal of the Netherlands ruled in Lilly's favor and reinstated an order against Kabi prohibiting it from continuing to market its generic pemetrexed product in the Netherlands. Kabi's generic pemetrexed product was the only at risk generic on the market in the Netherlands.</w:t>
      </w:r>
    </w:p>
    <w:p>
      <w:pPr>
        <w:spacing w:after="0" w:line="69" w:lineRule="exact"/>
        <w:rPr>
          <w:sz w:val="20"/>
          <w:szCs w:val="20"/>
          <w:color w:val="auto"/>
        </w:rPr>
      </w:pPr>
    </w:p>
    <w:p>
      <w:pPr>
        <w:jc w:val="both"/>
        <w:ind w:right="380"/>
        <w:spacing w:after="0" w:line="271" w:lineRule="auto"/>
        <w:rPr>
          <w:sz w:val="20"/>
          <w:szCs w:val="20"/>
          <w:color w:val="auto"/>
        </w:rPr>
      </w:pPr>
      <w:r>
        <w:rPr>
          <w:rFonts w:ascii="Arial" w:cs="Arial" w:eastAsia="Arial" w:hAnsi="Arial"/>
          <w:sz w:val="18"/>
          <w:szCs w:val="18"/>
          <w:color w:val="auto"/>
        </w:rPr>
        <w:t>Our vitamin regimen patents have also been challenged in other smaller European jurisdictions. We will continue to seek to remove any generic pemetrexed products launched at risk in other European markets, seek damages with respect to such launches, and defend our patents against validity challenges.</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4"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Japanese Administrative Proceedings</w:t>
      </w:r>
    </w:p>
    <w:p>
      <w:pPr>
        <w:spacing w:after="0" w:line="11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Three separate sets of demands for invalidation of our two Japanese vitamin regimen patents, involving several companies, have been filed with the Japanese Patent Office (JPO). The JPO has rejected demands for invalidation by Sawai Pharmaceutical Co., Ltd. and Nipro Corporation, and both rejections have been affirmed on appeal. In October 2020, the JPO issued notices closing the last remaining set of demands brought by Hospira, and Hospira has requested withdrawal of its demands for invalidation. These patents provide intellectual property protection for Alimta until June 2021. Notwithstanding our patents, generic versions of Alimta received regulatory approval in Japan starting in February 2016. We do not currently anticipate that generic versions of Alimta will proceed to pricing approval prior to our patent’s expiration.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Jardiance Patent Litigation</w:t>
      </w:r>
    </w:p>
    <w:p>
      <w:pPr>
        <w:spacing w:after="0" w:line="115"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Boehringer Ingelheim, our partner in marketing and development of Jardiance, initiated U.S. patent litigation in the U.S. District Court of Delaware involving Jardiance, Glyxambi, and Synjardy in accordance with the procedures set out in the Drug Price Competition and Patent Term Restoration Act of 1984 (the Hatch-Waxman Act). Several companies submitted Abbreviated New Drug Applications seeking approval to market generic versions of Jardiance prior to the expiration of the relevant patents, alleging certain patents, including in some allegations the compound patent, are invalid or would not be infringed. Trial is scheduled for April 2021.</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Taltz Patent Litigation</w:t>
      </w:r>
    </w:p>
    <w:p>
      <w:pPr>
        <w:spacing w:after="0" w:line="11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were named as a defendant in litigation filed by Genentech, Inc. (Genentech) in Germany seeking a ruling that Genentech’s patent would be infringed by our continued sales of Taltz in Germany. After it sold its patent rights to Novartis Pharma AG (Novartis) in June 2020, Genentech withdrew its infringement litigation and Novartis subsequently filed litigation against us in Germany asserting infringement based on sales of Taltz. We expect a trial to assess Novartis’ German infringement claims to take place in May 2021. We are also named in litigation in the U.K. in which Genentech asserted similar claims regarding its corresponding U.K. patent. We believe these lawsuits are without merit and are defending against them vigorously.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Emgality Patent Litigation</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We have been named as a defendant in litigation filed by Teva Pharmaceuticals International GMBH and Teva Pharmaceuticals USA, Inc. (collectively, Teva) in the U.S. District Court for the District of Massachusetts seeking a ruling that various claims in nine different Teva patents would be infringed by our launch and continued sales of Emgality for the prevention of migraine in adults. We believe this lawsuit is without merit and are defending against it vigorously. Separately, the U.S. Patent and Trademark Office (USPTO) granted our request to initiate an </w:t>
      </w:r>
      <w:r>
        <w:rPr>
          <w:rFonts w:ascii="Arial" w:cs="Arial" w:eastAsia="Arial" w:hAnsi="Arial"/>
          <w:sz w:val="18"/>
          <w:szCs w:val="18"/>
          <w:i w:val="1"/>
          <w:iCs w:val="1"/>
          <w:color w:val="auto"/>
        </w:rPr>
        <w:t>inter partes review</w:t>
      </w:r>
      <w:r>
        <w:rPr>
          <w:rFonts w:ascii="Arial" w:cs="Arial" w:eastAsia="Arial" w:hAnsi="Arial"/>
          <w:sz w:val="18"/>
          <w:szCs w:val="18"/>
          <w:color w:val="auto"/>
        </w:rPr>
        <w:t xml:space="preserve"> (IPR) to reexamine the validity of the nine Teva patents asserted against us in the litigation. In February 2020, the USPTO ruled in our favor and found that the claims asserted against us in six of Teva's nine patents were invalid. In March 2020, the USPTO ruled against us on the remaining three Teva patents, finding that we failed to show that the remaining three patents were unpatentable based on the subset of invalidity arguments available in an IPR proceeding. We have appealed the USPTO’s March 2020 ruling, and Teva has appealed the USPTO’s February 2020 ruling. We believe these claims are without merit and are defending against them vigorously. The district court litigation will proceed in parallel with the IPR appeals.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Brazil Litigation – Cosmopolis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Attorney Litigation</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subsidiary in Brazil, Eli Lilly do Brasil Limitada (Lilly Brasil), is named in a lawsuit brought by the Labor Attorney for the 15th Region in the Labor Court of Paulinia, State of Sao Paulo, Brazil, alleging possible harm to employees and former employees caused by exposure to heavy metals at a former Lilly Brasil manufacturing facility in Cosmopolis, Brazil, operated by the company between 1977 and 2003. In May 2014, the labor court judge ruled against Lilly Brasil, ordering it to undertake several actions of unspecified financial impact, including paying lifetime health coverage for the employees and contractors who worked at the Cosmopolis facility more than six months during the affected years and their children born during and after this period. We appealed this decision. In July 2018, the appeals court affirmed the labor court's ruling with the total financial impact of the ruling estimated to be approximately 500 million Brazilian real (approximately $90 million as of September 30, 2020). The appeals court restricted the broad health coverage awarded by the labor court to health problems that claimants could show arose from exposure to the alleged contamination. In August 2019, Lilly Brasil filed an appeal to the superior labor court. In September 2019, the appeals court stayed a number of elements of its prior decision, including the obligation to</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30" w:name="page31"/>
    <w:bookmarkEnd w:id="30"/>
    <w:p>
      <w:pPr>
        <w:ind w:right="700"/>
        <w:spacing w:after="0" w:line="292" w:lineRule="auto"/>
        <w:rPr>
          <w:sz w:val="20"/>
          <w:szCs w:val="20"/>
          <w:color w:val="auto"/>
        </w:rPr>
      </w:pPr>
      <w:r>
        <w:rPr>
          <w:rFonts w:ascii="Arial" w:cs="Arial" w:eastAsia="Arial" w:hAnsi="Arial"/>
          <w:sz w:val="18"/>
          <w:szCs w:val="18"/>
          <w:color w:val="auto"/>
        </w:rPr>
        <w:t>provide health coverage for contractors, their children, and children of employees who worked at the Cosmopolis facility, pending the determination of Lilly Brasil’s appeal to the superior labor court.</w:t>
      </w:r>
    </w:p>
    <w:p>
      <w:pPr>
        <w:spacing w:after="0" w:line="3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June 2019, the Labor Attorney filed an application in the labor court for enforcement of the healthcare coverage granted by the appeals court in its July 2018 ruling and requested restrictions on Lilly Brasil’s assets in Brazil. In July 2019, the labor court issued a ruling requiring either a freeze of Lilly Brasil’s immovable property or, alternatively, a security deposit of 500 million Brazilian real. Lilly Brasil filed a writ of mandamus challenging this ruling, but the court stayed its decision on this writ and instead directed the parties to attend conciliation hearings, a process that concluded unsuccessfully in September 2020. The labor court also stayed the Labor Attorney’s application to enforce the previous healthcare coverage ruling until after the appeals court ruled on the various motions pending before it. As the conciliation hearings have been unsuccessful, we have filed a brief to strike the Labor Attorney’s application to enforce the previous healthcare coverage. Lilly Brasil is currently awaiting a determination as to whether its application seeking leave to appeal to the superior labor court has been successful.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We believe all of these lawsuits are without merit and are defending against them vigorously.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Individual Former Employee Litigation</w:t>
      </w:r>
    </w:p>
    <w:p>
      <w:pPr>
        <w:spacing w:after="0" w:line="115" w:lineRule="exact"/>
        <w:rPr>
          <w:sz w:val="20"/>
          <w:szCs w:val="20"/>
          <w:color w:val="auto"/>
        </w:rPr>
      </w:pPr>
    </w:p>
    <w:p>
      <w:pPr>
        <w:jc w:val="both"/>
        <w:ind w:right="160"/>
        <w:spacing w:after="0" w:line="294" w:lineRule="auto"/>
        <w:rPr>
          <w:sz w:val="20"/>
          <w:szCs w:val="20"/>
          <w:color w:val="auto"/>
        </w:rPr>
      </w:pPr>
      <w:r>
        <w:rPr>
          <w:rFonts w:ascii="Arial" w:cs="Arial" w:eastAsia="Arial" w:hAnsi="Arial"/>
          <w:sz w:val="17"/>
          <w:szCs w:val="17"/>
          <w:color w:val="auto"/>
        </w:rPr>
        <w:t>We are also named in approximately 30 lawsuits filed in the same labor court by individual former employees making similar claims. These lawsuits are each at various stages in the litigation process, with judgments being handed down in approximately half of the lawsuits, nearly all of which are on appeal in the labor courts. We believe all of these lawsuits are without merit and are defending against them vigorously.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 Litigation, Investigations, and Inquiries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We, along with Sanofi-Aventis U.S. LLC (Sanofi) and Novo Nordisk, Inc. (Novo Nordisk) are named as defendants in a consolidated purported class action lawsuit, </w:t>
      </w:r>
      <w:r>
        <w:rPr>
          <w:rFonts w:ascii="Arial" w:cs="Arial" w:eastAsia="Arial" w:hAnsi="Arial"/>
          <w:sz w:val="18"/>
          <w:szCs w:val="18"/>
          <w:i w:val="1"/>
          <w:iCs w:val="1"/>
          <w:color w:val="auto"/>
        </w:rPr>
        <w:t>In re. Insulin Pricing Litigation</w:t>
      </w:r>
      <w:r>
        <w:rPr>
          <w:rFonts w:ascii="Arial" w:cs="Arial" w:eastAsia="Arial" w:hAnsi="Arial"/>
          <w:sz w:val="18"/>
          <w:szCs w:val="18"/>
          <w:color w:val="auto"/>
        </w:rPr>
        <w:t xml:space="preserve">, in the U.S. District Court for the District of New Jersey relating to insulin pricing seeking damages under various state consumer protection laws and the Federal Racketeer Influenced and Corrupt Organization Act (federal RICO Act). Separately, we, along with Sanofi and Novo Nordisk, are named as defendants in </w:t>
      </w:r>
      <w:r>
        <w:rPr>
          <w:rFonts w:ascii="Arial" w:cs="Arial" w:eastAsia="Arial" w:hAnsi="Arial"/>
          <w:sz w:val="18"/>
          <w:szCs w:val="18"/>
          <w:i w:val="1"/>
          <w:iCs w:val="1"/>
          <w:color w:val="auto"/>
        </w:rPr>
        <w:t>MSP Recovery Claims, Series, LLC et al. v.</w:t>
      </w:r>
      <w:r>
        <w:rPr>
          <w:rFonts w:ascii="Arial" w:cs="Arial" w:eastAsia="Arial" w:hAnsi="Arial"/>
          <w:sz w:val="18"/>
          <w:szCs w:val="18"/>
          <w:color w:val="auto"/>
        </w:rPr>
        <w:t xml:space="preserve"> </w:t>
      </w:r>
      <w:r>
        <w:rPr>
          <w:rFonts w:ascii="Arial" w:cs="Arial" w:eastAsia="Arial" w:hAnsi="Arial"/>
          <w:sz w:val="18"/>
          <w:szCs w:val="18"/>
          <w:i w:val="1"/>
          <w:iCs w:val="1"/>
          <w:color w:val="auto"/>
        </w:rPr>
        <w:t>Sanofi Aventis U.S. LLC et al.</w:t>
      </w:r>
      <w:r>
        <w:rPr>
          <w:rFonts w:ascii="Arial" w:cs="Arial" w:eastAsia="Arial" w:hAnsi="Arial"/>
          <w:sz w:val="18"/>
          <w:szCs w:val="18"/>
          <w:color w:val="auto"/>
        </w:rPr>
        <w:t>, in the same court, seeking damages under various state consumer protection laws, common law fraud, unjust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enrichment, and the federal RICO Act. In both </w:t>
      </w:r>
      <w:r>
        <w:rPr>
          <w:rFonts w:ascii="Arial" w:cs="Arial" w:eastAsia="Arial" w:hAnsi="Arial"/>
          <w:sz w:val="18"/>
          <w:szCs w:val="18"/>
          <w:i w:val="1"/>
          <w:iCs w:val="1"/>
          <w:color w:val="auto"/>
        </w:rPr>
        <w:t>In re. Insulin Pricing Litigation</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MSP Recovery Claims</w:t>
      </w:r>
      <w:r>
        <w:rPr>
          <w:rFonts w:ascii="Arial" w:cs="Arial" w:eastAsia="Arial" w:hAnsi="Arial"/>
          <w:sz w:val="18"/>
          <w:szCs w:val="18"/>
          <w:color w:val="auto"/>
        </w:rPr>
        <w:t xml:space="preserve"> litigation, the court dismissed claims under the federal RICO Act and certain state laws. Also in the same court, we, along with Sanofi, Novo Nordisk, CVS, Express Scripts, and Optum, have been sued in a purported class action, </w:t>
      </w:r>
      <w:r>
        <w:rPr>
          <w:rFonts w:ascii="Arial" w:cs="Arial" w:eastAsia="Arial" w:hAnsi="Arial"/>
          <w:sz w:val="18"/>
          <w:szCs w:val="18"/>
          <w:i w:val="1"/>
          <w:iCs w:val="1"/>
          <w:color w:val="auto"/>
        </w:rPr>
        <w:t>FWK Holdings, LLC v. Novo Nordisk Inc., et al.</w:t>
      </w:r>
      <w:r>
        <w:rPr>
          <w:rFonts w:ascii="Arial" w:cs="Arial" w:eastAsia="Arial" w:hAnsi="Arial"/>
          <w:sz w:val="18"/>
          <w:szCs w:val="18"/>
          <w:color w:val="auto"/>
        </w:rPr>
        <w:t xml:space="preserve">, for alleged violations of the federal RICO Act as well as the New Jersey RICO Act and anti-trust law. That same group of defendants, along with Medco Health and United Health Group, also have been sued in other purported class actions in the same court, </w:t>
      </w:r>
      <w:r>
        <w:rPr>
          <w:rFonts w:ascii="Arial" w:cs="Arial" w:eastAsia="Arial" w:hAnsi="Arial"/>
          <w:sz w:val="18"/>
          <w:szCs w:val="18"/>
          <w:i w:val="1"/>
          <w:iCs w:val="1"/>
          <w:color w:val="auto"/>
        </w:rPr>
        <w:t>Rochester Drug Co-Operative Inc. v. Eli Lilly &amp;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 et al. </w:t>
      </w:r>
      <w:r>
        <w:rPr>
          <w:rFonts w:ascii="Arial" w:cs="Arial" w:eastAsia="Arial" w:hAnsi="Arial"/>
          <w:sz w:val="18"/>
          <w:szCs w:val="18"/>
          <w:color w:val="auto"/>
        </w:rPr>
        <w:t>and</w:t>
      </w:r>
      <w:r>
        <w:rPr>
          <w:rFonts w:ascii="Arial" w:cs="Arial" w:eastAsia="Arial" w:hAnsi="Arial"/>
          <w:sz w:val="18"/>
          <w:szCs w:val="18"/>
          <w:i w:val="1"/>
          <w:iCs w:val="1"/>
          <w:color w:val="auto"/>
        </w:rPr>
        <w:t xml:space="preserve"> Value Drug Co. v. Eli Lilly &amp; Co. et al.</w:t>
      </w:r>
      <w:r>
        <w:rPr>
          <w:rFonts w:ascii="Arial" w:cs="Arial" w:eastAsia="Arial" w:hAnsi="Arial"/>
          <w:sz w:val="18"/>
          <w:szCs w:val="18"/>
          <w:color w:val="auto"/>
        </w:rPr>
        <w:t>, for alleged violations of the federal RICO Act. In September 2020, the U.S. District Court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the District of New Jersey granted plaintiffs’ motion to consolidate </w:t>
      </w:r>
      <w:r>
        <w:rPr>
          <w:rFonts w:ascii="Arial" w:cs="Arial" w:eastAsia="Arial" w:hAnsi="Arial"/>
          <w:sz w:val="18"/>
          <w:szCs w:val="18"/>
          <w:i w:val="1"/>
          <w:iCs w:val="1"/>
          <w:color w:val="auto"/>
        </w:rPr>
        <w:t>FWK Holdings, LLC v. Novo Nordisk Inc., et al.</w:t>
      </w:r>
      <w:r>
        <w:rPr>
          <w:rFonts w:ascii="Arial" w:cs="Arial" w:eastAsia="Arial" w:hAnsi="Arial"/>
          <w:sz w:val="18"/>
          <w:szCs w:val="18"/>
          <w:color w:val="auto"/>
        </w:rPr>
        <w:t xml:space="preserve">, </w:t>
      </w:r>
      <w:r>
        <w:rPr>
          <w:rFonts w:ascii="Arial" w:cs="Arial" w:eastAsia="Arial" w:hAnsi="Arial"/>
          <w:sz w:val="18"/>
          <w:szCs w:val="18"/>
          <w:i w:val="1"/>
          <w:iCs w:val="1"/>
          <w:color w:val="auto"/>
        </w:rPr>
        <w:t>Rochester Drug Co-Operative Inc. v. Eli Lilly &amp; Co. et al.</w:t>
      </w:r>
      <w:r>
        <w:rPr>
          <w:rFonts w:ascii="Arial" w:cs="Arial" w:eastAsia="Arial" w:hAnsi="Arial"/>
          <w:sz w:val="18"/>
          <w:szCs w:val="18"/>
          <w:color w:val="auto"/>
        </w:rPr>
        <w:t>, and</w:t>
      </w:r>
      <w:r>
        <w:rPr>
          <w:rFonts w:ascii="Arial" w:cs="Arial" w:eastAsia="Arial" w:hAnsi="Arial"/>
          <w:sz w:val="18"/>
          <w:szCs w:val="18"/>
          <w:i w:val="1"/>
          <w:iCs w:val="1"/>
          <w:color w:val="auto"/>
        </w:rPr>
        <w:t xml:space="preserve"> Value Drug Co. v. Eli Lilly &amp; Co. et al.</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Minnesota Attorney General’s Office has initiated litigation against us, Sanofi, and Novo Nordisk, </w:t>
      </w:r>
      <w:r>
        <w:rPr>
          <w:rFonts w:ascii="Arial" w:cs="Arial" w:eastAsia="Arial" w:hAnsi="Arial"/>
          <w:sz w:val="18"/>
          <w:szCs w:val="18"/>
          <w:i w:val="1"/>
          <w:iCs w:val="1"/>
          <w:color w:val="auto"/>
        </w:rPr>
        <w:t>State of Minnesota v. Sanofi-Aventis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U.S. LLC et al., </w:t>
      </w:r>
      <w:r>
        <w:rPr>
          <w:rFonts w:ascii="Arial" w:cs="Arial" w:eastAsia="Arial" w:hAnsi="Arial"/>
          <w:sz w:val="18"/>
          <w:szCs w:val="18"/>
          <w:color w:val="auto"/>
        </w:rPr>
        <w:t>in the U.S. District Court for the District of New Jersey, alleging unjust enrichment, violations of various Minnesota state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consumer protection laws, and the federal RICO Act. Additionally, the Kentucky Attorney General’s Office filed a complaint against us, Sanofi, and Novo Nordisk, </w:t>
      </w:r>
      <w:r>
        <w:rPr>
          <w:rFonts w:ascii="Arial" w:cs="Arial" w:eastAsia="Arial" w:hAnsi="Arial"/>
          <w:sz w:val="18"/>
          <w:szCs w:val="18"/>
          <w:i w:val="1"/>
          <w:iCs w:val="1"/>
          <w:color w:val="auto"/>
        </w:rPr>
        <w:t>Commonwealth of Kentucky v. Novo Nordisk, Inc. et al.</w:t>
      </w:r>
      <w:r>
        <w:rPr>
          <w:rFonts w:ascii="Arial" w:cs="Arial" w:eastAsia="Arial" w:hAnsi="Arial"/>
          <w:sz w:val="18"/>
          <w:szCs w:val="18"/>
          <w:color w:val="auto"/>
        </w:rPr>
        <w:t xml:space="preserve">, in Kentucky state court, alleging violations of the Kentucky consumer protection law, false advertising, and unjust enrichment. Harris County in Texas initiated litigation against us, Sanofi, Novo Nordisk, Express Scripts, CVS, Optum, and Aetna, </w:t>
      </w:r>
      <w:r>
        <w:rPr>
          <w:rFonts w:ascii="Arial" w:cs="Arial" w:eastAsia="Arial" w:hAnsi="Arial"/>
          <w:sz w:val="18"/>
          <w:szCs w:val="18"/>
          <w:i w:val="1"/>
          <w:iCs w:val="1"/>
          <w:color w:val="auto"/>
        </w:rPr>
        <w:t>County of Harris Texas v. Eli Lilly &amp; Co., et al.</w:t>
      </w:r>
      <w:r>
        <w:rPr>
          <w:rFonts w:ascii="Arial" w:cs="Arial" w:eastAsia="Arial" w:hAnsi="Arial"/>
          <w:sz w:val="18"/>
          <w:szCs w:val="18"/>
          <w:color w:val="auto"/>
        </w:rPr>
        <w:t>, in federal court in the Southern District of Texas alleging violations of the federal RICO Act, federal and state anti-trust law, and the state deceptive trade practices-consumer protection act. Harris County also alleges common law claims such as fraud, unjust enrichment, and civil conspiracy. This lawsuit relates to our insulin products as well as Trulicity.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We believe all of these claims are without merit and are defending against them vigorously.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Investigations, Subpoenas, and Inquiries</w:t>
      </w:r>
    </w:p>
    <w:p>
      <w:pPr>
        <w:spacing w:after="0" w:line="115"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We have received a subpoena from the New York Attorney General’s Office and civil investigative demands from the Washington, New Mexico, and Colorado Attorney General Offices relating to the pricing and sale of our insulin products. The Offices of the Attorney General in Mississippi, Washington D.C., California, Florida, Hawaii, and Nevada have requested information relating to the pricing and sale of our insulin products. We also received interrogatories and a subpoena from the California Attorney General's Office regarding our competition in the long-</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31" w:name="page32"/>
    <w:bookmarkEnd w:id="31"/>
    <w:p>
      <w:pPr>
        <w:ind w:right="160"/>
        <w:spacing w:after="0" w:line="260" w:lineRule="auto"/>
        <w:rPr>
          <w:sz w:val="20"/>
          <w:szCs w:val="20"/>
          <w:color w:val="auto"/>
        </w:rPr>
      </w:pPr>
      <w:r>
        <w:rPr>
          <w:rFonts w:ascii="Arial" w:cs="Arial" w:eastAsia="Arial" w:hAnsi="Arial"/>
          <w:sz w:val="18"/>
          <w:szCs w:val="18"/>
          <w:color w:val="auto"/>
        </w:rPr>
        <w:t>acting insulin market. We received two requests from the House of Representatives’ Committee on Energy and Commerce and a request from the Senate’s Committee on Health, Education, Labor, and Pensions, seeking certain information related to the pricing of insulin products, among other issues. We also received requests from the House of Representatives’ Committee on Oversight and Reform and the Senate’s Committee on Finance, which seek detailed commercial information and business records. We are cooperating with all of these aforementioned investigations, subpoenas, and inquiries.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 Liability Insurance</w:t>
      </w:r>
    </w:p>
    <w:p>
      <w:pPr>
        <w:spacing w:after="0" w:line="115"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additional product liability and related claims in the future. Due to a very restrictive market for product liability insurance, we are self-insured for product liability losses for all our currently and previously marketed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Other Comprehensive Income (Loss)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three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2019: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gridSpan w:val="2"/>
            <w:vMerge w:val="restart"/>
          </w:tcPr>
          <w:p>
            <w:pPr>
              <w:jc w:val="center"/>
              <w:ind w:right="17"/>
              <w:spacing w:after="0"/>
              <w:rPr>
                <w:sz w:val="20"/>
                <w:szCs w:val="20"/>
                <w:color w:val="auto"/>
              </w:rPr>
            </w:pPr>
            <w:r>
              <w:rPr>
                <w:rFonts w:ascii="Arial" w:cs="Arial" w:eastAsia="Arial" w:hAnsi="Arial"/>
                <w:sz w:val="13"/>
                <w:szCs w:val="13"/>
                <w:b w:val="1"/>
                <w:bCs w:val="1"/>
                <w:color w:val="auto"/>
                <w:w w:val="95"/>
              </w:rPr>
              <w:t>Foreign Currency</w:t>
            </w:r>
          </w:p>
        </w:tc>
        <w:tc>
          <w:tcPr>
            <w:tcW w:w="200" w:type="dxa"/>
            <w:vAlign w:val="bottom"/>
          </w:tcPr>
          <w:p>
            <w:pPr>
              <w:spacing w:after="0"/>
              <w:rPr>
                <w:sz w:val="13"/>
                <w:szCs w:val="13"/>
                <w:color w:val="auto"/>
              </w:rPr>
            </w:pPr>
          </w:p>
        </w:tc>
        <w:tc>
          <w:tcPr>
            <w:tcW w:w="114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Unrealized Net</w:t>
            </w:r>
          </w:p>
        </w:tc>
        <w:tc>
          <w:tcPr>
            <w:tcW w:w="220" w:type="dxa"/>
            <w:vAlign w:val="bottom"/>
          </w:tcPr>
          <w:p>
            <w:pPr>
              <w:spacing w:after="0"/>
              <w:rPr>
                <w:sz w:val="13"/>
                <w:szCs w:val="13"/>
                <w:color w:val="auto"/>
              </w:rPr>
            </w:pPr>
          </w:p>
        </w:tc>
        <w:tc>
          <w:tcPr>
            <w:tcW w:w="1160" w:type="dxa"/>
            <w:vAlign w:val="bottom"/>
          </w:tcPr>
          <w:p>
            <w:pPr>
              <w:jc w:val="center"/>
              <w:ind w:right="122"/>
              <w:spacing w:after="0"/>
              <w:rPr>
                <w:sz w:val="20"/>
                <w:szCs w:val="20"/>
                <w:color w:val="auto"/>
              </w:rPr>
            </w:pPr>
            <w:r>
              <w:rPr>
                <w:rFonts w:ascii="Arial" w:cs="Arial" w:eastAsia="Arial" w:hAnsi="Arial"/>
                <w:sz w:val="13"/>
                <w:szCs w:val="13"/>
                <w:b w:val="1"/>
                <w:bCs w:val="1"/>
                <w:color w:val="auto"/>
                <w:w w:val="96"/>
              </w:rPr>
              <w:t>Defined Benefit</w:t>
            </w:r>
          </w:p>
        </w:tc>
        <w:tc>
          <w:tcPr>
            <w:tcW w:w="13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Effective Portion</w:t>
            </w: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ind w:right="142"/>
              <w:spacing w:after="0" w:line="122" w:lineRule="exact"/>
              <w:rPr>
                <w:sz w:val="20"/>
                <w:szCs w:val="20"/>
                <w:color w:val="auto"/>
              </w:rPr>
            </w:pPr>
            <w:r>
              <w:rPr>
                <w:rFonts w:ascii="Arial" w:cs="Arial" w:eastAsia="Arial" w:hAnsi="Arial"/>
                <w:sz w:val="13"/>
                <w:szCs w:val="13"/>
                <w:b w:val="1"/>
                <w:bCs w:val="1"/>
                <w:color w:val="auto"/>
                <w:w w:val="95"/>
              </w:rPr>
              <w:t>Pension and</w:t>
            </w:r>
          </w:p>
        </w:tc>
        <w:tc>
          <w:tcPr>
            <w:tcW w:w="1300" w:type="dxa"/>
            <w:vAlign w:val="bottom"/>
            <w:gridSpan w:val="2"/>
            <w:vMerge w:val="continue"/>
          </w:tcPr>
          <w:p>
            <w:pPr>
              <w:spacing w:after="0"/>
              <w:rPr>
                <w:sz w:val="10"/>
                <w:szCs w:val="10"/>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Accumulated Other</w:t>
            </w:r>
          </w:p>
        </w:tc>
        <w:tc>
          <w:tcPr>
            <w:tcW w:w="0" w:type="dxa"/>
            <w:vAlign w:val="bottom"/>
          </w:tcPr>
          <w:p>
            <w:pPr>
              <w:spacing w:after="0"/>
              <w:rPr>
                <w:sz w:val="1"/>
                <w:szCs w:val="1"/>
                <w:color w:val="auto"/>
              </w:rPr>
            </w:pPr>
          </w:p>
        </w:tc>
      </w:tr>
      <w:tr>
        <w:trPr>
          <w:trHeight w:val="122"/>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jc w:val="center"/>
              <w:ind w:right="157"/>
              <w:spacing w:after="0" w:line="122" w:lineRule="exact"/>
              <w:rPr>
                <w:sz w:val="20"/>
                <w:szCs w:val="20"/>
                <w:color w:val="auto"/>
              </w:rPr>
            </w:pPr>
            <w:r>
              <w:rPr>
                <w:rFonts w:ascii="Arial" w:cs="Arial" w:eastAsia="Arial" w:hAnsi="Arial"/>
                <w:sz w:val="13"/>
                <w:szCs w:val="13"/>
                <w:b w:val="1"/>
                <w:bCs w:val="1"/>
                <w:color w:val="auto"/>
                <w:w w:val="96"/>
              </w:rPr>
              <w:t>Translation</w:t>
            </w:r>
          </w:p>
        </w:tc>
        <w:tc>
          <w:tcPr>
            <w:tcW w:w="200" w:type="dxa"/>
            <w:vAlign w:val="bottom"/>
          </w:tcPr>
          <w:p>
            <w:pPr>
              <w:spacing w:after="0"/>
              <w:rPr>
                <w:sz w:val="10"/>
                <w:szCs w:val="10"/>
                <w:color w:val="auto"/>
              </w:rPr>
            </w:pPr>
          </w:p>
        </w:tc>
        <w:tc>
          <w:tcPr>
            <w:tcW w:w="1140" w:type="dxa"/>
            <w:vAlign w:val="bottom"/>
          </w:tcPr>
          <w:p>
            <w:pPr>
              <w:ind w:left="20"/>
              <w:spacing w:after="0" w:line="122" w:lineRule="exact"/>
              <w:rPr>
                <w:sz w:val="20"/>
                <w:szCs w:val="20"/>
                <w:color w:val="auto"/>
              </w:rPr>
            </w:pPr>
            <w:r>
              <w:rPr>
                <w:rFonts w:ascii="Arial" w:cs="Arial" w:eastAsia="Arial" w:hAnsi="Arial"/>
                <w:sz w:val="13"/>
                <w:szCs w:val="13"/>
                <w:b w:val="1"/>
                <w:bCs w:val="1"/>
                <w:color w:val="auto"/>
              </w:rPr>
              <w:t>Gains (Losses)</w:t>
            </w:r>
          </w:p>
        </w:tc>
        <w:tc>
          <w:tcPr>
            <w:tcW w:w="220" w:type="dxa"/>
            <w:vAlign w:val="bottom"/>
          </w:tcPr>
          <w:p>
            <w:pPr>
              <w:spacing w:after="0"/>
              <w:rPr>
                <w:sz w:val="10"/>
                <w:szCs w:val="10"/>
                <w:color w:val="auto"/>
              </w:rPr>
            </w:pPr>
          </w:p>
        </w:tc>
        <w:tc>
          <w:tcPr>
            <w:tcW w:w="1160" w:type="dxa"/>
            <w:vAlign w:val="bottom"/>
          </w:tcPr>
          <w:p>
            <w:pPr>
              <w:jc w:val="center"/>
              <w:ind w:right="142"/>
              <w:spacing w:after="0" w:line="122" w:lineRule="exact"/>
              <w:rPr>
                <w:sz w:val="20"/>
                <w:szCs w:val="20"/>
                <w:color w:val="auto"/>
              </w:rPr>
            </w:pPr>
            <w:r>
              <w:rPr>
                <w:rFonts w:ascii="Arial" w:cs="Arial" w:eastAsia="Arial" w:hAnsi="Arial"/>
                <w:sz w:val="13"/>
                <w:szCs w:val="13"/>
                <w:b w:val="1"/>
                <w:bCs w:val="1"/>
                <w:color w:val="auto"/>
                <w:w w:val="98"/>
              </w:rPr>
              <w:t>Retiree Health</w:t>
            </w:r>
          </w:p>
        </w:tc>
        <w:tc>
          <w:tcPr>
            <w:tcW w:w="220" w:type="dxa"/>
            <w:vAlign w:val="bottom"/>
          </w:tcPr>
          <w:p>
            <w:pPr>
              <w:spacing w:after="0"/>
              <w:rPr>
                <w:sz w:val="10"/>
                <w:szCs w:val="10"/>
                <w:color w:val="auto"/>
              </w:rPr>
            </w:pPr>
          </w:p>
        </w:tc>
        <w:tc>
          <w:tcPr>
            <w:tcW w:w="1080" w:type="dxa"/>
            <w:vAlign w:val="bottom"/>
          </w:tcPr>
          <w:p>
            <w:pPr>
              <w:jc w:val="center"/>
              <w:ind w:right="158"/>
              <w:spacing w:after="0" w:line="122" w:lineRule="exact"/>
              <w:rPr>
                <w:sz w:val="20"/>
                <w:szCs w:val="20"/>
                <w:color w:val="auto"/>
              </w:rPr>
            </w:pPr>
            <w:r>
              <w:rPr>
                <w:rFonts w:ascii="Arial" w:cs="Arial" w:eastAsia="Arial" w:hAnsi="Arial"/>
                <w:sz w:val="13"/>
                <w:szCs w:val="13"/>
                <w:b w:val="1"/>
                <w:bCs w:val="1"/>
                <w:color w:val="auto"/>
                <w:w w:val="98"/>
              </w:rPr>
              <w:t>of Cash Flow</w:t>
            </w: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5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6"/>
              </w:rPr>
              <w:t>Gains (Losses)</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on Securities</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22"/>
              <w:spacing w:after="0"/>
              <w:rPr>
                <w:sz w:val="20"/>
                <w:szCs w:val="20"/>
                <w:color w:val="auto"/>
              </w:rPr>
            </w:pPr>
            <w:r>
              <w:rPr>
                <w:rFonts w:ascii="Arial" w:cs="Arial" w:eastAsia="Arial" w:hAnsi="Arial"/>
                <w:sz w:val="13"/>
                <w:szCs w:val="13"/>
                <w:b w:val="1"/>
                <w:bCs w:val="1"/>
                <w:color w:val="auto"/>
                <w:w w:val="97"/>
              </w:rPr>
              <w:t>Benefit Plans</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58"/>
              <w:spacing w:after="0"/>
              <w:rPr>
                <w:sz w:val="20"/>
                <w:szCs w:val="20"/>
                <w:color w:val="auto"/>
              </w:rPr>
            </w:pPr>
            <w:r>
              <w:rPr>
                <w:rFonts w:ascii="Arial" w:cs="Arial" w:eastAsia="Arial" w:hAnsi="Arial"/>
                <w:sz w:val="13"/>
                <w:szCs w:val="13"/>
                <w:b w:val="1"/>
                <w:bCs w:val="1"/>
                <w:color w:val="auto"/>
                <w:w w:val="93"/>
              </w:rPr>
              <w:t>Hedges</w:t>
            </w: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Balance at July 1, 2020</w:t>
            </w: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7"/>
              <w:spacing w:after="0"/>
              <w:rPr>
                <w:sz w:val="20"/>
                <w:szCs w:val="20"/>
                <w:color w:val="auto"/>
              </w:rPr>
            </w:pPr>
            <w:r>
              <w:rPr>
                <w:rFonts w:ascii="Arial" w:cs="Arial" w:eastAsia="Arial" w:hAnsi="Arial"/>
                <w:sz w:val="18"/>
                <w:szCs w:val="18"/>
                <w:b w:val="1"/>
                <w:bCs w:val="1"/>
                <w:color w:val="auto"/>
              </w:rPr>
              <w:t>(1,722.5)</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40"/>
              <w:spacing w:after="0"/>
              <w:rPr>
                <w:sz w:val="20"/>
                <w:szCs w:val="20"/>
                <w:color w:val="auto"/>
              </w:rPr>
            </w:pPr>
            <w:r>
              <w:rPr>
                <w:rFonts w:ascii="Arial" w:cs="Arial" w:eastAsia="Arial" w:hAnsi="Arial"/>
                <w:sz w:val="18"/>
                <w:szCs w:val="18"/>
                <w:b w:val="1"/>
                <w:bCs w:val="1"/>
                <w:color w:val="auto"/>
              </w:rPr>
              <w:t>15.1</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2"/>
              <w:spacing w:after="0"/>
              <w:rPr>
                <w:sz w:val="20"/>
                <w:szCs w:val="20"/>
                <w:color w:val="auto"/>
              </w:rPr>
            </w:pPr>
            <w:r>
              <w:rPr>
                <w:rFonts w:ascii="Arial" w:cs="Arial" w:eastAsia="Arial" w:hAnsi="Arial"/>
                <w:sz w:val="18"/>
                <w:szCs w:val="18"/>
                <w:b w:val="1"/>
                <w:bCs w:val="1"/>
                <w:color w:val="auto"/>
              </w:rPr>
              <w:t>(4,454.9)</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8"/>
              <w:spacing w:after="0"/>
              <w:rPr>
                <w:sz w:val="20"/>
                <w:szCs w:val="20"/>
                <w:color w:val="auto"/>
              </w:rPr>
            </w:pPr>
            <w:r>
              <w:rPr>
                <w:rFonts w:ascii="Arial" w:cs="Arial" w:eastAsia="Arial" w:hAnsi="Arial"/>
                <w:sz w:val="18"/>
                <w:szCs w:val="18"/>
                <w:b w:val="1"/>
                <w:bCs w:val="1"/>
                <w:color w:val="auto"/>
              </w:rPr>
              <w:t>(520.6)</w:t>
            </w:r>
          </w:p>
        </w:tc>
        <w:tc>
          <w:tcPr>
            <w:tcW w:w="42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(6,682.9)</w:t>
            </w:r>
          </w:p>
        </w:tc>
        <w:tc>
          <w:tcPr>
            <w:tcW w:w="0" w:type="dxa"/>
            <w:vAlign w:val="bottom"/>
          </w:tcPr>
          <w:p>
            <w:pPr>
              <w:spacing w:after="0"/>
              <w:rPr>
                <w:sz w:val="1"/>
                <w:szCs w:val="1"/>
                <w:color w:val="auto"/>
              </w:rPr>
            </w:pPr>
          </w:p>
        </w:tc>
      </w:tr>
      <w:tr>
        <w:trPr>
          <w:trHeight w:val="176"/>
        </w:trPr>
        <w:tc>
          <w:tcPr>
            <w:tcW w:w="45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Other comprehensive income (loss) before</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30.3</w:t>
            </w:r>
          </w:p>
        </w:tc>
        <w:tc>
          <w:tcPr>
            <w:tcW w:w="2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0.8</w:t>
            </w:r>
          </w:p>
        </w:tc>
        <w:tc>
          <w:tcPr>
            <w:tcW w:w="2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(19.6)</w:t>
            </w:r>
          </w:p>
        </w:tc>
        <w:tc>
          <w:tcPr>
            <w:tcW w:w="2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82.9</w:t>
            </w:r>
          </w:p>
        </w:tc>
        <w:tc>
          <w:tcPr>
            <w:tcW w:w="4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94.4</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reclassifications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520" w:type="dxa"/>
            <w:vAlign w:val="bottom"/>
          </w:tcPr>
          <w:p>
            <w:pPr>
              <w:ind w:left="120"/>
              <w:spacing w:after="0" w:line="176" w:lineRule="exact"/>
              <w:rPr>
                <w:sz w:val="20"/>
                <w:szCs w:val="20"/>
                <w:color w:val="auto"/>
              </w:rPr>
            </w:pPr>
            <w:r>
              <w:rPr>
                <w:rFonts w:ascii="Arial" w:cs="Arial" w:eastAsia="Arial" w:hAnsi="Arial"/>
                <w:sz w:val="18"/>
                <w:szCs w:val="18"/>
                <w:color w:val="auto"/>
              </w:rPr>
              <w:t>Net amount reclassified from accumulated other</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ind w:right="57"/>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(0.2)</w:t>
            </w:r>
          </w:p>
        </w:tc>
        <w:tc>
          <w:tcPr>
            <w:tcW w:w="220" w:type="dxa"/>
            <w:vAlign w:val="bottom"/>
          </w:tcPr>
          <w:p>
            <w:pPr>
              <w:spacing w:after="0"/>
              <w:rPr>
                <w:sz w:val="15"/>
                <w:szCs w:val="15"/>
                <w:color w:val="auto"/>
              </w:rPr>
            </w:pPr>
          </w:p>
        </w:tc>
        <w:tc>
          <w:tcPr>
            <w:tcW w:w="1160" w:type="dxa"/>
            <w:vAlign w:val="bottom"/>
            <w:vMerge w:val="restart"/>
          </w:tcPr>
          <w:p>
            <w:pPr>
              <w:jc w:val="right"/>
              <w:ind w:right="62"/>
              <w:spacing w:after="0"/>
              <w:rPr>
                <w:sz w:val="20"/>
                <w:szCs w:val="20"/>
                <w:color w:val="auto"/>
              </w:rPr>
            </w:pPr>
            <w:r>
              <w:rPr>
                <w:rFonts w:ascii="Arial" w:cs="Arial" w:eastAsia="Arial" w:hAnsi="Arial"/>
                <w:sz w:val="18"/>
                <w:szCs w:val="18"/>
                <w:b w:val="1"/>
                <w:bCs w:val="1"/>
                <w:color w:val="auto"/>
              </w:rPr>
              <w:t>30.3</w:t>
            </w:r>
          </w:p>
        </w:tc>
        <w:tc>
          <w:tcPr>
            <w:tcW w:w="220" w:type="dxa"/>
            <w:vAlign w:val="bottom"/>
          </w:tcPr>
          <w:p>
            <w:pPr>
              <w:spacing w:after="0"/>
              <w:rPr>
                <w:sz w:val="15"/>
                <w:szCs w:val="15"/>
                <w:color w:val="auto"/>
              </w:rPr>
            </w:pPr>
          </w:p>
        </w:tc>
        <w:tc>
          <w:tcPr>
            <w:tcW w:w="1080" w:type="dxa"/>
            <w:vAlign w:val="bottom"/>
            <w:vMerge w:val="restart"/>
          </w:tcPr>
          <w:p>
            <w:pPr>
              <w:jc w:val="right"/>
              <w:ind w:right="58"/>
              <w:spacing w:after="0"/>
              <w:rPr>
                <w:sz w:val="20"/>
                <w:szCs w:val="20"/>
                <w:color w:val="auto"/>
              </w:rPr>
            </w:pPr>
            <w:r>
              <w:rPr>
                <w:rFonts w:ascii="Arial" w:cs="Arial" w:eastAsia="Arial" w:hAnsi="Arial"/>
                <w:sz w:val="18"/>
                <w:szCs w:val="18"/>
                <w:b w:val="1"/>
                <w:bCs w:val="1"/>
                <w:color w:val="auto"/>
              </w:rPr>
              <w:t>3.3</w:t>
            </w:r>
          </w:p>
        </w:tc>
        <w:tc>
          <w:tcPr>
            <w:tcW w:w="4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33.4</w:t>
            </w:r>
          </w:p>
        </w:tc>
        <w:tc>
          <w:tcPr>
            <w:tcW w:w="0" w:type="dxa"/>
            <w:vAlign w:val="bottom"/>
          </w:tcPr>
          <w:p>
            <w:pPr>
              <w:spacing w:after="0"/>
              <w:rPr>
                <w:sz w:val="1"/>
                <w:szCs w:val="1"/>
                <w:color w:val="auto"/>
              </w:rPr>
            </w:pPr>
          </w:p>
        </w:tc>
      </w:tr>
      <w:tr>
        <w:trPr>
          <w:trHeight w:val="229"/>
        </w:trPr>
        <w:tc>
          <w:tcPr>
            <w:tcW w:w="4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comprehensive loss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other comprehensive income (loss)</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30.3</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0.6</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b w:val="1"/>
                <w:bCs w:val="1"/>
                <w:color w:val="auto"/>
              </w:rPr>
              <w:t>10.7</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86.2</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127.8</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Balance at September 30, 2020</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(1,692.2)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15.7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b w:val="1"/>
                <w:bCs w:val="1"/>
                <w:color w:val="auto"/>
              </w:rPr>
              <w:t>(4,444.2)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(434.4)</w:t>
            </w: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(6,555.1)</w:t>
            </w:r>
          </w:p>
        </w:tc>
        <w:tc>
          <w:tcPr>
            <w:tcW w:w="0" w:type="dxa"/>
            <w:vAlign w:val="bottom"/>
          </w:tcPr>
          <w:p>
            <w:pPr>
              <w:spacing w:after="0"/>
              <w:rPr>
                <w:sz w:val="1"/>
                <w:szCs w:val="1"/>
                <w:color w:val="auto"/>
              </w:rPr>
            </w:pPr>
          </w:p>
        </w:tc>
      </w:tr>
      <w:tr>
        <w:trPr>
          <w:trHeight w:val="338"/>
        </w:trPr>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Foreign Currency</w:t>
            </w:r>
          </w:p>
        </w:tc>
        <w:tc>
          <w:tcPr>
            <w:tcW w:w="200" w:type="dxa"/>
            <w:vAlign w:val="bottom"/>
          </w:tcPr>
          <w:p>
            <w:pPr>
              <w:spacing w:after="0"/>
              <w:rPr>
                <w:sz w:val="24"/>
                <w:szCs w:val="24"/>
                <w:color w:val="auto"/>
              </w:rPr>
            </w:pPr>
          </w:p>
        </w:tc>
        <w:tc>
          <w:tcPr>
            <w:tcW w:w="1140" w:type="dxa"/>
            <w:vAlign w:val="bottom"/>
            <w:vMerge w:val="restart"/>
          </w:tcPr>
          <w:p>
            <w:pPr>
              <w:jc w:val="right"/>
              <w:ind w:right="120"/>
              <w:spacing w:after="0"/>
              <w:rPr>
                <w:sz w:val="20"/>
                <w:szCs w:val="20"/>
                <w:color w:val="auto"/>
              </w:rPr>
            </w:pPr>
            <w:r>
              <w:rPr>
                <w:rFonts w:ascii="Arial" w:cs="Arial" w:eastAsia="Arial" w:hAnsi="Arial"/>
                <w:sz w:val="13"/>
                <w:szCs w:val="13"/>
                <w:b w:val="1"/>
                <w:bCs w:val="1"/>
                <w:color w:val="auto"/>
              </w:rPr>
              <w:t>Unrealized Net</w:t>
            </w:r>
          </w:p>
        </w:tc>
        <w:tc>
          <w:tcPr>
            <w:tcW w:w="220" w:type="dxa"/>
            <w:vAlign w:val="bottom"/>
          </w:tcPr>
          <w:p>
            <w:pPr>
              <w:spacing w:after="0"/>
              <w:rPr>
                <w:sz w:val="24"/>
                <w:szCs w:val="24"/>
                <w:color w:val="auto"/>
              </w:rPr>
            </w:pPr>
          </w:p>
        </w:tc>
        <w:tc>
          <w:tcPr>
            <w:tcW w:w="1160" w:type="dxa"/>
            <w:vAlign w:val="bottom"/>
          </w:tcPr>
          <w:p>
            <w:pPr>
              <w:jc w:val="center"/>
              <w:ind w:right="82"/>
              <w:spacing w:after="0"/>
              <w:rPr>
                <w:sz w:val="20"/>
                <w:szCs w:val="20"/>
                <w:color w:val="auto"/>
              </w:rPr>
            </w:pPr>
            <w:r>
              <w:rPr>
                <w:rFonts w:ascii="Arial" w:cs="Arial" w:eastAsia="Arial" w:hAnsi="Arial"/>
                <w:sz w:val="13"/>
                <w:szCs w:val="13"/>
                <w:b w:val="1"/>
                <w:bCs w:val="1"/>
                <w:color w:val="auto"/>
                <w:w w:val="96"/>
              </w:rPr>
              <w:t>Defined Benefit</w:t>
            </w:r>
          </w:p>
        </w:tc>
        <w:tc>
          <w:tcPr>
            <w:tcW w:w="13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Effective Portion</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ind w:right="82"/>
              <w:spacing w:after="0" w:line="122" w:lineRule="exact"/>
              <w:rPr>
                <w:sz w:val="20"/>
                <w:szCs w:val="20"/>
                <w:color w:val="auto"/>
              </w:rPr>
            </w:pPr>
            <w:r>
              <w:rPr>
                <w:rFonts w:ascii="Arial" w:cs="Arial" w:eastAsia="Arial" w:hAnsi="Arial"/>
                <w:sz w:val="13"/>
                <w:szCs w:val="13"/>
                <w:b w:val="1"/>
                <w:bCs w:val="1"/>
                <w:color w:val="auto"/>
                <w:w w:val="98"/>
              </w:rPr>
              <w:t>Pension and</w:t>
            </w:r>
          </w:p>
        </w:tc>
        <w:tc>
          <w:tcPr>
            <w:tcW w:w="1300" w:type="dxa"/>
            <w:vAlign w:val="bottom"/>
            <w:gridSpan w:val="2"/>
            <w:vMerge w:val="continue"/>
          </w:tcPr>
          <w:p>
            <w:pPr>
              <w:spacing w:after="0"/>
              <w:rPr>
                <w:sz w:val="10"/>
                <w:szCs w:val="10"/>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Accumulated Other</w:t>
            </w:r>
          </w:p>
        </w:tc>
        <w:tc>
          <w:tcPr>
            <w:tcW w:w="0" w:type="dxa"/>
            <w:vAlign w:val="bottom"/>
          </w:tcPr>
          <w:p>
            <w:pPr>
              <w:spacing w:after="0"/>
              <w:rPr>
                <w:sz w:val="1"/>
                <w:szCs w:val="1"/>
                <w:color w:val="auto"/>
              </w:rPr>
            </w:pPr>
          </w:p>
        </w:tc>
      </w:tr>
      <w:tr>
        <w:trPr>
          <w:trHeight w:val="122"/>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jc w:val="center"/>
              <w:ind w:right="117"/>
              <w:spacing w:after="0" w:line="122" w:lineRule="exact"/>
              <w:rPr>
                <w:sz w:val="20"/>
                <w:szCs w:val="20"/>
                <w:color w:val="auto"/>
              </w:rPr>
            </w:pPr>
            <w:r>
              <w:rPr>
                <w:rFonts w:ascii="Arial" w:cs="Arial" w:eastAsia="Arial" w:hAnsi="Arial"/>
                <w:sz w:val="13"/>
                <w:szCs w:val="13"/>
                <w:b w:val="1"/>
                <w:bCs w:val="1"/>
                <w:color w:val="auto"/>
                <w:w w:val="96"/>
              </w:rPr>
              <w:t>Translation</w:t>
            </w:r>
          </w:p>
        </w:tc>
        <w:tc>
          <w:tcPr>
            <w:tcW w:w="200" w:type="dxa"/>
            <w:vAlign w:val="bottom"/>
          </w:tcPr>
          <w:p>
            <w:pPr>
              <w:spacing w:after="0"/>
              <w:rPr>
                <w:sz w:val="10"/>
                <w:szCs w:val="10"/>
                <w:color w:val="auto"/>
              </w:rPr>
            </w:pPr>
          </w:p>
        </w:tc>
        <w:tc>
          <w:tcPr>
            <w:tcW w:w="1140" w:type="dxa"/>
            <w:vAlign w:val="bottom"/>
          </w:tcPr>
          <w:p>
            <w:pPr>
              <w:ind w:left="40"/>
              <w:spacing w:after="0" w:line="122" w:lineRule="exact"/>
              <w:rPr>
                <w:sz w:val="20"/>
                <w:szCs w:val="20"/>
                <w:color w:val="auto"/>
              </w:rPr>
            </w:pPr>
            <w:r>
              <w:rPr>
                <w:rFonts w:ascii="Arial" w:cs="Arial" w:eastAsia="Arial" w:hAnsi="Arial"/>
                <w:sz w:val="13"/>
                <w:szCs w:val="13"/>
                <w:b w:val="1"/>
                <w:bCs w:val="1"/>
                <w:color w:val="auto"/>
              </w:rPr>
              <w:t>Gains (Losses)</w:t>
            </w:r>
          </w:p>
        </w:tc>
        <w:tc>
          <w:tcPr>
            <w:tcW w:w="220" w:type="dxa"/>
            <w:vAlign w:val="bottom"/>
          </w:tcPr>
          <w:p>
            <w:pPr>
              <w:spacing w:after="0"/>
              <w:rPr>
                <w:sz w:val="10"/>
                <w:szCs w:val="10"/>
                <w:color w:val="auto"/>
              </w:rPr>
            </w:pPr>
          </w:p>
        </w:tc>
        <w:tc>
          <w:tcPr>
            <w:tcW w:w="1160" w:type="dxa"/>
            <w:vAlign w:val="bottom"/>
          </w:tcPr>
          <w:p>
            <w:pPr>
              <w:jc w:val="center"/>
              <w:ind w:right="82"/>
              <w:spacing w:after="0" w:line="122" w:lineRule="exact"/>
              <w:rPr>
                <w:sz w:val="20"/>
                <w:szCs w:val="20"/>
                <w:color w:val="auto"/>
              </w:rPr>
            </w:pPr>
            <w:r>
              <w:rPr>
                <w:rFonts w:ascii="Arial" w:cs="Arial" w:eastAsia="Arial" w:hAnsi="Arial"/>
                <w:sz w:val="13"/>
                <w:szCs w:val="13"/>
                <w:b w:val="1"/>
                <w:bCs w:val="1"/>
                <w:color w:val="auto"/>
                <w:w w:val="96"/>
              </w:rPr>
              <w:t>Retiree Health</w:t>
            </w:r>
          </w:p>
        </w:tc>
        <w:tc>
          <w:tcPr>
            <w:tcW w:w="220" w:type="dxa"/>
            <w:vAlign w:val="bottom"/>
          </w:tcPr>
          <w:p>
            <w:pPr>
              <w:spacing w:after="0"/>
              <w:rPr>
                <w:sz w:val="10"/>
                <w:szCs w:val="10"/>
                <w:color w:val="auto"/>
              </w:rPr>
            </w:pPr>
          </w:p>
        </w:tc>
        <w:tc>
          <w:tcPr>
            <w:tcW w:w="1080" w:type="dxa"/>
            <w:vAlign w:val="bottom"/>
          </w:tcPr>
          <w:p>
            <w:pPr>
              <w:jc w:val="center"/>
              <w:ind w:right="98"/>
              <w:spacing w:after="0" w:line="122" w:lineRule="exact"/>
              <w:rPr>
                <w:sz w:val="20"/>
                <w:szCs w:val="20"/>
                <w:color w:val="auto"/>
              </w:rPr>
            </w:pPr>
            <w:r>
              <w:rPr>
                <w:rFonts w:ascii="Arial" w:cs="Arial" w:eastAsia="Arial" w:hAnsi="Arial"/>
                <w:sz w:val="13"/>
                <w:szCs w:val="13"/>
                <w:b w:val="1"/>
                <w:bCs w:val="1"/>
                <w:color w:val="auto"/>
                <w:w w:val="96"/>
              </w:rPr>
              <w:t>of Cash Flow</w:t>
            </w: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5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6"/>
              </w:rPr>
              <w:t>Gains (Losses)</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60"/>
              <w:spacing w:after="0"/>
              <w:rPr>
                <w:sz w:val="20"/>
                <w:szCs w:val="20"/>
                <w:color w:val="auto"/>
              </w:rPr>
            </w:pPr>
            <w:r>
              <w:rPr>
                <w:rFonts w:ascii="Arial" w:cs="Arial" w:eastAsia="Arial" w:hAnsi="Arial"/>
                <w:sz w:val="13"/>
                <w:szCs w:val="13"/>
                <w:b w:val="1"/>
                <w:bCs w:val="1"/>
                <w:color w:val="auto"/>
              </w:rPr>
              <w:t>on Securities</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82"/>
              <w:spacing w:after="0"/>
              <w:rPr>
                <w:sz w:val="20"/>
                <w:szCs w:val="20"/>
                <w:color w:val="auto"/>
              </w:rPr>
            </w:pPr>
            <w:r>
              <w:rPr>
                <w:rFonts w:ascii="Arial" w:cs="Arial" w:eastAsia="Arial" w:hAnsi="Arial"/>
                <w:sz w:val="13"/>
                <w:szCs w:val="13"/>
                <w:b w:val="1"/>
                <w:bCs w:val="1"/>
                <w:color w:val="auto"/>
                <w:w w:val="97"/>
              </w:rPr>
              <w:t>Benefit Plans</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98"/>
              <w:spacing w:after="0"/>
              <w:rPr>
                <w:sz w:val="20"/>
                <w:szCs w:val="20"/>
                <w:color w:val="auto"/>
              </w:rPr>
            </w:pPr>
            <w:r>
              <w:rPr>
                <w:rFonts w:ascii="Arial" w:cs="Arial" w:eastAsia="Arial" w:hAnsi="Arial"/>
                <w:sz w:val="13"/>
                <w:szCs w:val="13"/>
                <w:b w:val="1"/>
                <w:bCs w:val="1"/>
                <w:color w:val="auto"/>
                <w:w w:val="97"/>
              </w:rPr>
              <w:t>Hedges</w:t>
            </w: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Balance at July 1, 2019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(1,570.0)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0"/>
              <w:spacing w:after="0"/>
              <w:rPr>
                <w:sz w:val="20"/>
                <w:szCs w:val="20"/>
                <w:color w:val="auto"/>
              </w:rPr>
            </w:pPr>
            <w:r>
              <w:rPr>
                <w:rFonts w:ascii="Arial" w:cs="Arial" w:eastAsia="Arial" w:hAnsi="Arial"/>
                <w:sz w:val="18"/>
                <w:szCs w:val="18"/>
                <w:color w:val="auto"/>
              </w:rPr>
              <w:t>4.5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(3,763.3)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(271.7)</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(5,600.5)</w:t>
            </w:r>
          </w:p>
        </w:tc>
        <w:tc>
          <w:tcPr>
            <w:tcW w:w="0" w:type="dxa"/>
            <w:vAlign w:val="bottom"/>
          </w:tcPr>
          <w:p>
            <w:pPr>
              <w:spacing w:after="0"/>
              <w:rPr>
                <w:sz w:val="1"/>
                <w:szCs w:val="1"/>
                <w:color w:val="auto"/>
              </w:rPr>
            </w:pPr>
          </w:p>
        </w:tc>
      </w:tr>
      <w:tr>
        <w:trPr>
          <w:trHeight w:val="175"/>
        </w:trPr>
        <w:tc>
          <w:tcPr>
            <w:tcW w:w="45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Other comprehensive income (loss) before</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2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21.3</w:t>
            </w:r>
          </w:p>
        </w:tc>
        <w:tc>
          <w:tcPr>
            <w:tcW w:w="2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reclassifications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520" w:type="dxa"/>
            <w:vAlign w:val="bottom"/>
          </w:tcPr>
          <w:p>
            <w:pPr>
              <w:ind w:left="120"/>
              <w:spacing w:after="0" w:line="176" w:lineRule="exact"/>
              <w:rPr>
                <w:sz w:val="20"/>
                <w:szCs w:val="20"/>
                <w:color w:val="auto"/>
              </w:rPr>
            </w:pPr>
            <w:r>
              <w:rPr>
                <w:rFonts w:ascii="Arial" w:cs="Arial" w:eastAsia="Arial" w:hAnsi="Arial"/>
                <w:sz w:val="18"/>
                <w:szCs w:val="18"/>
                <w:color w:val="auto"/>
              </w:rPr>
              <w:t>Net amount reclassified from accumulated other</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ind w:right="3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140" w:type="dxa"/>
            <w:vAlign w:val="bottom"/>
            <w:vMerge w:val="restart"/>
          </w:tcPr>
          <w:p>
            <w:pPr>
              <w:jc w:val="right"/>
              <w:ind w:right="20"/>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5"/>
                <w:szCs w:val="15"/>
                <w:color w:val="auto"/>
              </w:rPr>
            </w:pPr>
          </w:p>
        </w:tc>
        <w:tc>
          <w:tcPr>
            <w:tcW w:w="1160" w:type="dxa"/>
            <w:vAlign w:val="bottom"/>
            <w:vMerge w:val="restart"/>
          </w:tcPr>
          <w:p>
            <w:pPr>
              <w:jc w:val="right"/>
              <w:ind w:right="42"/>
              <w:spacing w:after="0"/>
              <w:rPr>
                <w:sz w:val="20"/>
                <w:szCs w:val="20"/>
                <w:color w:val="auto"/>
              </w:rPr>
            </w:pPr>
            <w:r>
              <w:rPr>
                <w:rFonts w:ascii="Arial" w:cs="Arial" w:eastAsia="Arial" w:hAnsi="Arial"/>
                <w:sz w:val="18"/>
                <w:szCs w:val="18"/>
                <w:color w:val="auto"/>
              </w:rPr>
              <w:t>45.1</w:t>
            </w:r>
          </w:p>
        </w:tc>
        <w:tc>
          <w:tcPr>
            <w:tcW w:w="220" w:type="dxa"/>
            <w:vAlign w:val="bottom"/>
          </w:tcPr>
          <w:p>
            <w:pPr>
              <w:spacing w:after="0"/>
              <w:rPr>
                <w:sz w:val="15"/>
                <w:szCs w:val="15"/>
                <w:color w:val="auto"/>
              </w:rPr>
            </w:pPr>
          </w:p>
        </w:tc>
        <w:tc>
          <w:tcPr>
            <w:tcW w:w="1080" w:type="dxa"/>
            <w:vAlign w:val="bottom"/>
            <w:vMerge w:val="restart"/>
          </w:tcPr>
          <w:p>
            <w:pPr>
              <w:jc w:val="right"/>
              <w:ind w:right="38"/>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comprehensive loss</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other comprehensive income (loss)</w:t>
            </w: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66.4</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Balance at September 30, 2019</w:t>
            </w:r>
          </w:p>
        </w:tc>
        <w:tc>
          <w:tcPr>
            <w:tcW w:w="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6.6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(3,696.9)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(282.2)</w:t>
            </w: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(5,734.5)</w:t>
            </w:r>
          </w:p>
        </w:tc>
        <w:tc>
          <w:tcPr>
            <w:tcW w:w="0" w:type="dxa"/>
            <w:vAlign w:val="bottom"/>
          </w:tcPr>
          <w:p>
            <w:pPr>
              <w:spacing w:after="0"/>
              <w:rPr>
                <w:sz w:val="1"/>
                <w:szCs w:val="1"/>
                <w:color w:val="auto"/>
              </w:rPr>
            </w:pPr>
          </w:p>
        </w:tc>
      </w:tr>
      <w:tr>
        <w:trPr>
          <w:trHeight w:val="868"/>
        </w:trPr>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5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nine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2019:</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ind w:right="621"/>
              <w:spacing w:after="0"/>
              <w:rPr>
                <w:sz w:val="20"/>
                <w:szCs w:val="20"/>
                <w:color w:val="auto"/>
              </w:rPr>
            </w:pPr>
            <w:r>
              <w:rPr>
                <w:rFonts w:ascii="Arial" w:cs="Arial" w:eastAsia="Arial" w:hAnsi="Arial"/>
                <w:sz w:val="13"/>
                <w:szCs w:val="13"/>
                <w:b w:val="1"/>
                <w:bCs w:val="1"/>
                <w:color w:val="auto"/>
              </w:rPr>
              <w:t>Continuing Operations</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7"/>
              </w:rPr>
              <w:t>Foreign Currency</w:t>
            </w:r>
          </w:p>
        </w:tc>
        <w:tc>
          <w:tcPr>
            <w:tcW w:w="180" w:type="dxa"/>
            <w:vAlign w:val="bottom"/>
          </w:tcPr>
          <w:p>
            <w:pPr>
              <w:spacing w:after="0"/>
              <w:rPr>
                <w:sz w:val="10"/>
                <w:szCs w:val="10"/>
                <w:color w:val="auto"/>
              </w:rPr>
            </w:pPr>
          </w:p>
        </w:tc>
        <w:tc>
          <w:tcPr>
            <w:tcW w:w="116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Unrealized Net</w:t>
            </w:r>
          </w:p>
        </w:tc>
        <w:tc>
          <w:tcPr>
            <w:tcW w:w="13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Defined Benefit</w:t>
            </w: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jc w:val="center"/>
              <w:ind w:right="181"/>
              <w:spacing w:after="0" w:line="122" w:lineRule="exact"/>
              <w:rPr>
                <w:sz w:val="20"/>
                <w:szCs w:val="20"/>
                <w:color w:val="auto"/>
              </w:rPr>
            </w:pPr>
            <w:r>
              <w:rPr>
                <w:rFonts w:ascii="Arial" w:cs="Arial" w:eastAsia="Arial" w:hAnsi="Arial"/>
                <w:sz w:val="13"/>
                <w:szCs w:val="13"/>
                <w:b w:val="1"/>
                <w:bCs w:val="1"/>
                <w:color w:val="auto"/>
                <w:w w:val="98"/>
              </w:rPr>
              <w:t>Pension and</w:t>
            </w:r>
          </w:p>
        </w:tc>
        <w:tc>
          <w:tcPr>
            <w:tcW w:w="126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Effective Portion of</w:t>
            </w:r>
          </w:p>
        </w:tc>
        <w:tc>
          <w:tcPr>
            <w:tcW w:w="240" w:type="dxa"/>
            <w:vAlign w:val="bottom"/>
          </w:tcPr>
          <w:p>
            <w:pPr>
              <w:spacing w:after="0"/>
              <w:rPr>
                <w:sz w:val="10"/>
                <w:szCs w:val="10"/>
                <w:color w:val="auto"/>
              </w:rPr>
            </w:pPr>
          </w:p>
        </w:tc>
        <w:tc>
          <w:tcPr>
            <w:tcW w:w="1080" w:type="dxa"/>
            <w:vAlign w:val="bottom"/>
            <w:vMerge w:val="restart"/>
          </w:tcPr>
          <w:p>
            <w:pPr>
              <w:jc w:val="right"/>
              <w:ind w:right="178"/>
              <w:spacing w:after="0"/>
              <w:rPr>
                <w:sz w:val="20"/>
                <w:szCs w:val="20"/>
                <w:color w:val="auto"/>
              </w:rPr>
            </w:pPr>
            <w:r>
              <w:rPr>
                <w:rFonts w:ascii="Arial" w:cs="Arial" w:eastAsia="Arial" w:hAnsi="Arial"/>
                <w:sz w:val="13"/>
                <w:szCs w:val="13"/>
                <w:b w:val="1"/>
                <w:bCs w:val="1"/>
                <w:color w:val="auto"/>
                <w:w w:val="97"/>
              </w:rPr>
              <w:t>Discontinued</w:t>
            </w:r>
          </w:p>
        </w:tc>
        <w:tc>
          <w:tcPr>
            <w:tcW w:w="13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22"/>
        </w:trPr>
        <w:tc>
          <w:tcPr>
            <w:tcW w:w="3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jc w:val="center"/>
              <w:ind w:right="118"/>
              <w:spacing w:after="0" w:line="122" w:lineRule="exact"/>
              <w:rPr>
                <w:sz w:val="20"/>
                <w:szCs w:val="20"/>
                <w:color w:val="auto"/>
              </w:rPr>
            </w:pPr>
            <w:r>
              <w:rPr>
                <w:rFonts w:ascii="Arial" w:cs="Arial" w:eastAsia="Arial" w:hAnsi="Arial"/>
                <w:sz w:val="13"/>
                <w:szCs w:val="13"/>
                <w:b w:val="1"/>
                <w:bCs w:val="1"/>
                <w:color w:val="auto"/>
                <w:w w:val="94"/>
              </w:rPr>
              <w:t>Translation</w:t>
            </w:r>
          </w:p>
        </w:tc>
        <w:tc>
          <w:tcPr>
            <w:tcW w:w="180" w:type="dxa"/>
            <w:vAlign w:val="bottom"/>
          </w:tcPr>
          <w:p>
            <w:pPr>
              <w:spacing w:after="0"/>
              <w:rPr>
                <w:sz w:val="10"/>
                <w:szCs w:val="10"/>
                <w:color w:val="auto"/>
              </w:rPr>
            </w:pPr>
          </w:p>
        </w:tc>
        <w:tc>
          <w:tcPr>
            <w:tcW w:w="1160" w:type="dxa"/>
            <w:vAlign w:val="bottom"/>
          </w:tcPr>
          <w:p>
            <w:pPr>
              <w:ind w:left="20"/>
              <w:spacing w:after="0" w:line="122" w:lineRule="exact"/>
              <w:rPr>
                <w:sz w:val="20"/>
                <w:szCs w:val="20"/>
                <w:color w:val="auto"/>
              </w:rPr>
            </w:pPr>
            <w:r>
              <w:rPr>
                <w:rFonts w:ascii="Arial" w:cs="Arial" w:eastAsia="Arial" w:hAnsi="Arial"/>
                <w:sz w:val="13"/>
                <w:szCs w:val="13"/>
                <w:b w:val="1"/>
                <w:bCs w:val="1"/>
                <w:color w:val="auto"/>
              </w:rPr>
              <w:t>Gains (Losses)</w:t>
            </w:r>
          </w:p>
        </w:tc>
        <w:tc>
          <w:tcPr>
            <w:tcW w:w="200" w:type="dxa"/>
            <w:vAlign w:val="bottom"/>
          </w:tcPr>
          <w:p>
            <w:pPr>
              <w:spacing w:after="0"/>
              <w:rPr>
                <w:sz w:val="10"/>
                <w:szCs w:val="10"/>
                <w:color w:val="auto"/>
              </w:rPr>
            </w:pPr>
          </w:p>
        </w:tc>
        <w:tc>
          <w:tcPr>
            <w:tcW w:w="1140" w:type="dxa"/>
            <w:vAlign w:val="bottom"/>
          </w:tcPr>
          <w:p>
            <w:pPr>
              <w:jc w:val="center"/>
              <w:ind w:right="181"/>
              <w:spacing w:after="0" w:line="122" w:lineRule="exact"/>
              <w:rPr>
                <w:sz w:val="20"/>
                <w:szCs w:val="20"/>
                <w:color w:val="auto"/>
              </w:rPr>
            </w:pPr>
            <w:r>
              <w:rPr>
                <w:rFonts w:ascii="Arial" w:cs="Arial" w:eastAsia="Arial" w:hAnsi="Arial"/>
                <w:sz w:val="13"/>
                <w:szCs w:val="13"/>
                <w:b w:val="1"/>
                <w:bCs w:val="1"/>
                <w:color w:val="auto"/>
                <w:w w:val="96"/>
              </w:rPr>
              <w:t>Retiree Health</w:t>
            </w:r>
          </w:p>
        </w:tc>
        <w:tc>
          <w:tcPr>
            <w:tcW w:w="126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3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18"/>
              <w:spacing w:after="0"/>
              <w:rPr>
                <w:sz w:val="20"/>
                <w:szCs w:val="20"/>
                <w:color w:val="auto"/>
              </w:rPr>
            </w:pPr>
            <w:r>
              <w:rPr>
                <w:rFonts w:ascii="Arial" w:cs="Arial" w:eastAsia="Arial" w:hAnsi="Arial"/>
                <w:sz w:val="13"/>
                <w:szCs w:val="13"/>
                <w:b w:val="1"/>
                <w:bCs w:val="1"/>
                <w:color w:val="auto"/>
                <w:w w:val="96"/>
              </w:rPr>
              <w:t>Gains (Losses)</w:t>
            </w: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22"/>
              <w:spacing w:after="0"/>
              <w:rPr>
                <w:sz w:val="20"/>
                <w:szCs w:val="20"/>
                <w:color w:val="auto"/>
              </w:rPr>
            </w:pPr>
            <w:r>
              <w:rPr>
                <w:rFonts w:ascii="Arial" w:cs="Arial" w:eastAsia="Arial" w:hAnsi="Arial"/>
                <w:sz w:val="13"/>
                <w:szCs w:val="13"/>
                <w:b w:val="1"/>
                <w:bCs w:val="1"/>
                <w:color w:val="auto"/>
              </w:rPr>
              <w:t>on Securities</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81"/>
              <w:spacing w:after="0"/>
              <w:rPr>
                <w:sz w:val="20"/>
                <w:szCs w:val="20"/>
                <w:color w:val="auto"/>
              </w:rPr>
            </w:pPr>
            <w:r>
              <w:rPr>
                <w:rFonts w:ascii="Arial" w:cs="Arial" w:eastAsia="Arial" w:hAnsi="Arial"/>
                <w:sz w:val="13"/>
                <w:szCs w:val="13"/>
                <w:b w:val="1"/>
                <w:bCs w:val="1"/>
                <w:color w:val="auto"/>
                <w:w w:val="97"/>
              </w:rPr>
              <w:t>Benefit Plans</w:t>
            </w:r>
          </w:p>
        </w:tc>
        <w:tc>
          <w:tcPr>
            <w:tcW w:w="12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Cash Flow Hedges</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58"/>
              <w:spacing w:after="0"/>
              <w:rPr>
                <w:sz w:val="20"/>
                <w:szCs w:val="20"/>
                <w:color w:val="auto"/>
              </w:rPr>
            </w:pPr>
            <w:r>
              <w:rPr>
                <w:rFonts w:ascii="Arial" w:cs="Arial" w:eastAsia="Arial" w:hAnsi="Arial"/>
                <w:sz w:val="13"/>
                <w:szCs w:val="13"/>
                <w:b w:val="1"/>
                <w:bCs w:val="1"/>
                <w:color w:val="auto"/>
              </w:rPr>
              <w:t>Operations</w:t>
            </w:r>
          </w:p>
        </w:tc>
        <w:tc>
          <w:tcPr>
            <w:tcW w:w="13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82"/>
              <w:spacing w:after="0"/>
              <w:rPr>
                <w:sz w:val="20"/>
                <w:szCs w:val="20"/>
                <w:color w:val="auto"/>
              </w:rPr>
            </w:pPr>
            <w:r>
              <w:rPr>
                <w:rFonts w:ascii="Arial" w:cs="Arial" w:eastAsia="Arial" w:hAnsi="Arial"/>
                <w:sz w:val="18"/>
                <w:szCs w:val="18"/>
                <w:b w:val="1"/>
                <w:bCs w:val="1"/>
                <w:color w:val="auto"/>
              </w:rPr>
              <w:t>4.9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(4,638.6)</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(211.9)</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(6,523.6)</w:t>
            </w:r>
          </w:p>
        </w:tc>
        <w:tc>
          <w:tcPr>
            <w:tcW w:w="0" w:type="dxa"/>
            <w:vAlign w:val="bottom"/>
          </w:tcPr>
          <w:p>
            <w:pPr>
              <w:spacing w:after="0"/>
              <w:rPr>
                <w:sz w:val="1"/>
                <w:szCs w:val="1"/>
                <w:color w:val="auto"/>
              </w:rPr>
            </w:pPr>
          </w:p>
        </w:tc>
      </w:tr>
      <w:tr>
        <w:trPr>
          <w:trHeight w:val="176"/>
        </w:trPr>
        <w:tc>
          <w:tcPr>
            <w:tcW w:w="3320" w:type="dxa"/>
            <w:vAlign w:val="bottom"/>
          </w:tcPr>
          <w:p>
            <w:pPr>
              <w:ind w:left="140"/>
              <w:spacing w:after="0" w:line="176" w:lineRule="exact"/>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(14.2)</w:t>
            </w:r>
          </w:p>
        </w:tc>
        <w:tc>
          <w:tcPr>
            <w:tcW w:w="180" w:type="dxa"/>
            <w:vAlign w:val="bottom"/>
          </w:tcPr>
          <w:p>
            <w:pPr>
              <w:spacing w:after="0"/>
              <w:rPr>
                <w:sz w:val="15"/>
                <w:szCs w:val="15"/>
                <w:color w:val="auto"/>
              </w:rPr>
            </w:pPr>
          </w:p>
        </w:tc>
        <w:tc>
          <w:tcPr>
            <w:tcW w:w="1160" w:type="dxa"/>
            <w:vAlign w:val="bottom"/>
            <w:vMerge w:val="restart"/>
          </w:tcPr>
          <w:p>
            <w:pPr>
              <w:jc w:val="right"/>
              <w:ind w:right="82"/>
              <w:spacing w:after="0"/>
              <w:rPr>
                <w:sz w:val="20"/>
                <w:szCs w:val="20"/>
                <w:color w:val="auto"/>
              </w:rPr>
            </w:pPr>
            <w:r>
              <w:rPr>
                <w:rFonts w:ascii="Arial" w:cs="Arial" w:eastAsia="Arial" w:hAnsi="Arial"/>
                <w:sz w:val="18"/>
                <w:szCs w:val="18"/>
                <w:b w:val="1"/>
                <w:bCs w:val="1"/>
                <w:color w:val="auto"/>
              </w:rPr>
              <w:t>7.6</w:t>
            </w:r>
          </w:p>
        </w:tc>
        <w:tc>
          <w:tcPr>
            <w:tcW w:w="200" w:type="dxa"/>
            <w:vAlign w:val="bottom"/>
          </w:tcPr>
          <w:p>
            <w:pPr>
              <w:spacing w:after="0"/>
              <w:rPr>
                <w:sz w:val="15"/>
                <w:szCs w:val="15"/>
                <w:color w:val="auto"/>
              </w:rPr>
            </w:pPr>
          </w:p>
        </w:tc>
        <w:tc>
          <w:tcPr>
            <w:tcW w:w="1140" w:type="dxa"/>
            <w:vAlign w:val="bottom"/>
            <w:vMerge w:val="restart"/>
          </w:tcPr>
          <w:p>
            <w:pPr>
              <w:jc w:val="right"/>
              <w:ind w:right="101"/>
              <w:spacing w:after="0"/>
              <w:rPr>
                <w:sz w:val="20"/>
                <w:szCs w:val="20"/>
                <w:color w:val="auto"/>
              </w:rPr>
            </w:pPr>
            <w:r>
              <w:rPr>
                <w:rFonts w:ascii="Arial" w:cs="Arial" w:eastAsia="Arial" w:hAnsi="Arial"/>
                <w:sz w:val="18"/>
                <w:szCs w:val="18"/>
                <w:b w:val="1"/>
                <w:bCs w:val="1"/>
                <w:color w:val="auto"/>
              </w:rPr>
              <w:t>4.6</w:t>
            </w:r>
          </w:p>
        </w:tc>
        <w:tc>
          <w:tcPr>
            <w:tcW w:w="2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(232.3)</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restart"/>
          </w:tcPr>
          <w:p>
            <w:pPr>
              <w:jc w:val="right"/>
              <w:ind w:right="58"/>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(234.3)</w:t>
            </w:r>
          </w:p>
        </w:tc>
        <w:tc>
          <w:tcPr>
            <w:tcW w:w="0" w:type="dxa"/>
            <w:vAlign w:val="bottom"/>
          </w:tcPr>
          <w:p>
            <w:pPr>
              <w:spacing w:after="0"/>
              <w:rPr>
                <w:sz w:val="1"/>
                <w:szCs w:val="1"/>
                <w:color w:val="auto"/>
              </w:rPr>
            </w:pPr>
          </w:p>
        </w:tc>
      </w:tr>
      <w:tr>
        <w:trPr>
          <w:trHeight w:val="229"/>
        </w:trPr>
        <w:tc>
          <w:tcPr>
            <w:tcW w:w="3320" w:type="dxa"/>
            <w:vAlign w:val="bottom"/>
          </w:tcPr>
          <w:p>
            <w:pPr>
              <w:ind w:left="300"/>
              <w:spacing w:after="0"/>
              <w:rPr>
                <w:sz w:val="20"/>
                <w:szCs w:val="20"/>
                <w:color w:val="auto"/>
              </w:rPr>
            </w:pPr>
            <w:r>
              <w:rPr>
                <w:rFonts w:ascii="Arial" w:cs="Arial" w:eastAsia="Arial" w:hAnsi="Arial"/>
                <w:sz w:val="18"/>
                <w:szCs w:val="18"/>
                <w:color w:val="auto"/>
              </w:rPr>
              <w:t>before reclassifications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Net amount reclassified from</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rPr>
              <w:t>accumulated other comprehensive</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82"/>
              <w:spacing w:after="0"/>
              <w:rPr>
                <w:sz w:val="20"/>
                <w:szCs w:val="20"/>
                <w:color w:val="auto"/>
              </w:rPr>
            </w:pPr>
            <w:r>
              <w:rPr>
                <w:rFonts w:ascii="Arial" w:cs="Arial" w:eastAsia="Arial" w:hAnsi="Arial"/>
                <w:sz w:val="18"/>
                <w:szCs w:val="18"/>
                <w:b w:val="1"/>
                <w:bCs w:val="1"/>
                <w:color w:val="auto"/>
              </w:rPr>
              <w:t>3.2</w:t>
            </w:r>
          </w:p>
        </w:tc>
        <w:tc>
          <w:tcPr>
            <w:tcW w:w="2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101"/>
              <w:spacing w:after="0"/>
              <w:rPr>
                <w:sz w:val="20"/>
                <w:szCs w:val="20"/>
                <w:color w:val="auto"/>
              </w:rPr>
            </w:pPr>
            <w:r>
              <w:rPr>
                <w:rFonts w:ascii="Arial" w:cs="Arial" w:eastAsia="Arial" w:hAnsi="Arial"/>
                <w:sz w:val="18"/>
                <w:szCs w:val="18"/>
                <w:b w:val="1"/>
                <w:bCs w:val="1"/>
                <w:color w:val="auto"/>
              </w:rPr>
              <w:t>189.8</w:t>
            </w:r>
          </w:p>
        </w:tc>
        <w:tc>
          <w:tcPr>
            <w:tcW w:w="2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202.8</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loss</w:t>
            </w: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other comprehensive income (loss)</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8"/>
                <w:szCs w:val="18"/>
                <w:b w:val="1"/>
                <w:bCs w:val="1"/>
                <w:color w:val="auto"/>
              </w:rPr>
              <w:t>10.8</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8"/>
                <w:szCs w:val="18"/>
                <w:b w:val="1"/>
                <w:bCs w:val="1"/>
                <w:color w:val="auto"/>
              </w:rPr>
              <w:t>194.4</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(222.5)</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b w:val="1"/>
                <w:bCs w:val="1"/>
                <w:color w:val="auto"/>
              </w:rPr>
              <w:t>15.7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(4,444.2)</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(434.4)</w:t>
            </w:r>
          </w:p>
        </w:tc>
        <w:tc>
          <w:tcPr>
            <w:tcW w:w="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(6,555.1)</w:t>
            </w:r>
          </w:p>
        </w:tc>
        <w:tc>
          <w:tcPr>
            <w:tcW w:w="0" w:type="dxa"/>
            <w:vAlign w:val="bottom"/>
          </w:tcPr>
          <w:p>
            <w:pPr>
              <w:spacing w:after="0"/>
              <w:rPr>
                <w:sz w:val="1"/>
                <w:szCs w:val="1"/>
                <w:color w:val="auto"/>
              </w:rPr>
            </w:pPr>
          </w:p>
        </w:tc>
      </w:tr>
      <w:tr>
        <w:trPr>
          <w:trHeight w:val="388"/>
        </w:trPr>
        <w:tc>
          <w:tcPr>
            <w:tcW w:w="33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jc w:val="right"/>
              <w:ind w:right="601"/>
              <w:spacing w:after="0"/>
              <w:rPr>
                <w:sz w:val="20"/>
                <w:szCs w:val="20"/>
                <w:color w:val="auto"/>
              </w:rPr>
            </w:pPr>
            <w:r>
              <w:rPr>
                <w:rFonts w:ascii="Arial" w:cs="Arial" w:eastAsia="Arial" w:hAnsi="Arial"/>
                <w:sz w:val="13"/>
                <w:szCs w:val="13"/>
                <w:b w:val="1"/>
                <w:bCs w:val="1"/>
                <w:color w:val="auto"/>
              </w:rPr>
              <w:t>Continuing Operations</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Foreign Currency</w:t>
            </w:r>
          </w:p>
        </w:tc>
        <w:tc>
          <w:tcPr>
            <w:tcW w:w="180" w:type="dxa"/>
            <w:vAlign w:val="bottom"/>
          </w:tcPr>
          <w:p>
            <w:pPr>
              <w:spacing w:after="0"/>
              <w:rPr>
                <w:sz w:val="10"/>
                <w:szCs w:val="10"/>
                <w:color w:val="auto"/>
              </w:rPr>
            </w:pPr>
          </w:p>
        </w:tc>
        <w:tc>
          <w:tcPr>
            <w:tcW w:w="1160" w:type="dxa"/>
            <w:vAlign w:val="bottom"/>
            <w:vMerge w:val="restart"/>
          </w:tcPr>
          <w:p>
            <w:pPr>
              <w:jc w:val="right"/>
              <w:ind w:right="142"/>
              <w:spacing w:after="0"/>
              <w:rPr>
                <w:sz w:val="20"/>
                <w:szCs w:val="20"/>
                <w:color w:val="auto"/>
              </w:rPr>
            </w:pPr>
            <w:r>
              <w:rPr>
                <w:rFonts w:ascii="Arial" w:cs="Arial" w:eastAsia="Arial" w:hAnsi="Arial"/>
                <w:sz w:val="13"/>
                <w:szCs w:val="13"/>
                <w:b w:val="1"/>
                <w:bCs w:val="1"/>
                <w:color w:val="auto"/>
              </w:rPr>
              <w:t>Unrealized Net</w:t>
            </w:r>
          </w:p>
        </w:tc>
        <w:tc>
          <w:tcPr>
            <w:tcW w:w="200" w:type="dxa"/>
            <w:vAlign w:val="bottom"/>
          </w:tcPr>
          <w:p>
            <w:pPr>
              <w:spacing w:after="0"/>
              <w:rPr>
                <w:sz w:val="10"/>
                <w:szCs w:val="10"/>
                <w:color w:val="auto"/>
              </w:rPr>
            </w:pPr>
          </w:p>
        </w:tc>
        <w:tc>
          <w:tcPr>
            <w:tcW w:w="1140" w:type="dxa"/>
            <w:vAlign w:val="bottom"/>
          </w:tcPr>
          <w:p>
            <w:pPr>
              <w:jc w:val="center"/>
              <w:ind w:right="61"/>
              <w:spacing w:after="0" w:line="119" w:lineRule="exact"/>
              <w:rPr>
                <w:sz w:val="20"/>
                <w:szCs w:val="20"/>
                <w:color w:val="auto"/>
              </w:rPr>
            </w:pPr>
            <w:r>
              <w:rPr>
                <w:rFonts w:ascii="Arial" w:cs="Arial" w:eastAsia="Arial" w:hAnsi="Arial"/>
                <w:sz w:val="13"/>
                <w:szCs w:val="13"/>
                <w:b w:val="1"/>
                <w:bCs w:val="1"/>
                <w:color w:val="auto"/>
                <w:w w:val="96"/>
              </w:rPr>
              <w:t>Defined Benefit</w:t>
            </w:r>
          </w:p>
        </w:tc>
        <w:tc>
          <w:tcPr>
            <w:tcW w:w="1260" w:type="dxa"/>
            <w:vAlign w:val="bottom"/>
            <w:gridSpan w:val="3"/>
            <w:vMerge w:val="restart"/>
          </w:tcPr>
          <w:p>
            <w:pPr>
              <w:jc w:val="center"/>
              <w:ind w:left="22"/>
              <w:spacing w:after="0"/>
              <w:rPr>
                <w:sz w:val="20"/>
                <w:szCs w:val="20"/>
                <w:color w:val="auto"/>
              </w:rPr>
            </w:pPr>
            <w:r>
              <w:rPr>
                <w:rFonts w:ascii="Arial" w:cs="Arial" w:eastAsia="Arial" w:hAnsi="Arial"/>
                <w:sz w:val="13"/>
                <w:szCs w:val="13"/>
                <w:b w:val="1"/>
                <w:bCs w:val="1"/>
                <w:color w:val="auto"/>
                <w:w w:val="96"/>
              </w:rPr>
              <w:t>Effective Portion</w:t>
            </w: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60" w:type="dxa"/>
            <w:vAlign w:val="bottom"/>
            <w:gridSpan w:val="2"/>
            <w:vMerge w:val="restart"/>
          </w:tcPr>
          <w:p>
            <w:pPr>
              <w:jc w:val="center"/>
              <w:ind w:left="2"/>
              <w:spacing w:after="0"/>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22"/>
        </w:trPr>
        <w:tc>
          <w:tcPr>
            <w:tcW w:w="3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jc w:val="center"/>
              <w:ind w:right="61"/>
              <w:spacing w:after="0" w:line="122" w:lineRule="exact"/>
              <w:rPr>
                <w:sz w:val="20"/>
                <w:szCs w:val="20"/>
                <w:color w:val="auto"/>
              </w:rPr>
            </w:pPr>
            <w:r>
              <w:rPr>
                <w:rFonts w:ascii="Arial" w:cs="Arial" w:eastAsia="Arial" w:hAnsi="Arial"/>
                <w:sz w:val="13"/>
                <w:szCs w:val="13"/>
                <w:b w:val="1"/>
                <w:bCs w:val="1"/>
                <w:color w:val="auto"/>
                <w:w w:val="98"/>
              </w:rPr>
              <w:t>Pension and</w:t>
            </w:r>
          </w:p>
        </w:tc>
        <w:tc>
          <w:tcPr>
            <w:tcW w:w="126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vMerge w:val="restart"/>
          </w:tcPr>
          <w:p>
            <w:pPr>
              <w:jc w:val="right"/>
              <w:ind w:right="138"/>
              <w:spacing w:after="0"/>
              <w:rPr>
                <w:sz w:val="20"/>
                <w:szCs w:val="20"/>
                <w:color w:val="auto"/>
              </w:rPr>
            </w:pPr>
            <w:r>
              <w:rPr>
                <w:rFonts w:ascii="Arial" w:cs="Arial" w:eastAsia="Arial" w:hAnsi="Arial"/>
                <w:sz w:val="13"/>
                <w:szCs w:val="13"/>
                <w:b w:val="1"/>
                <w:bCs w:val="1"/>
                <w:color w:val="auto"/>
              </w:rPr>
              <w:t>Discontinued</w:t>
            </w:r>
          </w:p>
        </w:tc>
        <w:tc>
          <w:tcPr>
            <w:tcW w:w="13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jc w:val="center"/>
              <w:ind w:right="138"/>
              <w:spacing w:after="0" w:line="122" w:lineRule="exact"/>
              <w:rPr>
                <w:sz w:val="20"/>
                <w:szCs w:val="20"/>
                <w:color w:val="auto"/>
              </w:rPr>
            </w:pPr>
            <w:r>
              <w:rPr>
                <w:rFonts w:ascii="Arial" w:cs="Arial" w:eastAsia="Arial" w:hAnsi="Arial"/>
                <w:sz w:val="13"/>
                <w:szCs w:val="13"/>
                <w:b w:val="1"/>
                <w:bCs w:val="1"/>
                <w:color w:val="auto"/>
                <w:w w:val="96"/>
              </w:rPr>
              <w:t>Translation</w:t>
            </w:r>
          </w:p>
        </w:tc>
        <w:tc>
          <w:tcPr>
            <w:tcW w:w="180" w:type="dxa"/>
            <w:vAlign w:val="bottom"/>
          </w:tcPr>
          <w:p>
            <w:pPr>
              <w:spacing w:after="0"/>
              <w:rPr>
                <w:sz w:val="10"/>
                <w:szCs w:val="10"/>
                <w:color w:val="auto"/>
              </w:rPr>
            </w:pPr>
          </w:p>
        </w:tc>
        <w:tc>
          <w:tcPr>
            <w:tcW w:w="1160" w:type="dxa"/>
            <w:vAlign w:val="bottom"/>
          </w:tcPr>
          <w:p>
            <w:pPr>
              <w:ind w:left="40"/>
              <w:spacing w:after="0" w:line="122" w:lineRule="exact"/>
              <w:rPr>
                <w:sz w:val="20"/>
                <w:szCs w:val="20"/>
                <w:color w:val="auto"/>
              </w:rPr>
            </w:pPr>
            <w:r>
              <w:rPr>
                <w:rFonts w:ascii="Arial" w:cs="Arial" w:eastAsia="Arial" w:hAnsi="Arial"/>
                <w:sz w:val="13"/>
                <w:szCs w:val="13"/>
                <w:b w:val="1"/>
                <w:bCs w:val="1"/>
                <w:color w:val="auto"/>
              </w:rPr>
              <w:t>Gains (Losses)</w:t>
            </w:r>
          </w:p>
        </w:tc>
        <w:tc>
          <w:tcPr>
            <w:tcW w:w="200" w:type="dxa"/>
            <w:vAlign w:val="bottom"/>
          </w:tcPr>
          <w:p>
            <w:pPr>
              <w:spacing w:after="0"/>
              <w:rPr>
                <w:sz w:val="10"/>
                <w:szCs w:val="10"/>
                <w:color w:val="auto"/>
              </w:rPr>
            </w:pPr>
          </w:p>
        </w:tc>
        <w:tc>
          <w:tcPr>
            <w:tcW w:w="1140" w:type="dxa"/>
            <w:vAlign w:val="bottom"/>
          </w:tcPr>
          <w:p>
            <w:pPr>
              <w:jc w:val="center"/>
              <w:ind w:right="61"/>
              <w:spacing w:after="0" w:line="122" w:lineRule="exact"/>
              <w:rPr>
                <w:sz w:val="20"/>
                <w:szCs w:val="20"/>
                <w:color w:val="auto"/>
              </w:rPr>
            </w:pPr>
            <w:r>
              <w:rPr>
                <w:rFonts w:ascii="Arial" w:cs="Arial" w:eastAsia="Arial" w:hAnsi="Arial"/>
                <w:sz w:val="13"/>
                <w:szCs w:val="13"/>
                <w:b w:val="1"/>
                <w:bCs w:val="1"/>
                <w:color w:val="auto"/>
                <w:w w:val="96"/>
              </w:rPr>
              <w:t>Retiree Health</w:t>
            </w:r>
          </w:p>
        </w:tc>
        <w:tc>
          <w:tcPr>
            <w:tcW w:w="240" w:type="dxa"/>
            <w:vAlign w:val="bottom"/>
          </w:tcPr>
          <w:p>
            <w:pPr>
              <w:spacing w:after="0"/>
              <w:rPr>
                <w:sz w:val="10"/>
                <w:szCs w:val="10"/>
                <w:color w:val="auto"/>
              </w:rPr>
            </w:pPr>
          </w:p>
        </w:tc>
        <w:tc>
          <w:tcPr>
            <w:tcW w:w="1020" w:type="dxa"/>
            <w:vAlign w:val="bottom"/>
            <w:gridSpan w:val="2"/>
          </w:tcPr>
          <w:p>
            <w:pPr>
              <w:jc w:val="center"/>
              <w:ind w:right="140"/>
              <w:spacing w:after="0" w:line="122" w:lineRule="exact"/>
              <w:rPr>
                <w:sz w:val="20"/>
                <w:szCs w:val="20"/>
                <w:color w:val="auto"/>
              </w:rPr>
            </w:pPr>
            <w:r>
              <w:rPr>
                <w:rFonts w:ascii="Arial" w:cs="Arial" w:eastAsia="Arial" w:hAnsi="Arial"/>
                <w:sz w:val="13"/>
                <w:szCs w:val="13"/>
                <w:b w:val="1"/>
                <w:bCs w:val="1"/>
                <w:color w:val="auto"/>
                <w:w w:val="98"/>
              </w:rPr>
              <w:t>of Cash Flow</w:t>
            </w:r>
          </w:p>
        </w:tc>
        <w:tc>
          <w:tcPr>
            <w:tcW w:w="2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75"/>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0" w:type="dxa"/>
            <w:vAlign w:val="bottom"/>
          </w:tcPr>
          <w:p>
            <w:pPr>
              <w:spacing w:after="0"/>
              <w:rPr>
                <w:sz w:val="1"/>
                <w:szCs w:val="1"/>
                <w:color w:val="auto"/>
              </w:rPr>
            </w:pPr>
          </w:p>
        </w:tc>
      </w:tr>
      <w:tr>
        <w:trPr>
          <w:trHeight w:val="176"/>
        </w:trPr>
        <w:tc>
          <w:tcPr>
            <w:tcW w:w="33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18"/>
              <w:spacing w:after="0"/>
              <w:rPr>
                <w:sz w:val="20"/>
                <w:szCs w:val="20"/>
                <w:color w:val="auto"/>
              </w:rPr>
            </w:pPr>
            <w:r>
              <w:rPr>
                <w:rFonts w:ascii="Arial" w:cs="Arial" w:eastAsia="Arial" w:hAnsi="Arial"/>
                <w:sz w:val="13"/>
                <w:szCs w:val="13"/>
                <w:b w:val="1"/>
                <w:bCs w:val="1"/>
                <w:color w:val="auto"/>
                <w:w w:val="96"/>
              </w:rPr>
              <w:t>Gains (Losses)</w:t>
            </w: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82"/>
              <w:spacing w:after="0"/>
              <w:rPr>
                <w:sz w:val="20"/>
                <w:szCs w:val="20"/>
                <w:color w:val="auto"/>
              </w:rPr>
            </w:pPr>
            <w:r>
              <w:rPr>
                <w:rFonts w:ascii="Arial" w:cs="Arial" w:eastAsia="Arial" w:hAnsi="Arial"/>
                <w:sz w:val="13"/>
                <w:szCs w:val="13"/>
                <w:b w:val="1"/>
                <w:bCs w:val="1"/>
                <w:color w:val="auto"/>
              </w:rPr>
              <w:t>on Securities</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97"/>
              </w:rPr>
              <w:t>Benefit Plans</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93"/>
              </w:rPr>
              <w:t>Hedges</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98"/>
              <w:spacing w:after="0"/>
              <w:rPr>
                <w:sz w:val="20"/>
                <w:szCs w:val="20"/>
                <w:color w:val="auto"/>
              </w:rPr>
            </w:pPr>
            <w:r>
              <w:rPr>
                <w:rFonts w:ascii="Arial" w:cs="Arial" w:eastAsia="Arial" w:hAnsi="Arial"/>
                <w:sz w:val="13"/>
                <w:szCs w:val="13"/>
                <w:b w:val="1"/>
                <w:bCs w:val="1"/>
                <w:color w:val="auto"/>
              </w:rPr>
              <w:t>Operations</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75"/>
              <w:spacing w:after="0"/>
              <w:rPr>
                <w:sz w:val="20"/>
                <w:szCs w:val="20"/>
                <w:color w:val="auto"/>
              </w:rPr>
            </w:pPr>
            <w:r>
              <w:rPr>
                <w:rFonts w:ascii="Arial" w:cs="Arial" w:eastAsia="Arial" w:hAnsi="Arial"/>
                <w:sz w:val="13"/>
                <w:szCs w:val="13"/>
                <w:b w:val="1"/>
                <w:bCs w:val="1"/>
                <w:color w:val="auto"/>
                <w:w w:val="98"/>
              </w:rPr>
              <w:t>Loss</w:t>
            </w: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Balance at January 1, 2019 </w:t>
            </w:r>
            <w:r>
              <w:rPr>
                <w:rFonts w:ascii="Arial" w:cs="Arial" w:eastAsia="Arial" w:hAnsi="Arial"/>
                <w:sz w:val="23"/>
                <w:szCs w:val="23"/>
                <w:color w:val="auto"/>
                <w:vertAlign w:val="superscript"/>
              </w:rPr>
              <w:t>(1)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(3,852.7)</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(5,740.2)</w:t>
            </w:r>
          </w:p>
        </w:tc>
        <w:tc>
          <w:tcPr>
            <w:tcW w:w="0" w:type="dxa"/>
            <w:vAlign w:val="bottom"/>
          </w:tcPr>
          <w:p>
            <w:pPr>
              <w:spacing w:after="0"/>
              <w:rPr>
                <w:sz w:val="1"/>
                <w:szCs w:val="1"/>
                <w:color w:val="auto"/>
              </w:rPr>
            </w:pPr>
          </w:p>
        </w:tc>
      </w:tr>
      <w:tr>
        <w:trPr>
          <w:trHeight w:val="175"/>
        </w:trPr>
        <w:tc>
          <w:tcPr>
            <w:tcW w:w="3320" w:type="dxa"/>
            <w:vAlign w:val="bottom"/>
          </w:tcPr>
          <w:p>
            <w:pPr>
              <w:ind w:left="140"/>
              <w:spacing w:after="0" w:line="176" w:lineRule="exact"/>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(192.3)</w:t>
            </w:r>
          </w:p>
        </w:tc>
        <w:tc>
          <w:tcPr>
            <w:tcW w:w="180" w:type="dxa"/>
            <w:vAlign w:val="bottom"/>
          </w:tcPr>
          <w:p>
            <w:pPr>
              <w:spacing w:after="0"/>
              <w:rPr>
                <w:sz w:val="15"/>
                <w:szCs w:val="15"/>
                <w:color w:val="auto"/>
              </w:rPr>
            </w:pPr>
          </w:p>
        </w:tc>
        <w:tc>
          <w:tcPr>
            <w:tcW w:w="1160" w:type="dxa"/>
            <w:vAlign w:val="bottom"/>
            <w:vMerge w:val="restart"/>
          </w:tcPr>
          <w:p>
            <w:pPr>
              <w:jc w:val="right"/>
              <w:ind w:right="42"/>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15"/>
                <w:szCs w:val="15"/>
                <w:color w:val="auto"/>
              </w:rPr>
            </w:pPr>
          </w:p>
        </w:tc>
        <w:tc>
          <w:tcPr>
            <w:tcW w:w="1140" w:type="dxa"/>
            <w:vAlign w:val="bottom"/>
            <w:vMerge w:val="restart"/>
          </w:tcPr>
          <w:p>
            <w:pPr>
              <w:jc w:val="right"/>
              <w:ind w:right="21"/>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15"/>
                <w:szCs w:val="15"/>
                <w:color w:val="auto"/>
              </w:rPr>
            </w:pP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(51.7)</w:t>
            </w:r>
          </w:p>
        </w:tc>
        <w:tc>
          <w:tcPr>
            <w:tcW w:w="2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30"/>
        </w:trPr>
        <w:tc>
          <w:tcPr>
            <w:tcW w:w="3320" w:type="dxa"/>
            <w:vAlign w:val="bottom"/>
          </w:tcPr>
          <w:p>
            <w:pPr>
              <w:ind w:left="300"/>
              <w:spacing w:after="0"/>
              <w:rPr>
                <w:sz w:val="20"/>
                <w:szCs w:val="20"/>
                <w:color w:val="auto"/>
              </w:rPr>
            </w:pPr>
            <w:r>
              <w:rPr>
                <w:rFonts w:ascii="Arial" w:cs="Arial" w:eastAsia="Arial" w:hAnsi="Arial"/>
                <w:sz w:val="18"/>
                <w:szCs w:val="18"/>
                <w:color w:val="auto"/>
              </w:rPr>
              <w:t>before reclassifications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Net amount reclassified from</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rPr>
              <w:t>accumulated other comprehensive</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21"/>
              <w:spacing w:after="0"/>
              <w:rPr>
                <w:sz w:val="20"/>
                <w:szCs w:val="20"/>
                <w:color w:val="auto"/>
              </w:rPr>
            </w:pPr>
            <w:r>
              <w:rPr>
                <w:rFonts w:ascii="Arial" w:cs="Arial" w:eastAsia="Arial" w:hAnsi="Arial"/>
                <w:sz w:val="18"/>
                <w:szCs w:val="18"/>
                <w:color w:val="auto"/>
              </w:rPr>
              <w:t>136.8</w:t>
            </w:r>
          </w:p>
        </w:tc>
        <w:tc>
          <w:tcPr>
            <w:tcW w:w="2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84.0</w:t>
            </w:r>
          </w:p>
        </w:tc>
        <w:tc>
          <w:tcPr>
            <w:tcW w:w="2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loss</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other comprehensive income (loss)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28.7</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155.8</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(43.3)</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56.8</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2019</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6.6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(3,696.9)</w:t>
            </w:r>
          </w:p>
        </w:tc>
        <w:tc>
          <w:tcPr>
            <w:tcW w:w="2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(5,734.5)</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80" w:hanging="172"/>
        <w:spacing w:after="0" w:line="206" w:lineRule="auto"/>
        <w:tabs>
          <w:tab w:leader="none" w:pos="193"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Accumulated other comprehensive loss as of January 1, 2019 consists of $5.73 billion of accumulated other comprehensive loss attributable to controlling interest and $11.0 million of accumulated other comprehensive loss attributable to noncontrolling interest.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on the net activity related to each component of other comprehensive income (loss)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20" w:type="dxa"/>
            <w:vAlign w:val="bottom"/>
          </w:tcPr>
          <w:p>
            <w:pPr>
              <w:spacing w:after="0"/>
              <w:rPr>
                <w:sz w:val="16"/>
                <w:szCs w:val="16"/>
                <w:color w:val="auto"/>
              </w:rPr>
            </w:pPr>
          </w:p>
        </w:tc>
        <w:tc>
          <w:tcPr>
            <w:tcW w:w="25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Tax benefit (expense)</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gains/losses</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46.0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34.9</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Unrealized net gains/losses on securities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Defined benefit pension and retiree health benefit plans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11.8</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Effective portion of cash flow hedges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59.1</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55"/>
        </w:trPr>
        <w:tc>
          <w:tcPr>
            <w:tcW w:w="60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Benefit (provision) for income taxes allocated to other comprehensive</w:t>
            </w: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2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34.7</w:t>
            </w:r>
          </w:p>
        </w:tc>
        <w:tc>
          <w:tcPr>
            <w:tcW w:w="2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58.2</w:t>
            </w:r>
          </w:p>
        </w:tc>
        <w:tc>
          <w:tcPr>
            <w:tcW w:w="3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items</w:t>
            </w: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Except for the tax effects of foreign currency translation gains and losses related to our foreign currency-denominated notes, cross-currency interest rate swaps, and other foreign currency exchange contracts designated as net investment hedges (see Note 7),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the consolidated condensed statements of operations.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Reclassifications out of accumulated other comprehensive loss were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740" w:type="dxa"/>
            <w:vAlign w:val="bottom"/>
            <w:gridSpan w:val="3"/>
          </w:tcPr>
          <w:p>
            <w:pPr>
              <w:jc w:val="right"/>
              <w:ind w:right="213"/>
              <w:spacing w:after="0"/>
              <w:rPr>
                <w:sz w:val="20"/>
                <w:szCs w:val="20"/>
                <w:color w:val="auto"/>
              </w:rPr>
            </w:pPr>
            <w:r>
              <w:rPr>
                <w:rFonts w:ascii="Arial" w:cs="Arial" w:eastAsia="Arial" w:hAnsi="Arial"/>
                <w:sz w:val="14"/>
                <w:szCs w:val="14"/>
                <w:b w:val="1"/>
                <w:bCs w:val="1"/>
                <w:color w:val="auto"/>
              </w:rPr>
              <w:t>Nine Months Ended</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Details about Accumulated Other Comprehensive</w:t>
            </w:r>
          </w:p>
        </w:tc>
        <w:tc>
          <w:tcPr>
            <w:tcW w:w="2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412"/>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393"/>
              <w:spacing w:after="0"/>
              <w:rPr>
                <w:sz w:val="20"/>
                <w:szCs w:val="20"/>
                <w:color w:val="auto"/>
              </w:rPr>
            </w:pPr>
            <w:r>
              <w:rPr>
                <w:rFonts w:ascii="Arial" w:cs="Arial" w:eastAsia="Arial" w:hAnsi="Arial"/>
                <w:sz w:val="14"/>
                <w:szCs w:val="14"/>
                <w:b w:val="1"/>
                <w:bCs w:val="1"/>
                <w:color w:val="auto"/>
              </w:rPr>
              <w:t>September 30,</w:t>
            </w:r>
          </w:p>
        </w:tc>
        <w:tc>
          <w:tcPr>
            <w:tcW w:w="33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21"/>
        </w:trPr>
        <w:tc>
          <w:tcPr>
            <w:tcW w:w="390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line="20" w:lineRule="exact"/>
              <w:rPr>
                <w:sz w:val="1"/>
                <w:szCs w:val="1"/>
                <w:color w:val="auto"/>
              </w:rPr>
            </w:pPr>
          </w:p>
        </w:tc>
        <w:tc>
          <w:tcPr>
            <w:tcW w:w="7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line="20" w:lineRule="exact"/>
              <w:rPr>
                <w:sz w:val="1"/>
                <w:szCs w:val="1"/>
                <w:color w:val="auto"/>
              </w:rPr>
            </w:pPr>
          </w:p>
        </w:tc>
        <w:tc>
          <w:tcPr>
            <w:tcW w:w="7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line="20" w:lineRule="exact"/>
              <w:rPr>
                <w:sz w:val="1"/>
                <w:szCs w:val="1"/>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33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90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Loss Components</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33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Condensed Statements of Operations</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retirement benefit items:</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180"/>
              <w:spacing w:after="0"/>
              <w:rPr>
                <w:sz w:val="20"/>
                <w:szCs w:val="20"/>
                <w:color w:val="auto"/>
              </w:rPr>
            </w:pPr>
            <w:r>
              <w:rPr>
                <w:rFonts w:ascii="Arial" w:cs="Arial" w:eastAsia="Arial" w:hAnsi="Arial"/>
                <w:sz w:val="18"/>
                <w:szCs w:val="18"/>
                <w:color w:val="auto"/>
              </w:rPr>
              <w:t>Prior service benefits, net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(14.2)</w:t>
            </w:r>
          </w:p>
        </w:tc>
        <w:tc>
          <w:tcPr>
            <w:tcW w:w="30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(48.4)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(42.7)</w:t>
            </w:r>
          </w:p>
        </w:tc>
        <w:tc>
          <w:tcPr>
            <w:tcW w:w="2520" w:type="dxa"/>
            <w:vAlign w:val="bottom"/>
            <w:gridSpan w:val="4"/>
          </w:tcPr>
          <w:p>
            <w:pPr>
              <w:jc w:val="center"/>
              <w:ind w:left="33"/>
              <w:spacing w:after="0"/>
              <w:rPr>
                <w:sz w:val="20"/>
                <w:szCs w:val="20"/>
                <w:color w:val="auto"/>
              </w:rPr>
            </w:pPr>
            <w:r>
              <w:rPr>
                <w:rFonts w:ascii="Arial" w:cs="Arial" w:eastAsia="Arial" w:hAnsi="Arial"/>
                <w:sz w:val="18"/>
                <w:szCs w:val="18"/>
                <w:color w:val="auto"/>
                <w:w w:val="99"/>
              </w:rPr>
              <w:t>Other–net, (income) expense</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Actuarial losses, net</w:t>
            </w: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59.1</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71.3</w:t>
            </w: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288.6</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2520" w:type="dxa"/>
            <w:vAlign w:val="bottom"/>
            <w:gridSpan w:val="4"/>
            <w:shd w:val="clear" w:color="auto" w:fill="CCEEFF"/>
          </w:tcPr>
          <w:p>
            <w:pPr>
              <w:jc w:val="center"/>
              <w:ind w:left="33"/>
              <w:spacing w:after="0"/>
              <w:rPr>
                <w:sz w:val="20"/>
                <w:szCs w:val="20"/>
                <w:color w:val="auto"/>
              </w:rPr>
            </w:pPr>
            <w:r>
              <w:rPr>
                <w:rFonts w:ascii="Arial" w:cs="Arial" w:eastAsia="Arial" w:hAnsi="Arial"/>
                <w:sz w:val="18"/>
                <w:szCs w:val="18"/>
                <w:color w:val="auto"/>
                <w:w w:val="99"/>
              </w:rPr>
              <w:t>Other–net, (income) expense</w:t>
            </w: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jc w:val="right"/>
              <w:ind w:right="32"/>
              <w:spacing w:after="0"/>
              <w:rPr>
                <w:sz w:val="20"/>
                <w:szCs w:val="20"/>
                <w:color w:val="auto"/>
              </w:rPr>
            </w:pPr>
            <w:r>
              <w:rPr>
                <w:rFonts w:ascii="Arial" w:cs="Arial" w:eastAsia="Arial" w:hAnsi="Arial"/>
                <w:sz w:val="18"/>
                <w:szCs w:val="18"/>
                <w:color w:val="auto"/>
              </w:rPr>
              <w:t>Total before tax</w:t>
            </w:r>
          </w:p>
        </w:tc>
        <w:tc>
          <w:tcPr>
            <w:tcW w:w="200" w:type="dxa"/>
            <w:vAlign w:val="bottom"/>
          </w:tcPr>
          <w:p>
            <w:pPr>
              <w:spacing w:after="0"/>
              <w:rPr>
                <w:sz w:val="19"/>
                <w:szCs w:val="19"/>
                <w:color w:val="auto"/>
              </w:rPr>
            </w:pPr>
          </w:p>
        </w:tc>
        <w:tc>
          <w:tcPr>
            <w:tcW w:w="760" w:type="dxa"/>
            <w:vAlign w:val="bottom"/>
          </w:tcPr>
          <w:p>
            <w:pPr>
              <w:jc w:val="right"/>
              <w:ind w:right="35"/>
              <w:spacing w:after="0"/>
              <w:rPr>
                <w:sz w:val="20"/>
                <w:szCs w:val="20"/>
                <w:color w:val="auto"/>
              </w:rPr>
            </w:pPr>
            <w:r>
              <w:rPr>
                <w:rFonts w:ascii="Arial" w:cs="Arial" w:eastAsia="Arial" w:hAnsi="Arial"/>
                <w:sz w:val="18"/>
                <w:szCs w:val="18"/>
                <w:b w:val="1"/>
                <w:bCs w:val="1"/>
                <w:color w:val="auto"/>
              </w:rPr>
              <w:t>38.3</w:t>
            </w:r>
          </w:p>
        </w:tc>
        <w:tc>
          <w:tcPr>
            <w:tcW w:w="28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57.1</w:t>
            </w:r>
          </w:p>
        </w:tc>
        <w:tc>
          <w:tcPr>
            <w:tcW w:w="300" w:type="dxa"/>
            <w:vAlign w:val="bottom"/>
          </w:tcPr>
          <w:p>
            <w:pPr>
              <w:spacing w:after="0"/>
              <w:rPr>
                <w:sz w:val="19"/>
                <w:szCs w:val="19"/>
                <w:color w:val="auto"/>
              </w:rPr>
            </w:pPr>
          </w:p>
        </w:tc>
        <w:tc>
          <w:tcPr>
            <w:tcW w:w="760" w:type="dxa"/>
            <w:vAlign w:val="bottom"/>
          </w:tcPr>
          <w:p>
            <w:pPr>
              <w:jc w:val="right"/>
              <w:ind w:right="54"/>
              <w:spacing w:after="0"/>
              <w:rPr>
                <w:sz w:val="20"/>
                <w:szCs w:val="20"/>
                <w:color w:val="auto"/>
              </w:rPr>
            </w:pPr>
            <w:r>
              <w:rPr>
                <w:rFonts w:ascii="Arial" w:cs="Arial" w:eastAsia="Arial" w:hAnsi="Arial"/>
                <w:sz w:val="18"/>
                <w:szCs w:val="18"/>
                <w:b w:val="1"/>
                <w:bCs w:val="1"/>
                <w:color w:val="auto"/>
              </w:rPr>
              <w:t>240.2</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172.2</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Tax benefit</w:t>
            </w: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(50.4)</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20" w:type="dxa"/>
            <w:vAlign w:val="bottom"/>
            <w:gridSpan w:val="3"/>
            <w:shd w:val="clear" w:color="auto" w:fill="CCEEFF"/>
          </w:tcPr>
          <w:p>
            <w:pPr>
              <w:jc w:val="right"/>
              <w:ind w:right="675"/>
              <w:spacing w:after="0"/>
              <w:rPr>
                <w:sz w:val="20"/>
                <w:szCs w:val="20"/>
                <w:color w:val="auto"/>
              </w:rPr>
            </w:pPr>
            <w:r>
              <w:rPr>
                <w:rFonts w:ascii="Arial" w:cs="Arial" w:eastAsia="Arial" w:hAnsi="Arial"/>
                <w:sz w:val="18"/>
                <w:szCs w:val="18"/>
                <w:color w:val="auto"/>
              </w:rPr>
              <w:t>Income taxes</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jc w:val="right"/>
              <w:ind w:right="32"/>
              <w:spacing w:after="0"/>
              <w:rPr>
                <w:sz w:val="20"/>
                <w:szCs w:val="20"/>
                <w:color w:val="auto"/>
              </w:rPr>
            </w:pPr>
            <w:r>
              <w:rPr>
                <w:rFonts w:ascii="Arial" w:cs="Arial" w:eastAsia="Arial" w:hAnsi="Arial"/>
                <w:sz w:val="18"/>
                <w:szCs w:val="18"/>
                <w:color w:val="auto"/>
              </w:rPr>
              <w:t>Net of tax</w:t>
            </w:r>
          </w:p>
        </w:tc>
        <w:tc>
          <w:tcPr>
            <w:tcW w:w="200" w:type="dxa"/>
            <w:vAlign w:val="bottom"/>
          </w:tcPr>
          <w:p>
            <w:pPr>
              <w:spacing w:after="0"/>
              <w:rPr>
                <w:sz w:val="19"/>
                <w:szCs w:val="19"/>
                <w:color w:val="auto"/>
              </w:rPr>
            </w:pPr>
          </w:p>
        </w:tc>
        <w:tc>
          <w:tcPr>
            <w:tcW w:w="760" w:type="dxa"/>
            <w:vAlign w:val="bottom"/>
          </w:tcPr>
          <w:p>
            <w:pPr>
              <w:jc w:val="right"/>
              <w:ind w:right="35"/>
              <w:spacing w:after="0"/>
              <w:rPr>
                <w:sz w:val="20"/>
                <w:szCs w:val="20"/>
                <w:color w:val="auto"/>
              </w:rPr>
            </w:pPr>
            <w:r>
              <w:rPr>
                <w:rFonts w:ascii="Arial" w:cs="Arial" w:eastAsia="Arial" w:hAnsi="Arial"/>
                <w:sz w:val="18"/>
                <w:szCs w:val="18"/>
                <w:b w:val="1"/>
                <w:bCs w:val="1"/>
                <w:color w:val="auto"/>
              </w:rPr>
              <w:t>30.3</w:t>
            </w:r>
          </w:p>
        </w:tc>
        <w:tc>
          <w:tcPr>
            <w:tcW w:w="28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45.1</w:t>
            </w:r>
          </w:p>
        </w:tc>
        <w:tc>
          <w:tcPr>
            <w:tcW w:w="300" w:type="dxa"/>
            <w:vAlign w:val="bottom"/>
          </w:tcPr>
          <w:p>
            <w:pPr>
              <w:spacing w:after="0"/>
              <w:rPr>
                <w:sz w:val="19"/>
                <w:szCs w:val="19"/>
                <w:color w:val="auto"/>
              </w:rPr>
            </w:pPr>
          </w:p>
        </w:tc>
        <w:tc>
          <w:tcPr>
            <w:tcW w:w="760" w:type="dxa"/>
            <w:vAlign w:val="bottom"/>
          </w:tcPr>
          <w:p>
            <w:pPr>
              <w:jc w:val="right"/>
              <w:ind w:right="54"/>
              <w:spacing w:after="0"/>
              <w:rPr>
                <w:sz w:val="20"/>
                <w:szCs w:val="20"/>
                <w:color w:val="auto"/>
              </w:rPr>
            </w:pPr>
            <w:r>
              <w:rPr>
                <w:rFonts w:ascii="Arial" w:cs="Arial" w:eastAsia="Arial" w:hAnsi="Arial"/>
                <w:sz w:val="18"/>
                <w:szCs w:val="18"/>
                <w:b w:val="1"/>
                <w:bCs w:val="1"/>
                <w:color w:val="auto"/>
              </w:rPr>
              <w:t>189.8</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136.8</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520" w:type="dxa"/>
            <w:vAlign w:val="bottom"/>
            <w:gridSpan w:val="4"/>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 of tax</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3.1</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13.0</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520" w:type="dxa"/>
            <w:vAlign w:val="bottom"/>
            <w:tcBorders>
              <w:bottom w:val="single" w:sz="8" w:color="CCEEFF"/>
            </w:tcBorders>
            <w:gridSpan w:val="4"/>
          </w:tcPr>
          <w:p>
            <w:pPr>
              <w:jc w:val="center"/>
              <w:ind w:left="33"/>
              <w:spacing w:after="0"/>
              <w:rPr>
                <w:sz w:val="20"/>
                <w:szCs w:val="20"/>
                <w:color w:val="auto"/>
              </w:rPr>
            </w:pPr>
            <w:r>
              <w:rPr>
                <w:rFonts w:ascii="Arial" w:cs="Arial" w:eastAsia="Arial" w:hAnsi="Arial"/>
                <w:sz w:val="18"/>
                <w:szCs w:val="18"/>
                <w:color w:val="auto"/>
                <w:w w:val="99"/>
              </w:rPr>
              <w:t>Other–net, (income) expense</w:t>
            </w:r>
          </w:p>
        </w:tc>
        <w:tc>
          <w:tcPr>
            <w:tcW w:w="8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9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Reclassifications from continuing operations</w:t>
            </w:r>
          </w:p>
        </w:tc>
        <w:tc>
          <w:tcPr>
            <w:tcW w:w="2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33.4</w:t>
            </w:r>
          </w:p>
        </w:tc>
        <w:tc>
          <w:tcPr>
            <w:tcW w:w="2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47.9</w:t>
            </w:r>
          </w:p>
        </w:tc>
        <w:tc>
          <w:tcPr>
            <w:tcW w:w="3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202.8</w:t>
            </w:r>
          </w:p>
        </w:tc>
        <w:tc>
          <w:tcPr>
            <w:tcW w:w="2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tax)</w:t>
            </w:r>
          </w:p>
        </w:tc>
        <w:tc>
          <w:tcPr>
            <w:tcW w:w="20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900" w:type="dxa"/>
            <w:vAlign w:val="bottom"/>
          </w:tcPr>
          <w:p>
            <w:pPr>
              <w:ind w:left="20"/>
              <w:spacing w:after="0" w:line="176" w:lineRule="exact"/>
              <w:rPr>
                <w:sz w:val="20"/>
                <w:szCs w:val="20"/>
                <w:color w:val="auto"/>
              </w:rPr>
            </w:pPr>
            <w:r>
              <w:rPr>
                <w:rFonts w:ascii="Arial" w:cs="Arial" w:eastAsia="Arial" w:hAnsi="Arial"/>
                <w:sz w:val="18"/>
                <w:szCs w:val="18"/>
                <w:color w:val="auto"/>
              </w:rPr>
              <w:t>Reclassifications from discontinued operations</w:t>
            </w:r>
          </w:p>
        </w:tc>
        <w:tc>
          <w:tcPr>
            <w:tcW w:w="200" w:type="dxa"/>
            <w:vAlign w:val="bottom"/>
          </w:tcPr>
          <w:p>
            <w:pPr>
              <w:spacing w:after="0"/>
              <w:rPr>
                <w:sz w:val="15"/>
                <w:szCs w:val="15"/>
                <w:color w:val="auto"/>
              </w:rPr>
            </w:pPr>
          </w:p>
        </w:tc>
        <w:tc>
          <w:tcPr>
            <w:tcW w:w="76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5"/>
                <w:szCs w:val="15"/>
                <w:color w:val="auto"/>
              </w:rPr>
            </w:pPr>
          </w:p>
        </w:tc>
        <w:tc>
          <w:tcPr>
            <w:tcW w:w="72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76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84.0</w:t>
            </w:r>
          </w:p>
        </w:tc>
        <w:tc>
          <w:tcPr>
            <w:tcW w:w="3340" w:type="dxa"/>
            <w:vAlign w:val="bottom"/>
            <w:gridSpan w:val="5"/>
            <w:vMerge w:val="restart"/>
          </w:tcPr>
          <w:p>
            <w:pPr>
              <w:jc w:val="center"/>
              <w:spacing w:after="0"/>
              <w:rPr>
                <w:sz w:val="20"/>
                <w:szCs w:val="20"/>
                <w:color w:val="auto"/>
              </w:rPr>
            </w:pPr>
            <w:r>
              <w:rPr>
                <w:rFonts w:ascii="Arial" w:cs="Arial" w:eastAsia="Arial" w:hAnsi="Arial"/>
                <w:sz w:val="18"/>
                <w:szCs w:val="18"/>
                <w:color w:val="auto"/>
                <w:w w:val="99"/>
              </w:rPr>
              <w:t>Net income from discontinued operations</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of tax)</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3340" w:type="dxa"/>
            <w:vAlign w:val="bottom"/>
            <w:tcBorders>
              <w:bottom w:val="single" w:sz="8" w:color="CCEEFF"/>
            </w:tcBorders>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33.4</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47.9</w:t>
            </w:r>
          </w:p>
        </w:tc>
        <w:tc>
          <w:tcPr>
            <w:tcW w:w="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202.8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66"/>
        </w:trPr>
        <w:tc>
          <w:tcPr>
            <w:tcW w:w="3900" w:type="dxa"/>
            <w:vAlign w:val="bottom"/>
          </w:tcPr>
          <w:p>
            <w:pPr>
              <w:spacing w:after="0"/>
              <w:rPr>
                <w:sz w:val="20"/>
                <w:szCs w:val="20"/>
                <w:color w:val="auto"/>
              </w:rPr>
            </w:pPr>
            <w:r>
              <w:rPr>
                <w:rFonts w:ascii="Arial" w:cs="Arial" w:eastAsia="Arial" w:hAnsi="Arial"/>
                <w:sz w:val="18"/>
                <w:szCs w:val="18"/>
                <w:b w:val="1"/>
                <w:bCs w:val="1"/>
                <w:color w:val="auto"/>
              </w:rPr>
              <w:t>Note 12: Other–Net, (Income) Expense</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860" w:type="dxa"/>
            <w:vAlign w:val="bottom"/>
            <w:gridSpan w:val="3"/>
          </w:tcPr>
          <w:p>
            <w:pPr>
              <w:spacing w:after="0"/>
              <w:rPr>
                <w:sz w:val="20"/>
                <w:szCs w:val="20"/>
                <w:color w:val="auto"/>
              </w:rPr>
            </w:pPr>
            <w:r>
              <w:rPr>
                <w:rFonts w:ascii="Arial" w:cs="Arial" w:eastAsia="Arial" w:hAnsi="Arial"/>
                <w:sz w:val="18"/>
                <w:szCs w:val="18"/>
                <w:color w:val="auto"/>
              </w:rPr>
              <w:t>Other–net, (income) expense consisted of the following:</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3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3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89.6</w:t>
            </w:r>
          </w:p>
        </w:tc>
        <w:tc>
          <w:tcPr>
            <w:tcW w:w="72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107.4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center"/>
              <w:ind w:left="395"/>
              <w:spacing w:after="0"/>
              <w:rPr>
                <w:sz w:val="20"/>
                <w:szCs w:val="20"/>
                <w:color w:val="auto"/>
              </w:rPr>
            </w:pPr>
            <w:r>
              <w:rPr>
                <w:rFonts w:ascii="Arial" w:cs="Arial" w:eastAsia="Arial" w:hAnsi="Arial"/>
                <w:sz w:val="18"/>
                <w:szCs w:val="18"/>
                <w:b w:val="1"/>
                <w:bCs w:val="1"/>
                <w:color w:val="auto"/>
                <w:w w:val="97"/>
              </w:rPr>
              <w:t>270.4</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(5.8)</w:t>
            </w:r>
          </w:p>
        </w:tc>
        <w:tc>
          <w:tcPr>
            <w:tcW w:w="7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(27.2)</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Retirement benefit plans</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(114.0)</w:t>
            </w:r>
          </w:p>
        </w:tc>
        <w:tc>
          <w:tcPr>
            <w:tcW w:w="7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(194.5)</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(128.7)</w:t>
            </w:r>
          </w:p>
        </w:tc>
        <w:tc>
          <w:tcPr>
            <w:tcW w:w="7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(743.6)</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Other–net, (income) expense</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(158.9)</w:t>
            </w:r>
          </w:p>
        </w:tc>
        <w:tc>
          <w:tcPr>
            <w:tcW w:w="72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24.9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(694.9)</w:t>
            </w:r>
          </w:p>
        </w:tc>
        <w:tc>
          <w:tcPr>
            <w:tcW w:w="5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2020, other income is primarily related to net gains on investments (see Note 7).</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Item 2. Management’s Discussion and Analysis of Results of Operations and Financial Condition</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b w:val="1"/>
          <w:bCs w:val="1"/>
          <w:color w:val="auto"/>
        </w:rPr>
        <w:t>Tables present dollars in millions, except per-share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9" w:lineRule="exact"/>
        <w:rPr>
          <w:sz w:val="20"/>
          <w:szCs w:val="20"/>
          <w:color w:val="auto"/>
        </w:rPr>
      </w:pPr>
    </w:p>
    <w:p>
      <w:pPr>
        <w:ind w:right="8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Management’s discussion and analysis of results of operations and financial condition is intended to assist the reader in understanding and assessing significant changes and trends related to the results of operations and financial position of our consolidated company. This discussion and analysis should be read in conjunction with the consolidated condensed financial statements and accompanying footnotes in Item 1 of Part I of this Quarterly Report on Form 10-Q. Certain statements in this Item 2 of Part I of this Quarterly Report on Form 10-Q constitute forward-looking statements. Various risks and uncertainties, including those discussed in "Forward-Looking Statements" and "Risk Factors" in Part II, Item 1A of this Quarterly Report on Form 10-Q and Item 1A, “Risk Factors,” of Part I of our Annual Report on </w:t>
      </w:r>
      <w:hyperlink r:id="rId16">
        <w:r>
          <w:rPr>
            <w:rFonts w:ascii="Arial" w:cs="Arial" w:eastAsia="Arial" w:hAnsi="Arial"/>
            <w:sz w:val="18"/>
            <w:szCs w:val="18"/>
            <w:u w:val="single" w:color="auto"/>
            <w:color w:val="0000FF"/>
          </w:rPr>
          <w:t>Form 10-K</w:t>
        </w:r>
      </w:hyperlink>
      <w:r>
        <w:rPr>
          <w:rFonts w:ascii="Arial" w:cs="Arial" w:eastAsia="Arial" w:hAnsi="Arial"/>
          <w:sz w:val="18"/>
          <w:szCs w:val="18"/>
          <w:color w:val="auto"/>
        </w:rPr>
        <w:t xml:space="preserve"> for the year ended December 31, 2019, may cause our actual results, financial position, and cash generated from operations to differ materially from these forward-looking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19"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This section provides an overview of our financial results, recent product and late-stage pipeline developments, and other matters affecting our company and the pharmaceutical industry. Earnings per share (EPS) data are presented on a diluted basis.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11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In response to the COVID-19 pandemic, we have been focused on the following: maintaining a reliable supply of our medicines; reducing the strain on the medical system; developing potential treatments for COVID-19; keeping our employees safe; supporting our communities; and affordability of and access to our medicines, particularly insulin.</w:t>
      </w:r>
    </w:p>
    <w:p>
      <w:pPr>
        <w:spacing w:after="0" w:line="5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consolidated operating results during the nine months ended September 30, 2020 were negatively impacted by the COVID-19 pandemic, including as a result of decreases in new prescriptions. The COVID-19 pandemic could continue to have a negative impact on our business in the future depending upon the duration and depth of the effects of the pandemic. We have experienced negative impacts due to the COVID-19 pandemic, including decreases in new prescriptions as a result of fewer patient visits to physician’s offices to begin or change treatment and changes in payer segment mix and the use of patient affordability programs in the United States (U.S.) due to rising unemployment. Additionally, we may experience decreased demand as a result of temporarily halting in-person interactions by our employees with healthcare providers and potential additional pricing pressures resulting from the fiscal strain on government-funded healthcare systems around the world.</w:t>
      </w:r>
    </w:p>
    <w:p>
      <w:pPr>
        <w:spacing w:after="0" w:line="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remain committed to discovering and developing new treatments for the patients we serve. At the beginning of the pandemic we paused new clinical trial starts and enrollment in new trials in order to reduce the strain on the medical system, and in recent months we have resumed this activity in the majority of our clinical trials. The clinical trials for molecules in our late-stage pipeline are continuing, and currently we do not expect further delays as a result of COVID-19. In addition, we have made meaningful progress in developing potential COVID-19 treatments, including bamlanivimab (LY-CoV555), etesevimab (LY-CoV016), and baricitinib. We have submitted requests for Emergency Use Authorization for bamlanivimab monotherapy in higher-risk patients who have been recently diagnosed with mild-to-moderate COVID-19 and for baricitinib in combination with remdesivir in hospitalized COVID-19 patients. We are actively working with a variety of organizations, including governmental agencies, to facilitate access to our potential COVID-19 treatments in various countries. However, unexpected delays in the timing of our clinical trials, or in regulatory reviews, could adversely affect our ability to commercialize some assets in our product pipeline if the current pandemic continues for a protracted period.</w:t>
      </w:r>
    </w:p>
    <w:p>
      <w:pPr>
        <w:spacing w:after="0" w:line="6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ability to continue to operate without any significant negative impacts will in part depend on our ability to protect our employees and our supply chain. We have taken steps to protect our employees worldwide, with particular measures in place for those working in our manufacturing sites and distribution facilities. For the nine months ended September 30, 2020, we were able to largely maintain our normal operations. However, uncertainty resulting from the COVID-19 pandemic could have an adverse impact on our manufacturing operations, supply chain and distribution systems, which could impact our ability to produce and distribute our products and the ability of third parties on which we rely to fulfill their obligations to us, and could increase our expenses. In addition, we are resuming in-person promotional activities when determined safe to do so.</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5" w:name="page36"/>
    <w:bookmarkEnd w:id="35"/>
    <w:p>
      <w:pPr>
        <w:ind w:right="80"/>
        <w:spacing w:after="0" w:line="264" w:lineRule="auto"/>
        <w:rPr>
          <w:sz w:val="20"/>
          <w:szCs w:val="20"/>
          <w:color w:val="auto"/>
        </w:rPr>
      </w:pPr>
      <w:r>
        <w:rPr>
          <w:rFonts w:ascii="Arial" w:cs="Arial" w:eastAsia="Arial" w:hAnsi="Arial"/>
          <w:sz w:val="18"/>
          <w:szCs w:val="18"/>
          <w:color w:val="auto"/>
        </w:rPr>
        <w:t>Although the pandemic has had an impact our operations and the demand for our products, it has not negatively impacted our liquidity position. We expect to continue to generate cash flows to meet our short-term liquidity needs and to have access to liquidity via the short-term and long-term debt markets. We have also not observed any material impairments of our assets or a significant change in the fair value of assets due to the COVID-19 pandemic.</w:t>
      </w:r>
    </w:p>
    <w:p>
      <w:pPr>
        <w:spacing w:after="0" w:line="6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degree to which the COVID-19 pandemic will continue to impact our future business operations, financial results and liquidity will depend on future developments, is highly uncertain, and cannot be predicted due to, among other things, the duration and spread of additional COVID-19 outbreaks, their severity, the actions to contain the virus or treat its impact, and how quickly and to what extent normal economic and operating conditions resume. Should the COVID-19 pandemic and any associated recession or depression continue for a prolonged period, our results of operations, financial condition, liquidity, and cash flows could be materially impacted by lower revenues and profitability and a lower likelihood of effectively and efficiently developing and launching new medicines. See “Risk Factors” in Part II, Item 1A of this Quarterly Report on Form 10-Q for additional information on risk factors that could impact our results.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Elanco Animal Health (Elanco) Disposition</w:t>
      </w:r>
    </w:p>
    <w:p>
      <w:pPr>
        <w:spacing w:after="0" w:line="11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On March 11, 2019, we completed the disposition of our remaining 80.2 percent ownership of Elanco common stock through a tax-free exchange offer. As a result, we recognized a gain on the disposition of approximately $3.7 billion in the first quarter of 2019 and now operate as a single segment. See Note 5 to the consolidated condensed financial statements for further discussion.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operating results: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Three Months Ended September 30,</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4"/>
                <w:szCs w:val="14"/>
                <w:b w:val="1"/>
                <w:bCs w:val="1"/>
                <w:color w:val="auto"/>
              </w:rPr>
              <w:t>Nine Months Ended September 30,</w:t>
            </w:r>
          </w:p>
        </w:tc>
        <w:tc>
          <w:tcPr>
            <w:tcW w:w="9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28"/>
        </w:trPr>
        <w:tc>
          <w:tcPr>
            <w:tcW w:w="3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1"/>
                <w:szCs w:val="11"/>
                <w:color w:val="auto"/>
              </w:rPr>
            </w:pPr>
          </w:p>
        </w:tc>
        <w:tc>
          <w:tcPr>
            <w:tcW w:w="104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0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1"/>
                <w:szCs w:val="11"/>
                <w:color w:val="auto"/>
              </w:rPr>
            </w:pPr>
          </w:p>
        </w:tc>
        <w:tc>
          <w:tcPr>
            <w:tcW w:w="114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4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5,740.6</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5,476.6</w:t>
            </w:r>
          </w:p>
        </w:tc>
        <w:tc>
          <w:tcPr>
            <w:tcW w:w="104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193"/>
              <w:spacing w:after="0"/>
              <w:rPr>
                <w:sz w:val="20"/>
                <w:szCs w:val="20"/>
                <w:color w:val="auto"/>
              </w:rPr>
            </w:pPr>
            <w:r>
              <w:rPr>
                <w:rFonts w:ascii="Arial" w:cs="Arial" w:eastAsia="Arial" w:hAnsi="Arial"/>
                <w:sz w:val="18"/>
                <w:szCs w:val="18"/>
                <w:b w:val="1"/>
                <w:bCs w:val="1"/>
                <w:color w:val="auto"/>
              </w:rPr>
              <w:t>17,099.8</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16,205.5</w:t>
            </w:r>
          </w:p>
        </w:tc>
        <w:tc>
          <w:tcPr>
            <w:tcW w:w="90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40" w:type="dxa"/>
            <w:vAlign w:val="bottom"/>
          </w:tcPr>
          <w:p>
            <w:pPr>
              <w:spacing w:after="0"/>
              <w:rPr>
                <w:sz w:val="19"/>
                <w:szCs w:val="19"/>
                <w:color w:val="auto"/>
              </w:rPr>
            </w:pPr>
          </w:p>
        </w:tc>
        <w:tc>
          <w:tcPr>
            <w:tcW w:w="1260" w:type="dxa"/>
            <w:vAlign w:val="bottom"/>
          </w:tcPr>
          <w:p>
            <w:pPr>
              <w:jc w:val="right"/>
              <w:ind w:right="213"/>
              <w:spacing w:after="0"/>
              <w:rPr>
                <w:sz w:val="20"/>
                <w:szCs w:val="20"/>
                <w:color w:val="auto"/>
              </w:rPr>
            </w:pPr>
            <w:r>
              <w:rPr>
                <w:rFonts w:ascii="Arial" w:cs="Arial" w:eastAsia="Arial" w:hAnsi="Arial"/>
                <w:sz w:val="18"/>
                <w:szCs w:val="18"/>
                <w:b w:val="1"/>
                <w:bCs w:val="1"/>
                <w:color w:val="auto"/>
              </w:rPr>
              <w:t>4,414.2</w:t>
            </w:r>
          </w:p>
        </w:tc>
        <w:tc>
          <w:tcPr>
            <w:tcW w:w="360" w:type="dxa"/>
            <w:vAlign w:val="bottom"/>
          </w:tcPr>
          <w:p>
            <w:pPr>
              <w:spacing w:after="0"/>
              <w:rPr>
                <w:sz w:val="19"/>
                <w:szCs w:val="19"/>
                <w:color w:val="auto"/>
              </w:rPr>
            </w:pP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4,301.6</w:t>
            </w:r>
          </w:p>
        </w:tc>
        <w:tc>
          <w:tcPr>
            <w:tcW w:w="1040" w:type="dxa"/>
            <w:vAlign w:val="bottom"/>
          </w:tcPr>
          <w:p>
            <w:pPr>
              <w:jc w:val="right"/>
              <w:ind w:right="373"/>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280" w:type="dxa"/>
            <w:vAlign w:val="bottom"/>
          </w:tcPr>
          <w:p>
            <w:pPr>
              <w:jc w:val="right"/>
              <w:ind w:right="193"/>
              <w:spacing w:after="0"/>
              <w:rPr>
                <w:sz w:val="20"/>
                <w:szCs w:val="20"/>
                <w:color w:val="auto"/>
              </w:rPr>
            </w:pPr>
            <w:r>
              <w:rPr>
                <w:rFonts w:ascii="Arial" w:cs="Arial" w:eastAsia="Arial" w:hAnsi="Arial"/>
                <w:sz w:val="18"/>
                <w:szCs w:val="18"/>
                <w:b w:val="1"/>
                <w:bCs w:val="1"/>
                <w:color w:val="auto"/>
              </w:rPr>
              <w:t>13,336.3</w:t>
            </w:r>
          </w:p>
        </w:tc>
        <w:tc>
          <w:tcPr>
            <w:tcW w:w="38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12,766.9</w:t>
            </w:r>
          </w:p>
        </w:tc>
        <w:tc>
          <w:tcPr>
            <w:tcW w:w="900" w:type="dxa"/>
            <w:vAlign w:val="bottom"/>
          </w:tcPr>
          <w:p>
            <w:pPr>
              <w:jc w:val="center"/>
              <w:ind w:left="33"/>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as a percent of revenue</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76.9 %</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78.5 %</w:t>
            </w: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78.0 %</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78.8 %</w:t>
            </w: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213"/>
              <w:spacing w:after="0"/>
              <w:rPr>
                <w:sz w:val="20"/>
                <w:szCs w:val="20"/>
                <w:color w:val="auto"/>
              </w:rPr>
            </w:pPr>
            <w:r>
              <w:rPr>
                <w:rFonts w:ascii="Arial" w:cs="Arial" w:eastAsia="Arial" w:hAnsi="Arial"/>
                <w:sz w:val="18"/>
                <w:szCs w:val="18"/>
                <w:b w:val="1"/>
                <w:bCs w:val="1"/>
                <w:color w:val="auto"/>
              </w:rPr>
              <w:t>3,034.5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2,793.2</w:t>
            </w:r>
          </w:p>
        </w:tc>
        <w:tc>
          <w:tcPr>
            <w:tcW w:w="1040" w:type="dxa"/>
            <w:vAlign w:val="bottom"/>
          </w:tcPr>
          <w:p>
            <w:pPr>
              <w:jc w:val="right"/>
              <w:ind w:right="373"/>
              <w:spacing w:after="0"/>
              <w:rPr>
                <w:sz w:val="20"/>
                <w:szCs w:val="20"/>
                <w:color w:val="auto"/>
              </w:rPr>
            </w:pPr>
            <w:r>
              <w:rPr>
                <w:rFonts w:ascii="Arial" w:cs="Arial" w:eastAsia="Arial" w:hAnsi="Arial"/>
                <w:sz w:val="18"/>
                <w:szCs w:val="18"/>
                <w:color w:val="auto"/>
              </w:rPr>
              <w:t>9</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193"/>
              <w:spacing w:after="0"/>
              <w:rPr>
                <w:sz w:val="20"/>
                <w:szCs w:val="20"/>
                <w:color w:val="auto"/>
              </w:rPr>
            </w:pPr>
            <w:r>
              <w:rPr>
                <w:rFonts w:ascii="Arial" w:cs="Arial" w:eastAsia="Arial" w:hAnsi="Arial"/>
                <w:sz w:val="18"/>
                <w:szCs w:val="18"/>
                <w:b w:val="1"/>
                <w:bCs w:val="1"/>
                <w:color w:val="auto"/>
              </w:rPr>
              <w:t>8,815.0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8,529.3</w:t>
            </w:r>
          </w:p>
        </w:tc>
        <w:tc>
          <w:tcPr>
            <w:tcW w:w="900" w:type="dxa"/>
            <w:vAlign w:val="bottom"/>
          </w:tcPr>
          <w:p>
            <w:pPr>
              <w:jc w:val="center"/>
              <w:ind w:left="33"/>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75"/>
        </w:trPr>
        <w:tc>
          <w:tcPr>
            <w:tcW w:w="3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Acquired in-process research and</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77.7</w:t>
            </w: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193"/>
              <w:spacing w:after="0"/>
              <w:rPr>
                <w:sz w:val="20"/>
                <w:szCs w:val="20"/>
                <w:color w:val="auto"/>
              </w:rPr>
            </w:pPr>
            <w:r>
              <w:rPr>
                <w:rFonts w:ascii="Arial" w:cs="Arial" w:eastAsia="Arial" w:hAnsi="Arial"/>
                <w:sz w:val="18"/>
                <w:szCs w:val="18"/>
                <w:b w:val="1"/>
                <w:bCs w:val="1"/>
                <w:color w:val="auto"/>
              </w:rPr>
              <w:t>294.1</w:t>
            </w:r>
          </w:p>
        </w:tc>
        <w:tc>
          <w:tcPr>
            <w:tcW w:w="3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239.6</w:t>
            </w:r>
          </w:p>
        </w:tc>
        <w:tc>
          <w:tcPr>
            <w:tcW w:w="900" w:type="dxa"/>
            <w:vAlign w:val="bottom"/>
            <w:vMerge w:val="restart"/>
            <w:shd w:val="clear" w:color="auto" w:fill="CCEEFF"/>
          </w:tcPr>
          <w:p>
            <w:pPr>
              <w:jc w:val="center"/>
              <w:ind w:left="13"/>
              <w:spacing w:after="0"/>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 (IPR&amp;D)</w:t>
            </w:r>
          </w:p>
        </w:tc>
        <w:tc>
          <w:tcPr>
            <w:tcW w:w="14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80" w:type="dxa"/>
            <w:vAlign w:val="bottom"/>
          </w:tcPr>
          <w:p>
            <w:pPr>
              <w:ind w:left="20"/>
              <w:spacing w:after="0" w:line="176" w:lineRule="exact"/>
              <w:rPr>
                <w:sz w:val="20"/>
                <w:szCs w:val="20"/>
                <w:color w:val="auto"/>
              </w:rPr>
            </w:pPr>
            <w:r>
              <w:rPr>
                <w:rFonts w:ascii="Arial" w:cs="Arial" w:eastAsia="Arial" w:hAnsi="Arial"/>
                <w:sz w:val="18"/>
                <w:szCs w:val="18"/>
                <w:color w:val="auto"/>
              </w:rPr>
              <w:t>Asset impairment, restructuring, and other</w:t>
            </w:r>
          </w:p>
        </w:tc>
        <w:tc>
          <w:tcPr>
            <w:tcW w:w="140" w:type="dxa"/>
            <w:vAlign w:val="bottom"/>
          </w:tcPr>
          <w:p>
            <w:pPr>
              <w:spacing w:after="0"/>
              <w:rPr>
                <w:sz w:val="15"/>
                <w:szCs w:val="15"/>
                <w:color w:val="auto"/>
              </w:rPr>
            </w:pPr>
          </w:p>
        </w:tc>
        <w:tc>
          <w:tcPr>
            <w:tcW w:w="1260" w:type="dxa"/>
            <w:vAlign w:val="bottom"/>
            <w:vMerge w:val="restart"/>
          </w:tcPr>
          <w:p>
            <w:pPr>
              <w:jc w:val="right"/>
              <w:ind w:right="213"/>
              <w:spacing w:after="0"/>
              <w:rPr>
                <w:sz w:val="20"/>
                <w:szCs w:val="20"/>
                <w:color w:val="auto"/>
              </w:rPr>
            </w:pPr>
            <w:r>
              <w:rPr>
                <w:rFonts w:ascii="Arial" w:cs="Arial" w:eastAsia="Arial" w:hAnsi="Arial"/>
                <w:sz w:val="18"/>
                <w:szCs w:val="18"/>
                <w:b w:val="1"/>
                <w:bCs w:val="1"/>
                <w:color w:val="auto"/>
              </w:rPr>
              <w:t>101.4</w:t>
            </w:r>
          </w:p>
        </w:tc>
        <w:tc>
          <w:tcPr>
            <w:tcW w:w="360" w:type="dxa"/>
            <w:vAlign w:val="bottom"/>
          </w:tcPr>
          <w:p>
            <w:pPr>
              <w:spacing w:after="0"/>
              <w:rPr>
                <w:sz w:val="15"/>
                <w:szCs w:val="15"/>
                <w:color w:val="auto"/>
              </w:rPr>
            </w:pPr>
          </w:p>
        </w:tc>
        <w:tc>
          <w:tcPr>
            <w:tcW w:w="1040" w:type="dxa"/>
            <w:vAlign w:val="bottom"/>
            <w:vMerge w:val="restart"/>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99"/>
              </w:rPr>
              <w:t>NM</w:t>
            </w:r>
          </w:p>
        </w:tc>
        <w:tc>
          <w:tcPr>
            <w:tcW w:w="220" w:type="dxa"/>
            <w:vAlign w:val="bottom"/>
          </w:tcPr>
          <w:p>
            <w:pPr>
              <w:spacing w:after="0"/>
              <w:rPr>
                <w:sz w:val="15"/>
                <w:szCs w:val="15"/>
                <w:color w:val="auto"/>
              </w:rPr>
            </w:pPr>
          </w:p>
        </w:tc>
        <w:tc>
          <w:tcPr>
            <w:tcW w:w="1280" w:type="dxa"/>
            <w:vAlign w:val="bottom"/>
            <w:vMerge w:val="restart"/>
          </w:tcPr>
          <w:p>
            <w:pPr>
              <w:jc w:val="right"/>
              <w:ind w:right="193"/>
              <w:spacing w:after="0"/>
              <w:rPr>
                <w:sz w:val="20"/>
                <w:szCs w:val="20"/>
                <w:color w:val="auto"/>
              </w:rPr>
            </w:pPr>
            <w:r>
              <w:rPr>
                <w:rFonts w:ascii="Arial" w:cs="Arial" w:eastAsia="Arial" w:hAnsi="Arial"/>
                <w:sz w:val="18"/>
                <w:szCs w:val="18"/>
                <w:b w:val="1"/>
                <w:bCs w:val="1"/>
                <w:color w:val="auto"/>
              </w:rPr>
              <w:t>161.3</w:t>
            </w:r>
          </w:p>
        </w:tc>
        <w:tc>
          <w:tcPr>
            <w:tcW w:w="380" w:type="dxa"/>
            <w:vAlign w:val="bottom"/>
          </w:tcPr>
          <w:p>
            <w:pPr>
              <w:spacing w:after="0"/>
              <w:rPr>
                <w:sz w:val="15"/>
                <w:szCs w:val="15"/>
                <w:color w:val="auto"/>
              </w:rPr>
            </w:pPr>
          </w:p>
        </w:tc>
        <w:tc>
          <w:tcPr>
            <w:tcW w:w="1140" w:type="dxa"/>
            <w:vAlign w:val="bottom"/>
            <w:vMerge w:val="restart"/>
          </w:tcPr>
          <w:p>
            <w:pPr>
              <w:jc w:val="right"/>
              <w:ind w:right="132"/>
              <w:spacing w:after="0"/>
              <w:rPr>
                <w:sz w:val="20"/>
                <w:szCs w:val="20"/>
                <w:color w:val="auto"/>
              </w:rPr>
            </w:pPr>
            <w:r>
              <w:rPr>
                <w:rFonts w:ascii="Arial" w:cs="Arial" w:eastAsia="Arial" w:hAnsi="Arial"/>
                <w:sz w:val="18"/>
                <w:szCs w:val="18"/>
                <w:color w:val="auto"/>
              </w:rPr>
              <w:t>423.9</w:t>
            </w:r>
          </w:p>
        </w:tc>
        <w:tc>
          <w:tcPr>
            <w:tcW w:w="900" w:type="dxa"/>
            <w:vAlign w:val="bottom"/>
            <w:vMerge w:val="restart"/>
          </w:tcPr>
          <w:p>
            <w:pPr>
              <w:jc w:val="center"/>
              <w:ind w:left="13"/>
              <w:spacing w:after="0"/>
              <w:rPr>
                <w:sz w:val="20"/>
                <w:szCs w:val="20"/>
                <w:color w:val="auto"/>
              </w:rPr>
            </w:pPr>
            <w:r>
              <w:rPr>
                <w:rFonts w:ascii="Arial" w:cs="Arial" w:eastAsia="Arial" w:hAnsi="Arial"/>
                <w:sz w:val="18"/>
                <w:szCs w:val="18"/>
                <w:color w:val="auto"/>
                <w:w w:val="99"/>
              </w:rPr>
              <w:t>(62)</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14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from continuing operations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1,208.4</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1,253.9</w:t>
            </w:r>
          </w:p>
        </w:tc>
        <w:tc>
          <w:tcPr>
            <w:tcW w:w="104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3"/>
              <w:spacing w:after="0"/>
              <w:rPr>
                <w:sz w:val="20"/>
                <w:szCs w:val="20"/>
                <w:color w:val="auto"/>
              </w:rPr>
            </w:pPr>
            <w:r>
              <w:rPr>
                <w:rFonts w:ascii="Arial" w:cs="Arial" w:eastAsia="Arial" w:hAnsi="Arial"/>
                <w:sz w:val="18"/>
                <w:szCs w:val="18"/>
                <w:b w:val="1"/>
                <w:bCs w:val="1"/>
                <w:color w:val="auto"/>
              </w:rPr>
              <w:t>4,076.9</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3,142.2</w:t>
            </w:r>
          </w:p>
        </w:tc>
        <w:tc>
          <w:tcPr>
            <w:tcW w:w="9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9"/>
              </w:rPr>
              <w:t>30</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260" w:type="dxa"/>
            <w:vAlign w:val="bottom"/>
          </w:tcPr>
          <w:p>
            <w:pPr>
              <w:jc w:val="right"/>
              <w:ind w:right="213"/>
              <w:spacing w:after="0"/>
              <w:rPr>
                <w:sz w:val="20"/>
                <w:szCs w:val="20"/>
                <w:color w:val="auto"/>
              </w:rPr>
            </w:pPr>
            <w:r>
              <w:rPr>
                <w:rFonts w:ascii="Arial" w:cs="Arial" w:eastAsia="Arial" w:hAnsi="Arial"/>
                <w:sz w:val="18"/>
                <w:szCs w:val="18"/>
                <w:b w:val="1"/>
                <w:bCs w:val="1"/>
                <w:color w:val="auto"/>
              </w:rPr>
              <w:t>1,208.4</w:t>
            </w:r>
          </w:p>
        </w:tc>
        <w:tc>
          <w:tcPr>
            <w:tcW w:w="360" w:type="dxa"/>
            <w:vAlign w:val="bottom"/>
          </w:tcPr>
          <w:p>
            <w:pPr>
              <w:spacing w:after="0"/>
              <w:rPr>
                <w:sz w:val="19"/>
                <w:szCs w:val="19"/>
                <w:color w:val="auto"/>
              </w:rPr>
            </w:pP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1,253.9</w:t>
            </w:r>
          </w:p>
        </w:tc>
        <w:tc>
          <w:tcPr>
            <w:tcW w:w="1040" w:type="dxa"/>
            <w:vAlign w:val="bottom"/>
          </w:tcPr>
          <w:p>
            <w:pPr>
              <w:jc w:val="right"/>
              <w:ind w:right="313"/>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280" w:type="dxa"/>
            <w:vAlign w:val="bottom"/>
          </w:tcPr>
          <w:p>
            <w:pPr>
              <w:jc w:val="right"/>
              <w:ind w:right="193"/>
              <w:spacing w:after="0"/>
              <w:rPr>
                <w:sz w:val="20"/>
                <w:szCs w:val="20"/>
                <w:color w:val="auto"/>
              </w:rPr>
            </w:pPr>
            <w:r>
              <w:rPr>
                <w:rFonts w:ascii="Arial" w:cs="Arial" w:eastAsia="Arial" w:hAnsi="Arial"/>
                <w:sz w:val="18"/>
                <w:szCs w:val="18"/>
                <w:b w:val="1"/>
                <w:bCs w:val="1"/>
                <w:color w:val="auto"/>
              </w:rPr>
              <w:t>4,076.9</w:t>
            </w:r>
          </w:p>
        </w:tc>
        <w:tc>
          <w:tcPr>
            <w:tcW w:w="38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6,822.7</w:t>
            </w:r>
          </w:p>
        </w:tc>
        <w:tc>
          <w:tcPr>
            <w:tcW w:w="900" w:type="dxa"/>
            <w:vAlign w:val="bottom"/>
          </w:tcPr>
          <w:p>
            <w:pPr>
              <w:jc w:val="center"/>
              <w:ind w:left="13"/>
              <w:spacing w:after="0"/>
              <w:rPr>
                <w:sz w:val="20"/>
                <w:szCs w:val="20"/>
                <w:color w:val="auto"/>
              </w:rPr>
            </w:pPr>
            <w:r>
              <w:rPr>
                <w:rFonts w:ascii="Arial" w:cs="Arial" w:eastAsia="Arial" w:hAnsi="Arial"/>
                <w:sz w:val="18"/>
                <w:szCs w:val="18"/>
                <w:color w:val="auto"/>
                <w:w w:val="99"/>
              </w:rPr>
              <w:t>(40)</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EPS from continuing operations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1.33</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1.37</w:t>
            </w:r>
          </w:p>
        </w:tc>
        <w:tc>
          <w:tcPr>
            <w:tcW w:w="104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3"/>
              <w:spacing w:after="0"/>
              <w:rPr>
                <w:sz w:val="20"/>
                <w:szCs w:val="20"/>
                <w:color w:val="auto"/>
              </w:rPr>
            </w:pPr>
            <w:r>
              <w:rPr>
                <w:rFonts w:ascii="Arial" w:cs="Arial" w:eastAsia="Arial" w:hAnsi="Arial"/>
                <w:sz w:val="18"/>
                <w:szCs w:val="18"/>
                <w:b w:val="1"/>
                <w:bCs w:val="1"/>
                <w:color w:val="auto"/>
              </w:rPr>
              <w:t>4.47</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3.33</w:t>
            </w:r>
          </w:p>
        </w:tc>
        <w:tc>
          <w:tcPr>
            <w:tcW w:w="9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9"/>
              </w:rPr>
              <w:t>34</w:t>
            </w:r>
          </w:p>
        </w:tc>
        <w:tc>
          <w:tcPr>
            <w:tcW w:w="0" w:type="dxa"/>
            <w:vAlign w:val="bottom"/>
          </w:tcPr>
          <w:p>
            <w:pPr>
              <w:spacing w:after="0"/>
              <w:rPr>
                <w:sz w:val="1"/>
                <w:szCs w:val="1"/>
                <w:color w:val="auto"/>
              </w:rPr>
            </w:pPr>
          </w:p>
        </w:tc>
      </w:tr>
      <w:tr>
        <w:trPr>
          <w:trHeight w:val="253"/>
        </w:trPr>
        <w:tc>
          <w:tcPr>
            <w:tcW w:w="3480" w:type="dxa"/>
            <w:vAlign w:val="bottom"/>
          </w:tcPr>
          <w:p>
            <w:pPr>
              <w:ind w:left="20"/>
              <w:spacing w:after="0"/>
              <w:rPr>
                <w:sz w:val="20"/>
                <w:szCs w:val="20"/>
                <w:color w:val="auto"/>
              </w:rPr>
            </w:pPr>
            <w:r>
              <w:rPr>
                <w:rFonts w:ascii="Arial" w:cs="Arial" w:eastAsia="Arial" w:hAnsi="Arial"/>
                <w:sz w:val="18"/>
                <w:szCs w:val="18"/>
                <w:color w:val="auto"/>
              </w:rPr>
              <w:t>EPS</w:t>
            </w:r>
          </w:p>
        </w:tc>
        <w:tc>
          <w:tcPr>
            <w:tcW w:w="140" w:type="dxa"/>
            <w:vAlign w:val="bottom"/>
          </w:tcPr>
          <w:p>
            <w:pPr>
              <w:spacing w:after="0"/>
              <w:rPr>
                <w:sz w:val="21"/>
                <w:szCs w:val="21"/>
                <w:color w:val="auto"/>
              </w:rPr>
            </w:pPr>
          </w:p>
        </w:tc>
        <w:tc>
          <w:tcPr>
            <w:tcW w:w="1260" w:type="dxa"/>
            <w:vAlign w:val="bottom"/>
          </w:tcPr>
          <w:p>
            <w:pPr>
              <w:jc w:val="right"/>
              <w:ind w:right="213"/>
              <w:spacing w:after="0"/>
              <w:rPr>
                <w:sz w:val="20"/>
                <w:szCs w:val="20"/>
                <w:color w:val="auto"/>
              </w:rPr>
            </w:pPr>
            <w:r>
              <w:rPr>
                <w:rFonts w:ascii="Arial" w:cs="Arial" w:eastAsia="Arial" w:hAnsi="Arial"/>
                <w:sz w:val="18"/>
                <w:szCs w:val="18"/>
                <w:b w:val="1"/>
                <w:bCs w:val="1"/>
                <w:color w:val="auto"/>
              </w:rPr>
              <w:t>1.33</w:t>
            </w:r>
          </w:p>
        </w:tc>
        <w:tc>
          <w:tcPr>
            <w:tcW w:w="360" w:type="dxa"/>
            <w:vAlign w:val="bottom"/>
          </w:tcPr>
          <w:p>
            <w:pPr>
              <w:spacing w:after="0"/>
              <w:rPr>
                <w:sz w:val="21"/>
                <w:szCs w:val="21"/>
                <w:color w:val="auto"/>
              </w:rPr>
            </w:pP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1.37</w:t>
            </w:r>
          </w:p>
        </w:tc>
        <w:tc>
          <w:tcPr>
            <w:tcW w:w="1040" w:type="dxa"/>
            <w:vAlign w:val="bottom"/>
          </w:tcPr>
          <w:p>
            <w:pPr>
              <w:jc w:val="right"/>
              <w:ind w:right="313"/>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1280" w:type="dxa"/>
            <w:vAlign w:val="bottom"/>
          </w:tcPr>
          <w:p>
            <w:pPr>
              <w:jc w:val="right"/>
              <w:ind w:right="193"/>
              <w:spacing w:after="0"/>
              <w:rPr>
                <w:sz w:val="20"/>
                <w:szCs w:val="20"/>
                <w:color w:val="auto"/>
              </w:rPr>
            </w:pPr>
            <w:r>
              <w:rPr>
                <w:rFonts w:ascii="Arial" w:cs="Arial" w:eastAsia="Arial" w:hAnsi="Arial"/>
                <w:sz w:val="18"/>
                <w:szCs w:val="18"/>
                <w:b w:val="1"/>
                <w:bCs w:val="1"/>
                <w:color w:val="auto"/>
              </w:rPr>
              <w:t>4.47</w:t>
            </w:r>
          </w:p>
        </w:tc>
        <w:tc>
          <w:tcPr>
            <w:tcW w:w="38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7.24</w:t>
            </w:r>
          </w:p>
        </w:tc>
        <w:tc>
          <w:tcPr>
            <w:tcW w:w="900" w:type="dxa"/>
            <w:vAlign w:val="bottom"/>
          </w:tcPr>
          <w:p>
            <w:pPr>
              <w:jc w:val="center"/>
              <w:ind w:left="13"/>
              <w:spacing w:after="0"/>
              <w:rPr>
                <w:sz w:val="20"/>
                <w:szCs w:val="20"/>
                <w:color w:val="auto"/>
              </w:rPr>
            </w:pPr>
            <w:r>
              <w:rPr>
                <w:rFonts w:ascii="Arial" w:cs="Arial" w:eastAsia="Arial" w:hAnsi="Arial"/>
                <w:sz w:val="18"/>
                <w:szCs w:val="18"/>
                <w:color w:val="auto"/>
                <w:w w:val="99"/>
              </w:rPr>
              <w:t>(38)</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Revenue increased for the three and nine months ended September 30, 2020 primarily driven by increase in volume, partially offset by a decrease in realized prices. Operating expenses, defined as the sum of research and development and marketing, selling, and administrative expenses, increased for the three and nine months ended September 30, 2020, primarily due to higher research and development and marketing expenses. The decrease in net income and EPS for the three months ended September 30, 2020 was primarily driven by higher operating expenses and higher asset impairment, restructuring, and other special charges, partially offset by higher other income primarily due to higher net gains on investment securities and higher gross margin. The decrease in net income and EPS for the nine months ended September 30, 2020 was primarily driven by approximately $3.7 billion gain recognized on the disposition of Elanco in the first quarter of 2019, partially offset by higher other income and higher gross margin.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36" w:name="page37"/>
    <w:bookmarkEnd w:id="36"/>
    <w:p>
      <w:pPr>
        <w:spacing w:after="0" w:line="292" w:lineRule="auto"/>
        <w:rPr>
          <w:sz w:val="20"/>
          <w:szCs w:val="20"/>
          <w:color w:val="auto"/>
        </w:rPr>
      </w:pPr>
      <w:r>
        <w:rPr>
          <w:rFonts w:ascii="Arial" w:cs="Arial" w:eastAsia="Arial" w:hAnsi="Arial"/>
          <w:sz w:val="18"/>
          <w:szCs w:val="18"/>
          <w:color w:val="auto"/>
        </w:rPr>
        <w:t>The following highlighted items also affect comparisons of our financial results for the three and nine months ended September 30, 2020 and 2019:</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(Note 3 to the consolidated condensed financial statements)</w:t>
      </w:r>
    </w:p>
    <w:p>
      <w:pPr>
        <w:spacing w:after="0" w:line="117" w:lineRule="exact"/>
        <w:rPr>
          <w:sz w:val="20"/>
          <w:szCs w:val="20"/>
          <w:color w:val="auto"/>
        </w:rPr>
      </w:pPr>
    </w:p>
    <w:p>
      <w:pPr>
        <w:ind w:left="660" w:right="280" w:hanging="328"/>
        <w:spacing w:after="0" w:line="27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recognized acquired IPR&amp;D charges of $294.1 million for the nine months ended September 30, 2020 related to both the acquisition of a pre-clinical stage company as well as collaborations with Sitryx Therapeutics Limited (Sitryx), AbCellera Biologics Inc. (AbCellera), Evox Therapeutics Ltd (Evox), and Shanghai Junshi Biosciences Co., Ltd. (Junshi Biosciences).</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6 to the consolidated condensed financial statements)</w:t>
      </w:r>
    </w:p>
    <w:p>
      <w:pPr>
        <w:spacing w:after="0" w:line="117" w:lineRule="exact"/>
        <w:rPr>
          <w:sz w:val="20"/>
          <w:szCs w:val="20"/>
          <w:color w:val="auto"/>
        </w:rPr>
      </w:pPr>
    </w:p>
    <w:p>
      <w:pPr>
        <w:jc w:val="both"/>
        <w:ind w:left="660" w:hanging="328"/>
        <w:spacing w:after="0" w:line="27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recognized charges of $101.4 million and $161.3 million for the three and nine months ended September 30, 2020, respectively. The charges for the three and nine months ended September 30, 2020 were primarily related to severance costs incurred as a result of actions taken worldwide to reduce our cost structure.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(Note 3 to the consolidated condensed financial statements)</w:t>
      </w:r>
    </w:p>
    <w:p>
      <w:pPr>
        <w:spacing w:after="0" w:line="117" w:lineRule="exact"/>
        <w:rPr>
          <w:sz w:val="20"/>
          <w:szCs w:val="20"/>
          <w:color w:val="auto"/>
        </w:rPr>
      </w:pPr>
    </w:p>
    <w:p>
      <w:pPr>
        <w:ind w:left="660" w:right="220" w:hanging="328"/>
        <w:spacing w:after="0" w:line="264"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recognized acquired IPR&amp;D charges of $77.7 million and $239.6 million for the three and nine months ended September 30, 2019, respectively. The charge for the three months ended September 30, 2019 was related to the collaborations with Centrexion Therapeutics Corporation (Centrexion) and AC Immune SA (AC Immune). The charges for the nine months ended September 30, 2019 also included charges related to collaborations with ImmuNext, Inc. (ImmuNext) and Avidity Biosciences, Inc. (Avidity).</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6 to the consolidated condensed financial statements)</w:t>
      </w:r>
    </w:p>
    <w:p>
      <w:pPr>
        <w:spacing w:after="0" w:line="117" w:lineRule="exact"/>
        <w:rPr>
          <w:sz w:val="20"/>
          <w:szCs w:val="20"/>
          <w:color w:val="auto"/>
        </w:rPr>
      </w:pPr>
    </w:p>
    <w:p>
      <w:pPr>
        <w:ind w:left="660" w:right="180" w:hanging="328"/>
        <w:spacing w:after="0" w:line="292"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recognized charges of $423.9 million for the nine months ended September 30, 2019 primarily associated with the accelerated vesting of Loxo Oncology, Inc. (Loxo) employee equity awards as a result of the closing of the acquisition of Loxo.</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from Discontinued Operations (Note 5 to the consolidated condensed financial statements)</w:t>
      </w:r>
    </w:p>
    <w:p>
      <w:pPr>
        <w:spacing w:after="0" w:line="117" w:lineRule="exact"/>
        <w:rPr>
          <w:sz w:val="20"/>
          <w:szCs w:val="20"/>
          <w:color w:val="auto"/>
        </w:rPr>
      </w:pPr>
    </w:p>
    <w:p>
      <w:pPr>
        <w:ind w:left="660" w:right="340" w:hanging="328"/>
        <w:spacing w:after="0" w:line="292"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recognized a gain related to the disposition of Elanco of approximately $3.7 billion for the nine months ended September 30, 2019.</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Late-Stage Pipeline</w:t>
      </w:r>
    </w:p>
    <w:p>
      <w:pPr>
        <w:spacing w:after="0" w:line="115"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Our long-term success depends to a great extent on our ability to continue to discover and develop innovative pharmaceutical products and acquire or collaborate on molecules currently in development by other biotechnology or pharmaceutical companies. We have approximately 40 potential new drugs in human testing or under regulatory review and a larger number of projects in preclinical research.</w:t>
      </w:r>
    </w:p>
    <w:p>
      <w:pPr>
        <w:spacing w:after="0" w:line="10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following new molecular entities (NMEs) and diagnostic agent have been approved by regulatory authorities in at least one of the major geographies for use in the conditions described. The first quarter in which the NMEs and diagnostic agent initially were approved in any major geography for any indication is shown in parentheses:</w:t>
      </w:r>
    </w:p>
    <w:p>
      <w:pPr>
        <w:spacing w:after="0" w:line="104" w:lineRule="exact"/>
        <w:rPr>
          <w:sz w:val="20"/>
          <w:szCs w:val="20"/>
          <w:color w:val="auto"/>
        </w:rPr>
      </w:pPr>
    </w:p>
    <w:p>
      <w:pPr>
        <w:ind w:left="660" w:right="60"/>
        <w:spacing w:after="0" w:line="235" w:lineRule="auto"/>
        <w:rPr>
          <w:sz w:val="20"/>
          <w:szCs w:val="20"/>
          <w:color w:val="auto"/>
        </w:rPr>
      </w:pPr>
      <w:r>
        <w:rPr>
          <w:rFonts w:ascii="Arial" w:cs="Arial" w:eastAsia="Arial" w:hAnsi="Arial"/>
          <w:sz w:val="18"/>
          <w:szCs w:val="18"/>
          <w:b w:val="1"/>
          <w:bCs w:val="1"/>
          <w:color w:val="auto"/>
        </w:rPr>
        <w:t>Flortaucipir** (Tauvid</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(Q2 2020)</w:t>
      </w:r>
      <w:r>
        <w:rPr>
          <w:rFonts w:ascii="Arial" w:cs="Arial" w:eastAsia="Arial" w:hAnsi="Arial"/>
          <w:sz w:val="18"/>
          <w:szCs w:val="18"/>
          <w:color w:val="auto"/>
        </w:rPr>
        <w:t>—a positron emission tomography (PET) tracer intended to image tau (or neurofibrillary) tangles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brain, which are an indicator of Alzheimer's disease.</w:t>
      </w:r>
    </w:p>
    <w:p>
      <w:pPr>
        <w:spacing w:after="0" w:line="132" w:lineRule="exact"/>
        <w:rPr>
          <w:sz w:val="20"/>
          <w:szCs w:val="20"/>
          <w:color w:val="auto"/>
        </w:rPr>
      </w:pPr>
    </w:p>
    <w:p>
      <w:pPr>
        <w:ind w:left="660" w:right="20"/>
        <w:spacing w:after="0" w:line="243" w:lineRule="auto"/>
        <w:rPr>
          <w:sz w:val="20"/>
          <w:szCs w:val="20"/>
          <w:color w:val="auto"/>
        </w:rPr>
      </w:pPr>
      <w:r>
        <w:rPr>
          <w:rFonts w:ascii="Arial" w:cs="Arial" w:eastAsia="Arial" w:hAnsi="Arial"/>
          <w:sz w:val="18"/>
          <w:szCs w:val="18"/>
          <w:b w:val="1"/>
          <w:bCs w:val="1"/>
          <w:color w:val="auto"/>
        </w:rPr>
        <w:t>Galcanezumab* (Emgality</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(Q3 2018)</w:t>
      </w:r>
      <w:r>
        <w:rPr>
          <w:rFonts w:ascii="Arial" w:cs="Arial" w:eastAsia="Arial" w:hAnsi="Arial"/>
          <w:sz w:val="18"/>
          <w:szCs w:val="18"/>
          <w:color w:val="auto"/>
        </w:rPr>
        <w:t>—a once-monthly subcutaneously injected calcitonin gene-related peptide (CGRP) antibody</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treatment of migraine prevention and the treatment of episodic cluster headache. Refer to Note 10 to the consolidated condensed financial statements for discussion of the legal proceedings involving Teva Pharmaceuticals International GMBH and Teva Pharmaceuticals USA, Inc.</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Lasmiditan (Reyvow</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(Q4 2019)</w:t>
      </w:r>
      <w:r>
        <w:rPr>
          <w:rFonts w:ascii="Arial" w:cs="Arial" w:eastAsia="Arial" w:hAnsi="Arial"/>
          <w:sz w:val="18"/>
          <w:szCs w:val="18"/>
          <w:color w:val="auto"/>
        </w:rPr>
        <w:t>—an oral 5-HT1F agonist for the acute treatment of migraine.</w:t>
      </w:r>
    </w:p>
    <w:p>
      <w:pPr>
        <w:spacing w:after="0" w:line="114" w:lineRule="exact"/>
        <w:rPr>
          <w:sz w:val="20"/>
          <w:szCs w:val="20"/>
          <w:color w:val="auto"/>
        </w:rPr>
      </w:pPr>
    </w:p>
    <w:p>
      <w:pPr>
        <w:ind w:left="660"/>
        <w:spacing w:after="0" w:line="235" w:lineRule="auto"/>
        <w:rPr>
          <w:sz w:val="20"/>
          <w:szCs w:val="20"/>
          <w:color w:val="auto"/>
        </w:rPr>
      </w:pPr>
      <w:r>
        <w:rPr>
          <w:rFonts w:ascii="Arial" w:cs="Arial" w:eastAsia="Arial" w:hAnsi="Arial"/>
          <w:sz w:val="18"/>
          <w:szCs w:val="18"/>
          <w:b w:val="1"/>
          <w:bCs w:val="1"/>
          <w:color w:val="auto"/>
        </w:rPr>
        <w:t>Nasal glucagon* (Baqsimi</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(Q3 2019)</w:t>
      </w:r>
      <w:r>
        <w:rPr>
          <w:rFonts w:ascii="Arial" w:cs="Arial" w:eastAsia="Arial" w:hAnsi="Arial"/>
          <w:sz w:val="18"/>
          <w:szCs w:val="18"/>
          <w:color w:val="auto"/>
        </w:rPr>
        <w:t>—a glucagon nasal powder formulation for the treatment of severe hypoglycemia in patients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diabetes ages four years and above.</w:t>
      </w: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94" w:right="399" w:bottom="1440" w:gutter="0" w:footer="0" w:header="0"/>
        </w:sectPr>
      </w:pPr>
    </w:p>
    <w:bookmarkStart w:id="37" w:name="page38"/>
    <w:bookmarkEnd w:id="37"/>
    <w:p>
      <w:pPr>
        <w:ind w:left="660" w:right="620"/>
        <w:spacing w:after="0" w:line="235" w:lineRule="auto"/>
        <w:rPr>
          <w:sz w:val="20"/>
          <w:szCs w:val="20"/>
          <w:color w:val="auto"/>
        </w:rPr>
      </w:pPr>
      <w:r>
        <w:rPr>
          <w:rFonts w:ascii="Arial" w:cs="Arial" w:eastAsia="Arial" w:hAnsi="Arial"/>
          <w:sz w:val="18"/>
          <w:szCs w:val="18"/>
          <w:b w:val="1"/>
          <w:bCs w:val="1"/>
          <w:color w:val="auto"/>
        </w:rPr>
        <w:t>Selpercatinib (Retevmo</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(Q2 2020)</w:t>
      </w:r>
      <w:r>
        <w:rPr>
          <w:rFonts w:ascii="Arial" w:cs="Arial" w:eastAsia="Arial" w:hAnsi="Arial"/>
          <w:sz w:val="18"/>
          <w:szCs w:val="18"/>
          <w:color w:val="auto"/>
        </w:rPr>
        <w:t>—an oral drug for the treatment of patients with cancers that harbor abnormalities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rearranged during transfection (RET) kinase, specifically thyroid cancer and lung cancer.</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Ultra-rapid Lispro* (Lyumjev</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(Q1 2020)</w:t>
      </w:r>
      <w:r>
        <w:rPr>
          <w:rFonts w:ascii="Arial" w:cs="Arial" w:eastAsia="Arial" w:hAnsi="Arial"/>
          <w:sz w:val="18"/>
          <w:szCs w:val="18"/>
          <w:color w:val="auto"/>
        </w:rPr>
        <w:t>—an ultra-rapid insulin for the treatment of type 1 and type 2 diabetes.</w:t>
      </w:r>
    </w:p>
    <w:p>
      <w:pPr>
        <w:spacing w:after="0" w:line="118" w:lineRule="exact"/>
        <w:rPr>
          <w:sz w:val="20"/>
          <w:szCs w:val="20"/>
          <w:color w:val="auto"/>
        </w:rPr>
      </w:pPr>
    </w:p>
    <w:p>
      <w:pPr>
        <w:jc w:val="both"/>
        <w:ind w:right="500"/>
        <w:spacing w:after="0" w:line="323" w:lineRule="auto"/>
        <w:rPr>
          <w:sz w:val="20"/>
          <w:szCs w:val="20"/>
          <w:color w:val="auto"/>
        </w:rPr>
      </w:pPr>
      <w:r>
        <w:rPr>
          <w:rFonts w:ascii="Arial" w:cs="Arial" w:eastAsia="Arial" w:hAnsi="Arial"/>
          <w:sz w:val="17"/>
          <w:szCs w:val="17"/>
          <w:color w:val="auto"/>
        </w:rPr>
        <w:t>The following NME has been submitted for regulatory review in at least one of the major geographies for potential use in the conditions described. The first quarter in which the NME initially was submitted in any major geography for any indication is shown in parentheses:</w:t>
      </w:r>
    </w:p>
    <w:p>
      <w:pPr>
        <w:spacing w:after="0" w:line="66" w:lineRule="exact"/>
        <w:rPr>
          <w:sz w:val="20"/>
          <w:szCs w:val="20"/>
          <w:color w:val="auto"/>
        </w:rPr>
      </w:pPr>
    </w:p>
    <w:p>
      <w:pPr>
        <w:ind w:left="660" w:right="320"/>
        <w:spacing w:after="0" w:line="294" w:lineRule="auto"/>
        <w:rPr>
          <w:sz w:val="20"/>
          <w:szCs w:val="20"/>
          <w:color w:val="auto"/>
        </w:rPr>
      </w:pPr>
      <w:r>
        <w:rPr>
          <w:rFonts w:ascii="Arial" w:cs="Arial" w:eastAsia="Arial" w:hAnsi="Arial"/>
          <w:sz w:val="18"/>
          <w:szCs w:val="18"/>
          <w:b w:val="1"/>
          <w:bCs w:val="1"/>
          <w:color w:val="auto"/>
        </w:rPr>
        <w:t>Tanezumab* (Q4 2019)</w:t>
      </w:r>
      <w:r>
        <w:rPr>
          <w:rFonts w:ascii="Arial" w:cs="Arial" w:eastAsia="Arial" w:hAnsi="Arial"/>
          <w:sz w:val="18"/>
          <w:szCs w:val="18"/>
          <w:color w:val="auto"/>
        </w:rPr>
        <w:t>—an anti-nerve growth factor monoclonal antibody for the treatment of osteoarthritis pain (in collaboration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Pfizer Inc. (Pfizer)).</w:t>
      </w:r>
    </w:p>
    <w:p>
      <w:pPr>
        <w:spacing w:after="0" w:line="89" w:lineRule="exact"/>
        <w:rPr>
          <w:sz w:val="20"/>
          <w:szCs w:val="20"/>
          <w:color w:val="auto"/>
        </w:rPr>
      </w:pPr>
    </w:p>
    <w:p>
      <w:pPr>
        <w:jc w:val="both"/>
        <w:ind w:right="320"/>
        <w:spacing w:after="0" w:line="271" w:lineRule="auto"/>
        <w:rPr>
          <w:sz w:val="20"/>
          <w:szCs w:val="20"/>
          <w:color w:val="auto"/>
        </w:rPr>
      </w:pPr>
      <w:r>
        <w:rPr>
          <w:rFonts w:ascii="Arial" w:cs="Arial" w:eastAsia="Arial" w:hAnsi="Arial"/>
          <w:sz w:val="18"/>
          <w:szCs w:val="18"/>
          <w:color w:val="auto"/>
        </w:rPr>
        <w:t>The following NMEs are currently in Phase III clinical trial testing for potential use in the conditions described below but have not yet been submitted for regulatory approval for any indication. The first quarter in which each NME initially entered Phase III or was acquired for any indication is shown in parentheses:</w:t>
      </w:r>
    </w:p>
    <w:p>
      <w:pPr>
        <w:spacing w:after="0" w:line="107" w:lineRule="exact"/>
        <w:rPr>
          <w:sz w:val="20"/>
          <w:szCs w:val="20"/>
          <w:color w:val="auto"/>
        </w:rPr>
      </w:pPr>
    </w:p>
    <w:p>
      <w:pPr>
        <w:ind w:left="660" w:right="780"/>
        <w:spacing w:after="0" w:line="294" w:lineRule="auto"/>
        <w:rPr>
          <w:sz w:val="20"/>
          <w:szCs w:val="20"/>
          <w:color w:val="auto"/>
        </w:rPr>
      </w:pPr>
      <w:r>
        <w:rPr>
          <w:rFonts w:ascii="Arial" w:cs="Arial" w:eastAsia="Arial" w:hAnsi="Arial"/>
          <w:sz w:val="18"/>
          <w:szCs w:val="18"/>
          <w:b w:val="1"/>
          <w:bCs w:val="1"/>
          <w:color w:val="auto"/>
        </w:rPr>
        <w:t xml:space="preserve">Bamlanivimab (Q3 2020) </w:t>
      </w:r>
      <w:r>
        <w:rPr>
          <w:rFonts w:ascii="Arial" w:cs="Arial" w:eastAsia="Arial" w:hAnsi="Arial"/>
          <w:sz w:val="18"/>
          <w:szCs w:val="18"/>
          <w:color w:val="auto"/>
        </w:rPr>
        <w:t>- a monoclonal antibody directed against the spike protein of SARS-CoV-2 for the prevention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COVID-19.</w:t>
      </w:r>
    </w:p>
    <w:p>
      <w:pPr>
        <w:spacing w:after="0" w:line="87" w:lineRule="exact"/>
        <w:rPr>
          <w:sz w:val="20"/>
          <w:szCs w:val="20"/>
          <w:color w:val="auto"/>
        </w:rPr>
      </w:pPr>
    </w:p>
    <w:p>
      <w:pPr>
        <w:ind w:left="660" w:right="200"/>
        <w:spacing w:after="0" w:line="294" w:lineRule="auto"/>
        <w:rPr>
          <w:sz w:val="20"/>
          <w:szCs w:val="20"/>
          <w:color w:val="auto"/>
        </w:rPr>
      </w:pPr>
      <w:r>
        <w:rPr>
          <w:rFonts w:ascii="Arial" w:cs="Arial" w:eastAsia="Arial" w:hAnsi="Arial"/>
          <w:sz w:val="18"/>
          <w:szCs w:val="18"/>
          <w:b w:val="1"/>
          <w:bCs w:val="1"/>
          <w:color w:val="auto"/>
        </w:rPr>
        <w:t>Lebrikizumab* (acquired in Q1 2020)</w:t>
      </w:r>
      <w:r>
        <w:rPr>
          <w:rFonts w:ascii="Arial" w:cs="Arial" w:eastAsia="Arial" w:hAnsi="Arial"/>
          <w:sz w:val="18"/>
          <w:szCs w:val="18"/>
          <w:color w:val="auto"/>
        </w:rPr>
        <w:t>—a monoclonal antibody designed for the treatment of moderate-to-severe atopic dermatitis</w:t>
      </w:r>
      <w:r>
        <w:rPr>
          <w:rFonts w:ascii="Arial" w:cs="Arial" w:eastAsia="Arial" w:hAnsi="Arial"/>
          <w:sz w:val="18"/>
          <w:szCs w:val="18"/>
          <w:b w:val="1"/>
          <w:bCs w:val="1"/>
          <w:color w:val="auto"/>
        </w:rPr>
        <w:t xml:space="preserve"> </w:t>
      </w:r>
      <w:r>
        <w:rPr>
          <w:rFonts w:ascii="Arial" w:cs="Arial" w:eastAsia="Arial" w:hAnsi="Arial"/>
          <w:sz w:val="18"/>
          <w:szCs w:val="18"/>
          <w:color w:val="auto"/>
        </w:rPr>
        <w:t>(in collaboration with Almirall, S.A. in Europe).</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Mirikizumab* (Q2 2018)</w:t>
      </w:r>
      <w:r>
        <w:rPr>
          <w:rFonts w:ascii="Arial" w:cs="Arial" w:eastAsia="Arial" w:hAnsi="Arial"/>
          <w:sz w:val="18"/>
          <w:szCs w:val="18"/>
          <w:color w:val="auto"/>
        </w:rPr>
        <w:t>—a monoclonal antibody designed for the treatment of autoimmune diseases.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Solanezumab* (Q2 2009)</w:t>
      </w:r>
      <w:r>
        <w:rPr>
          <w:rFonts w:ascii="Arial" w:cs="Arial" w:eastAsia="Arial" w:hAnsi="Arial"/>
          <w:sz w:val="18"/>
          <w:szCs w:val="18"/>
          <w:color w:val="auto"/>
        </w:rPr>
        <w:t>—an anti-amyloid beta monoclonal antibody for the treatment of preclinical Alzheimer’s disease.</w:t>
      </w:r>
    </w:p>
    <w:p>
      <w:pPr>
        <w:spacing w:after="0" w:line="171" w:lineRule="exact"/>
        <w:rPr>
          <w:sz w:val="20"/>
          <w:szCs w:val="20"/>
          <w:color w:val="auto"/>
        </w:rPr>
      </w:pPr>
    </w:p>
    <w:p>
      <w:pPr>
        <w:ind w:left="660" w:right="280"/>
        <w:spacing w:after="0" w:line="294" w:lineRule="auto"/>
        <w:rPr>
          <w:sz w:val="20"/>
          <w:szCs w:val="20"/>
          <w:color w:val="auto"/>
        </w:rPr>
      </w:pPr>
      <w:r>
        <w:rPr>
          <w:rFonts w:ascii="Arial" w:cs="Arial" w:eastAsia="Arial" w:hAnsi="Arial"/>
          <w:sz w:val="18"/>
          <w:szCs w:val="18"/>
          <w:b w:val="1"/>
          <w:bCs w:val="1"/>
          <w:color w:val="auto"/>
        </w:rPr>
        <w:t>Tirzepatide* (Q4 2018)</w:t>
      </w:r>
      <w:r>
        <w:rPr>
          <w:rFonts w:ascii="Arial" w:cs="Arial" w:eastAsia="Arial" w:hAnsi="Arial"/>
          <w:sz w:val="18"/>
          <w:szCs w:val="18"/>
          <w:color w:val="auto"/>
        </w:rPr>
        <w:t>—a long-acting, combination therapy of glucose-dependent insulinotropic polypeptide (GIP) and glucagon-like peptide 1 for the treatment of type 2 diabetes and obesity.</w:t>
      </w:r>
    </w:p>
    <w:p>
      <w:pPr>
        <w:spacing w:after="0" w:line="3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following NME is currently in potential registrational Phase II clinical trial testing for potential use in the condition described below but has not yet been submitted for regulatory approval for any indication. The first quarter in which the NME initially entered potential registrational Phase II clinical trial testing is shown in parentheses:</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Etesevimab* (Q3 2020) - </w:t>
      </w:r>
      <w:r>
        <w:rPr>
          <w:rFonts w:ascii="Arial" w:cs="Arial" w:eastAsia="Arial" w:hAnsi="Arial"/>
          <w:sz w:val="18"/>
          <w:szCs w:val="18"/>
          <w:color w:val="auto"/>
        </w:rPr>
        <w:t>a neutralizing antibody in combination with bamlanivimab for the treatment of COVID-19.</w:t>
      </w:r>
    </w:p>
    <w:p>
      <w:pPr>
        <w:spacing w:after="0" w:line="119" w:lineRule="exact"/>
        <w:rPr>
          <w:sz w:val="20"/>
          <w:szCs w:val="20"/>
          <w:color w:val="auto"/>
        </w:rPr>
      </w:pPr>
    </w:p>
    <w:p>
      <w:pPr>
        <w:ind w:left="340" w:right="3960" w:hanging="8"/>
        <w:spacing w:after="0" w:line="375" w:lineRule="auto"/>
        <w:tabs>
          <w:tab w:leader="none" w:pos="61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Biologic molecule subject to the U.S. Biologics Price Competition and Innovation Act ** Diagnostic agent</w:t>
      </w:r>
    </w:p>
    <w:p>
      <w:pPr>
        <w:spacing w:after="0" w:line="1"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The following table reflects the status of the recently approved products, NMEs, and diagnostic agent set forth above, as well as certain other developments to our late-stage pipeline since January 1, 2020:</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58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5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18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116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220" w:type="dxa"/>
            <w:vAlign w:val="bottom"/>
            <w:tcBorders>
              <w:top w:val="single" w:sz="8" w:color="auto"/>
              <w:bottom w:val="single" w:sz="8" w:color="auto"/>
              <w:right w:val="single" w:sz="8" w:color="auto"/>
            </w:tcBorders>
            <w:shd w:val="clear" w:color="auto" w:fill="D8D8D8"/>
          </w:tcPr>
          <w:p>
            <w:pPr>
              <w:spacing w:after="0"/>
              <w:rPr>
                <w:sz w:val="21"/>
                <w:szCs w:val="21"/>
                <w:color w:val="auto"/>
              </w:rPr>
            </w:pPr>
          </w:p>
        </w:tc>
        <w:tc>
          <w:tcPr>
            <w:tcW w:w="1180" w:type="dxa"/>
            <w:vAlign w:val="bottom"/>
            <w:tcBorders>
              <w:top w:val="single" w:sz="8" w:color="auto"/>
              <w:bottom w:val="single" w:sz="8" w:color="auto"/>
              <w:right w:val="single" w:sz="8" w:color="auto"/>
            </w:tcBorders>
            <w:shd w:val="clear" w:color="auto" w:fill="D8D8D8"/>
          </w:tcPr>
          <w:p>
            <w:pPr>
              <w:jc w:val="right"/>
              <w:ind w:right="570"/>
              <w:spacing w:after="0"/>
              <w:rPr>
                <w:sz w:val="20"/>
                <w:szCs w:val="20"/>
                <w:color w:val="auto"/>
              </w:rPr>
            </w:pPr>
            <w:r>
              <w:rPr>
                <w:rFonts w:ascii="Arial" w:cs="Arial" w:eastAsia="Arial" w:hAnsi="Arial"/>
                <w:sz w:val="18"/>
                <w:szCs w:val="18"/>
                <w:b w:val="1"/>
                <w:bCs w:val="1"/>
                <w:color w:val="auto"/>
                <w:w w:val="96"/>
              </w:rPr>
              <w:t>Japan</w:t>
            </w:r>
          </w:p>
        </w:tc>
        <w:tc>
          <w:tcPr>
            <w:tcW w:w="44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23"/>
        </w:trPr>
        <w:tc>
          <w:tcPr>
            <w:tcW w:w="15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Endocrinology</w:t>
            </w:r>
          </w:p>
        </w:tc>
        <w:tc>
          <w:tcPr>
            <w:tcW w:w="1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580" w:type="dxa"/>
            <w:vAlign w:val="bottom"/>
            <w:tcBorders>
              <w:left w:val="single" w:sz="8" w:color="auto"/>
              <w:right w:val="single" w:sz="8" w:color="auto"/>
            </w:tcBorders>
          </w:tcPr>
          <w:p>
            <w:pPr>
              <w:spacing w:after="0"/>
              <w:rPr>
                <w:sz w:val="14"/>
                <w:szCs w:val="14"/>
                <w:color w:val="auto"/>
              </w:rPr>
            </w:pPr>
          </w:p>
        </w:tc>
        <w:tc>
          <w:tcPr>
            <w:tcW w:w="15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Severe</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444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Approved in Japan in the first quarter of 2020.</w:t>
            </w:r>
          </w:p>
        </w:tc>
        <w:tc>
          <w:tcPr>
            <w:tcW w:w="0" w:type="dxa"/>
            <w:vAlign w:val="bottom"/>
          </w:tcPr>
          <w:p>
            <w:pPr>
              <w:spacing w:after="0"/>
              <w:rPr>
                <w:sz w:val="1"/>
                <w:szCs w:val="1"/>
                <w:color w:val="auto"/>
              </w:rPr>
            </w:pPr>
          </w:p>
        </w:tc>
      </w:tr>
      <w:tr>
        <w:trPr>
          <w:trHeight w:val="81"/>
        </w:trPr>
        <w:tc>
          <w:tcPr>
            <w:tcW w:w="1580" w:type="dxa"/>
            <w:vAlign w:val="bottom"/>
            <w:tcBorders>
              <w:left w:val="single" w:sz="8" w:color="auto"/>
              <w:right w:val="single" w:sz="8" w:color="auto"/>
            </w:tcBorders>
            <w:vMerge w:val="restart"/>
          </w:tcPr>
          <w:p>
            <w:pPr>
              <w:ind w:left="40"/>
              <w:spacing w:after="0" w:line="176" w:lineRule="exact"/>
              <w:rPr>
                <w:sz w:val="20"/>
                <w:szCs w:val="20"/>
                <w:color w:val="auto"/>
              </w:rPr>
            </w:pPr>
            <w:r>
              <w:rPr>
                <w:rFonts w:ascii="Arial" w:cs="Arial" w:eastAsia="Arial" w:hAnsi="Arial"/>
                <w:sz w:val="18"/>
                <w:szCs w:val="18"/>
                <w:color w:val="auto"/>
              </w:rPr>
              <w:t>Baqsimi</w:t>
            </w:r>
          </w:p>
        </w:tc>
        <w:tc>
          <w:tcPr>
            <w:tcW w:w="1500" w:type="dxa"/>
            <w:vAlign w:val="bottom"/>
            <w:tcBorders>
              <w:right w:val="single" w:sz="8" w:color="auto"/>
            </w:tcBorders>
            <w:vMerge w:val="continue"/>
          </w:tcPr>
          <w:p>
            <w:pPr>
              <w:spacing w:after="0"/>
              <w:rPr>
                <w:sz w:val="7"/>
                <w:szCs w:val="7"/>
                <w:color w:val="auto"/>
              </w:rPr>
            </w:pPr>
          </w:p>
        </w:tc>
        <w:tc>
          <w:tcPr>
            <w:tcW w:w="1180" w:type="dxa"/>
            <w:vAlign w:val="bottom"/>
          </w:tcPr>
          <w:p>
            <w:pPr>
              <w:spacing w:after="0"/>
              <w:rPr>
                <w:sz w:val="7"/>
                <w:szCs w:val="7"/>
                <w:color w:val="auto"/>
              </w:rPr>
            </w:pPr>
          </w:p>
        </w:tc>
        <w:tc>
          <w:tcPr>
            <w:tcW w:w="1160" w:type="dxa"/>
            <w:vAlign w:val="bottom"/>
            <w:vMerge w:val="restart"/>
          </w:tcPr>
          <w:p>
            <w:pPr>
              <w:jc w:val="center"/>
              <w:ind w:left="110"/>
              <w:spacing w:after="0" w:line="176" w:lineRule="exact"/>
              <w:rPr>
                <w:sz w:val="20"/>
                <w:szCs w:val="20"/>
                <w:color w:val="auto"/>
              </w:rPr>
            </w:pPr>
            <w:r>
              <w:rPr>
                <w:rFonts w:ascii="Arial" w:cs="Arial" w:eastAsia="Arial" w:hAnsi="Arial"/>
                <w:sz w:val="18"/>
                <w:szCs w:val="18"/>
                <w:color w:val="auto"/>
              </w:rPr>
              <w:t>Launched</w:t>
            </w:r>
          </w:p>
        </w:tc>
        <w:tc>
          <w:tcPr>
            <w:tcW w:w="220" w:type="dxa"/>
            <w:vAlign w:val="bottom"/>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444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Launched in Europe in the second quarter of 2020.</w:t>
            </w:r>
          </w:p>
        </w:tc>
        <w:tc>
          <w:tcPr>
            <w:tcW w:w="0" w:type="dxa"/>
            <w:vAlign w:val="bottom"/>
          </w:tcPr>
          <w:p>
            <w:pPr>
              <w:spacing w:after="0"/>
              <w:rPr>
                <w:sz w:val="1"/>
                <w:szCs w:val="1"/>
                <w:color w:val="auto"/>
              </w:rPr>
            </w:pPr>
          </w:p>
        </w:tc>
      </w:tr>
      <w:tr>
        <w:trPr>
          <w:trHeight w:val="95"/>
        </w:trPr>
        <w:tc>
          <w:tcPr>
            <w:tcW w:w="1580" w:type="dxa"/>
            <w:vAlign w:val="bottom"/>
            <w:tcBorders>
              <w:left w:val="single" w:sz="8" w:color="auto"/>
              <w:right w:val="single" w:sz="8" w:color="auto"/>
            </w:tcBorders>
            <w:vMerge w:val="continue"/>
          </w:tcPr>
          <w:p>
            <w:pPr>
              <w:spacing w:after="0"/>
              <w:rPr>
                <w:sz w:val="8"/>
                <w:szCs w:val="8"/>
                <w:color w:val="auto"/>
              </w:rPr>
            </w:pPr>
          </w:p>
        </w:tc>
        <w:tc>
          <w:tcPr>
            <w:tcW w:w="15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hypoglycemia</w:t>
            </w:r>
          </w:p>
        </w:tc>
        <w:tc>
          <w:tcPr>
            <w:tcW w:w="118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Borders>
              <w:right w:val="single" w:sz="8" w:color="auto"/>
            </w:tcBorders>
          </w:tcPr>
          <w:p>
            <w:pPr>
              <w:spacing w:after="0"/>
              <w:rPr>
                <w:sz w:val="8"/>
                <w:szCs w:val="8"/>
                <w:color w:val="auto"/>
              </w:rPr>
            </w:pPr>
          </w:p>
        </w:tc>
        <w:tc>
          <w:tcPr>
            <w:tcW w:w="44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58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vMerge w:val="continue"/>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44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Launched in Japan in October 2020.</w:t>
            </w:r>
          </w:p>
        </w:tc>
        <w:tc>
          <w:tcPr>
            <w:tcW w:w="0" w:type="dxa"/>
            <w:vAlign w:val="bottom"/>
          </w:tcPr>
          <w:p>
            <w:pPr>
              <w:spacing w:after="0"/>
              <w:rPr>
                <w:sz w:val="1"/>
                <w:szCs w:val="1"/>
                <w:color w:val="auto"/>
              </w:rPr>
            </w:pPr>
          </w:p>
        </w:tc>
      </w:tr>
      <w:tr>
        <w:trPr>
          <w:trHeight w:val="81"/>
        </w:trPr>
        <w:tc>
          <w:tcPr>
            <w:tcW w:w="1580" w:type="dxa"/>
            <w:vAlign w:val="bottom"/>
            <w:tcBorders>
              <w:left w:val="single" w:sz="8" w:color="auto"/>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44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2"/>
        </w:trPr>
        <w:tc>
          <w:tcPr>
            <w:tcW w:w="15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Tirzepatide</w:t>
            </w: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Type 2 diabetes</w:t>
            </w:r>
          </w:p>
        </w:tc>
        <w:tc>
          <w:tcPr>
            <w:tcW w:w="1180" w:type="dxa"/>
            <w:vAlign w:val="bottom"/>
          </w:tcPr>
          <w:p>
            <w:pPr>
              <w:spacing w:after="0"/>
              <w:rPr>
                <w:sz w:val="24"/>
                <w:szCs w:val="24"/>
                <w:color w:val="auto"/>
              </w:rPr>
            </w:pPr>
          </w:p>
        </w:tc>
        <w:tc>
          <w:tcPr>
            <w:tcW w:w="1160" w:type="dxa"/>
            <w:vAlign w:val="bottom"/>
          </w:tcPr>
          <w:p>
            <w:pPr>
              <w:jc w:val="center"/>
              <w:ind w:left="110"/>
              <w:spacing w:after="0"/>
              <w:rPr>
                <w:sz w:val="20"/>
                <w:szCs w:val="20"/>
                <w:color w:val="auto"/>
              </w:rPr>
            </w:pPr>
            <w:r>
              <w:rPr>
                <w:rFonts w:ascii="Arial" w:cs="Arial" w:eastAsia="Arial" w:hAnsi="Arial"/>
                <w:sz w:val="18"/>
                <w:szCs w:val="18"/>
                <w:color w:val="auto"/>
              </w:rPr>
              <w:t>Phase III</w:t>
            </w:r>
          </w:p>
        </w:tc>
        <w:tc>
          <w:tcPr>
            <w:tcW w:w="22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4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90"/>
        </w:trPr>
        <w:tc>
          <w:tcPr>
            <w:tcW w:w="1580" w:type="dxa"/>
            <w:vAlign w:val="bottom"/>
            <w:tcBorders>
              <w:left w:val="single" w:sz="8" w:color="auto"/>
              <w:right w:val="single" w:sz="8" w:color="auto"/>
            </w:tcBorders>
            <w:vMerge w:val="continue"/>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4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580" w:type="dxa"/>
            <w:vAlign w:val="bottom"/>
            <w:tcBorders>
              <w:left w:val="single" w:sz="8" w:color="auto"/>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Obesity</w:t>
            </w:r>
          </w:p>
        </w:tc>
        <w:tc>
          <w:tcPr>
            <w:tcW w:w="1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rPr>
              <w:t>Phase III</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174"/>
        </w:trPr>
        <w:tc>
          <w:tcPr>
            <w:tcW w:w="1580" w:type="dxa"/>
            <w:vAlign w:val="bottom"/>
            <w:tcBorders>
              <w:left w:val="single" w:sz="8" w:color="auto"/>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8"/>
                <w:szCs w:val="18"/>
                <w:color w:val="auto"/>
              </w:rPr>
              <w:t>Approved in Europe and Japan in the first quarter of</w:t>
            </w:r>
          </w:p>
        </w:tc>
        <w:tc>
          <w:tcPr>
            <w:tcW w:w="0" w:type="dxa"/>
            <w:vAlign w:val="bottom"/>
          </w:tcPr>
          <w:p>
            <w:pPr>
              <w:spacing w:after="0"/>
              <w:rPr>
                <w:sz w:val="1"/>
                <w:szCs w:val="1"/>
                <w:color w:val="auto"/>
              </w:rPr>
            </w:pPr>
          </w:p>
        </w:tc>
      </w:tr>
      <w:tr>
        <w:trPr>
          <w:trHeight w:val="175"/>
        </w:trPr>
        <w:tc>
          <w:tcPr>
            <w:tcW w:w="1580" w:type="dxa"/>
            <w:vAlign w:val="bottom"/>
            <w:tcBorders>
              <w:left w:val="single" w:sz="8" w:color="auto"/>
              <w:right w:val="single" w:sz="8" w:color="auto"/>
            </w:tcBorders>
          </w:tcPr>
          <w:p>
            <w:pPr>
              <w:spacing w:after="0"/>
              <w:rPr>
                <w:sz w:val="15"/>
                <w:szCs w:val="15"/>
                <w:color w:val="auto"/>
              </w:rPr>
            </w:pPr>
          </w:p>
        </w:tc>
        <w:tc>
          <w:tcPr>
            <w:tcW w:w="15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Type 1 and 2</w:t>
            </w: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2020. Approved in the U.S. in the second quarter of</w:t>
            </w:r>
          </w:p>
        </w:tc>
        <w:tc>
          <w:tcPr>
            <w:tcW w:w="0" w:type="dxa"/>
            <w:vAlign w:val="bottom"/>
          </w:tcPr>
          <w:p>
            <w:pPr>
              <w:spacing w:after="0"/>
              <w:rPr>
                <w:sz w:val="1"/>
                <w:szCs w:val="1"/>
                <w:color w:val="auto"/>
              </w:rPr>
            </w:pPr>
          </w:p>
        </w:tc>
      </w:tr>
      <w:tr>
        <w:trPr>
          <w:trHeight w:val="81"/>
        </w:trPr>
        <w:tc>
          <w:tcPr>
            <w:tcW w:w="1580" w:type="dxa"/>
            <w:vAlign w:val="bottom"/>
            <w:tcBorders>
              <w:left w:val="single" w:sz="8" w:color="auto"/>
              <w:right w:val="single" w:sz="8" w:color="auto"/>
            </w:tcBorders>
            <w:vMerge w:val="restart"/>
          </w:tcPr>
          <w:p>
            <w:pPr>
              <w:ind w:left="40"/>
              <w:spacing w:after="0" w:line="176" w:lineRule="exact"/>
              <w:rPr>
                <w:sz w:val="20"/>
                <w:szCs w:val="20"/>
                <w:color w:val="auto"/>
              </w:rPr>
            </w:pPr>
            <w:r>
              <w:rPr>
                <w:rFonts w:ascii="Arial" w:cs="Arial" w:eastAsia="Arial" w:hAnsi="Arial"/>
                <w:sz w:val="18"/>
                <w:szCs w:val="18"/>
                <w:color w:val="auto"/>
              </w:rPr>
              <w:t>Lyumjev</w:t>
            </w:r>
          </w:p>
        </w:tc>
        <w:tc>
          <w:tcPr>
            <w:tcW w:w="1500" w:type="dxa"/>
            <w:vAlign w:val="bottom"/>
            <w:tcBorders>
              <w:right w:val="single" w:sz="8" w:color="auto"/>
            </w:tcBorders>
            <w:vMerge w:val="continue"/>
          </w:tcPr>
          <w:p>
            <w:pPr>
              <w:spacing w:after="0"/>
              <w:rPr>
                <w:sz w:val="7"/>
                <w:szCs w:val="7"/>
                <w:color w:val="auto"/>
              </w:rPr>
            </w:pPr>
          </w:p>
        </w:tc>
        <w:tc>
          <w:tcPr>
            <w:tcW w:w="1180" w:type="dxa"/>
            <w:vAlign w:val="bottom"/>
          </w:tcPr>
          <w:p>
            <w:pPr>
              <w:spacing w:after="0"/>
              <w:rPr>
                <w:sz w:val="7"/>
                <w:szCs w:val="7"/>
                <w:color w:val="auto"/>
              </w:rPr>
            </w:pPr>
          </w:p>
        </w:tc>
        <w:tc>
          <w:tcPr>
            <w:tcW w:w="1160" w:type="dxa"/>
            <w:vAlign w:val="bottom"/>
            <w:vMerge w:val="restart"/>
          </w:tcPr>
          <w:p>
            <w:pPr>
              <w:jc w:val="center"/>
              <w:ind w:left="110"/>
              <w:spacing w:after="0" w:line="176" w:lineRule="exact"/>
              <w:rPr>
                <w:sz w:val="20"/>
                <w:szCs w:val="20"/>
                <w:color w:val="auto"/>
              </w:rPr>
            </w:pPr>
            <w:r>
              <w:rPr>
                <w:rFonts w:ascii="Arial" w:cs="Arial" w:eastAsia="Arial" w:hAnsi="Arial"/>
                <w:sz w:val="18"/>
                <w:szCs w:val="18"/>
                <w:color w:val="auto"/>
              </w:rPr>
              <w:t>Launched</w:t>
            </w:r>
          </w:p>
        </w:tc>
        <w:tc>
          <w:tcPr>
            <w:tcW w:w="220" w:type="dxa"/>
            <w:vAlign w:val="bottom"/>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444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2020. Launched in Japan in the second quarter of</w:t>
            </w:r>
          </w:p>
        </w:tc>
        <w:tc>
          <w:tcPr>
            <w:tcW w:w="0" w:type="dxa"/>
            <w:vAlign w:val="bottom"/>
          </w:tcPr>
          <w:p>
            <w:pPr>
              <w:spacing w:after="0"/>
              <w:rPr>
                <w:sz w:val="1"/>
                <w:szCs w:val="1"/>
                <w:color w:val="auto"/>
              </w:rPr>
            </w:pPr>
          </w:p>
        </w:tc>
      </w:tr>
      <w:tr>
        <w:trPr>
          <w:trHeight w:val="95"/>
        </w:trPr>
        <w:tc>
          <w:tcPr>
            <w:tcW w:w="1580" w:type="dxa"/>
            <w:vAlign w:val="bottom"/>
            <w:tcBorders>
              <w:left w:val="single" w:sz="8" w:color="auto"/>
              <w:right w:val="single" w:sz="8" w:color="auto"/>
            </w:tcBorders>
            <w:vMerge w:val="continue"/>
          </w:tcPr>
          <w:p>
            <w:pPr>
              <w:spacing w:after="0"/>
              <w:rPr>
                <w:sz w:val="8"/>
                <w:szCs w:val="8"/>
                <w:color w:val="auto"/>
              </w:rPr>
            </w:pPr>
          </w:p>
        </w:tc>
        <w:tc>
          <w:tcPr>
            <w:tcW w:w="15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diabetes</w:t>
            </w:r>
          </w:p>
        </w:tc>
        <w:tc>
          <w:tcPr>
            <w:tcW w:w="118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Borders>
              <w:right w:val="single" w:sz="8" w:color="auto"/>
            </w:tcBorders>
          </w:tcPr>
          <w:p>
            <w:pPr>
              <w:spacing w:after="0"/>
              <w:rPr>
                <w:sz w:val="8"/>
                <w:szCs w:val="8"/>
                <w:color w:val="auto"/>
              </w:rPr>
            </w:pPr>
          </w:p>
        </w:tc>
        <w:tc>
          <w:tcPr>
            <w:tcW w:w="44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58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vMerge w:val="continue"/>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444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2020. Launched in the U.S. and Europe in the third</w:t>
            </w:r>
          </w:p>
        </w:tc>
        <w:tc>
          <w:tcPr>
            <w:tcW w:w="0" w:type="dxa"/>
            <w:vAlign w:val="bottom"/>
          </w:tcPr>
          <w:p>
            <w:pPr>
              <w:spacing w:after="0"/>
              <w:rPr>
                <w:sz w:val="1"/>
                <w:szCs w:val="1"/>
                <w:color w:val="auto"/>
              </w:rPr>
            </w:pPr>
          </w:p>
        </w:tc>
      </w:tr>
      <w:tr>
        <w:trPr>
          <w:trHeight w:val="27"/>
        </w:trPr>
        <w:tc>
          <w:tcPr>
            <w:tcW w:w="1580" w:type="dxa"/>
            <w:vAlign w:val="bottom"/>
            <w:tcBorders>
              <w:left w:val="single" w:sz="8" w:color="auto"/>
              <w:right w:val="single" w:sz="8" w:color="auto"/>
            </w:tcBorders>
          </w:tcPr>
          <w:p>
            <w:pPr>
              <w:spacing w:after="0"/>
              <w:rPr>
                <w:sz w:val="2"/>
                <w:szCs w:val="2"/>
                <w:color w:val="auto"/>
              </w:rPr>
            </w:pPr>
          </w:p>
        </w:tc>
        <w:tc>
          <w:tcPr>
            <w:tcW w:w="1500" w:type="dxa"/>
            <w:vAlign w:val="bottom"/>
            <w:tcBorders>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444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580" w:type="dxa"/>
            <w:vAlign w:val="bottom"/>
            <w:tcBorders>
              <w:left w:val="single" w:sz="8" w:color="auto"/>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quarter of 2020.</w:t>
            </w:r>
          </w:p>
        </w:tc>
        <w:tc>
          <w:tcPr>
            <w:tcW w:w="0" w:type="dxa"/>
            <w:vAlign w:val="bottom"/>
          </w:tcPr>
          <w:p>
            <w:pPr>
              <w:spacing w:after="0"/>
              <w:rPr>
                <w:sz w:val="1"/>
                <w:szCs w:val="1"/>
                <w:color w:val="auto"/>
              </w:rPr>
            </w:pPr>
          </w:p>
        </w:tc>
      </w:tr>
      <w:tr>
        <w:trPr>
          <w:trHeight w:val="848"/>
        </w:trPr>
        <w:tc>
          <w:tcPr>
            <w:tcW w:w="1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gridSpan w:val="2"/>
          </w:tcPr>
          <w:p>
            <w:pPr>
              <w:jc w:val="right"/>
              <w:ind w:right="1010"/>
              <w:spacing w:after="0"/>
              <w:rPr>
                <w:sz w:val="20"/>
                <w:szCs w:val="20"/>
                <w:color w:val="auto"/>
              </w:rPr>
            </w:pPr>
            <w:r>
              <w:rPr>
                <w:rFonts w:ascii="Arial" w:cs="Arial" w:eastAsia="Arial" w:hAnsi="Arial"/>
                <w:sz w:val="18"/>
                <w:szCs w:val="18"/>
                <w:color w:val="auto"/>
              </w:rPr>
              <w:t>38</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58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44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044" w:right="319" w:bottom="1440" w:gutter="0" w:footer="0" w:header="0"/>
        </w:sectPr>
      </w:pPr>
    </w:p>
    <w:bookmarkStart w:id="38" w:name="page39"/>
    <w:bookmarkEnd w:id="38"/>
    <w:tbl>
      <w:tblPr>
        <w:tblLayout w:type="fixed"/>
        <w:tblInd w:w="10" w:type="dxa"/>
        <w:tblCellMar>
          <w:top w:w="0" w:type="dxa"/>
          <w:left w:w="0" w:type="dxa"/>
          <w:bottom w:w="0" w:type="dxa"/>
          <w:right w:w="0" w:type="dxa"/>
        </w:tblCellMar>
      </w:tblPr>
      <w:tr>
        <w:trPr>
          <w:trHeight w:val="243"/>
        </w:trPr>
        <w:tc>
          <w:tcPr>
            <w:tcW w:w="158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5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18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124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40" w:type="dxa"/>
            <w:vAlign w:val="bottom"/>
            <w:tcBorders>
              <w:top w:val="single" w:sz="8" w:color="auto"/>
              <w:bottom w:val="single" w:sz="8" w:color="auto"/>
              <w:right w:val="single" w:sz="8" w:color="auto"/>
            </w:tcBorders>
            <w:shd w:val="clear" w:color="auto" w:fill="D8D8D8"/>
          </w:tcPr>
          <w:p>
            <w:pPr>
              <w:spacing w:after="0"/>
              <w:rPr>
                <w:sz w:val="21"/>
                <w:szCs w:val="21"/>
                <w:color w:val="auto"/>
              </w:rPr>
            </w:pPr>
          </w:p>
        </w:tc>
        <w:tc>
          <w:tcPr>
            <w:tcW w:w="1180" w:type="dxa"/>
            <w:vAlign w:val="bottom"/>
            <w:tcBorders>
              <w:top w:val="single" w:sz="8" w:color="auto"/>
              <w:bottom w:val="single" w:sz="8" w:color="auto"/>
              <w:right w:val="single" w:sz="8" w:color="auto"/>
            </w:tcBorders>
            <w:shd w:val="clear" w:color="auto" w:fill="D8D8D8"/>
          </w:tcPr>
          <w:p>
            <w:pPr>
              <w:jc w:val="right"/>
              <w:ind w:right="570"/>
              <w:spacing w:after="0"/>
              <w:rPr>
                <w:sz w:val="20"/>
                <w:szCs w:val="20"/>
                <w:color w:val="auto"/>
              </w:rPr>
            </w:pPr>
            <w:r>
              <w:rPr>
                <w:rFonts w:ascii="Arial" w:cs="Arial" w:eastAsia="Arial" w:hAnsi="Arial"/>
                <w:sz w:val="18"/>
                <w:szCs w:val="18"/>
                <w:b w:val="1"/>
                <w:bCs w:val="1"/>
                <w:color w:val="auto"/>
                <w:w w:val="96"/>
              </w:rPr>
              <w:t>Japan</w:t>
            </w:r>
          </w:p>
        </w:tc>
        <w:tc>
          <w:tcPr>
            <w:tcW w:w="44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23"/>
        </w:trPr>
        <w:tc>
          <w:tcPr>
            <w:tcW w:w="15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1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580" w:type="dxa"/>
            <w:vAlign w:val="bottom"/>
            <w:tcBorders>
              <w:left w:val="single" w:sz="8" w:color="auto"/>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444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Phase III trials were initiated during the third quarter of</w:t>
            </w:r>
          </w:p>
        </w:tc>
        <w:tc>
          <w:tcPr>
            <w:tcW w:w="0" w:type="dxa"/>
            <w:vAlign w:val="bottom"/>
          </w:tcPr>
          <w:p>
            <w:pPr>
              <w:spacing w:after="0"/>
              <w:rPr>
                <w:sz w:val="1"/>
                <w:szCs w:val="1"/>
                <w:color w:val="auto"/>
              </w:rPr>
            </w:pPr>
          </w:p>
        </w:tc>
      </w:tr>
      <w:tr>
        <w:trPr>
          <w:trHeight w:val="176"/>
        </w:trPr>
        <w:tc>
          <w:tcPr>
            <w:tcW w:w="1580" w:type="dxa"/>
            <w:vAlign w:val="bottom"/>
            <w:tcBorders>
              <w:left w:val="single" w:sz="8" w:color="auto"/>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9"/>
              </w:rPr>
              <w:t>2020. Submitted an initial request to the U.S. Food and</w:t>
            </w:r>
          </w:p>
        </w:tc>
        <w:tc>
          <w:tcPr>
            <w:tcW w:w="0" w:type="dxa"/>
            <w:vAlign w:val="bottom"/>
          </w:tcPr>
          <w:p>
            <w:pPr>
              <w:spacing w:after="0"/>
              <w:rPr>
                <w:sz w:val="1"/>
                <w:szCs w:val="1"/>
                <w:color w:val="auto"/>
              </w:rPr>
            </w:pPr>
          </w:p>
        </w:tc>
      </w:tr>
      <w:tr>
        <w:trPr>
          <w:trHeight w:val="175"/>
        </w:trPr>
        <w:tc>
          <w:tcPr>
            <w:tcW w:w="15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Bamlanivimab</w:t>
            </w:r>
          </w:p>
        </w:tc>
        <w:tc>
          <w:tcPr>
            <w:tcW w:w="15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COVID-19</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Phase III</w:t>
            </w:r>
          </w:p>
        </w:tc>
        <w:tc>
          <w:tcPr>
            <w:tcW w:w="256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In development</w:t>
            </w:r>
          </w:p>
        </w:tc>
        <w:tc>
          <w:tcPr>
            <w:tcW w:w="44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Drug Administration (FDA) for Emergency Use</w:t>
            </w:r>
          </w:p>
        </w:tc>
        <w:tc>
          <w:tcPr>
            <w:tcW w:w="0" w:type="dxa"/>
            <w:vAlign w:val="bottom"/>
          </w:tcPr>
          <w:p>
            <w:pPr>
              <w:spacing w:after="0"/>
              <w:rPr>
                <w:sz w:val="1"/>
                <w:szCs w:val="1"/>
                <w:color w:val="auto"/>
              </w:rPr>
            </w:pPr>
          </w:p>
        </w:tc>
      </w:tr>
      <w:tr>
        <w:trPr>
          <w:trHeight w:val="139"/>
        </w:trPr>
        <w:tc>
          <w:tcPr>
            <w:tcW w:w="1580" w:type="dxa"/>
            <w:vAlign w:val="bottom"/>
            <w:tcBorders>
              <w:left w:val="single" w:sz="8" w:color="auto"/>
              <w:right w:val="single" w:sz="8" w:color="auto"/>
            </w:tcBorders>
            <w:vMerge w:val="continue"/>
          </w:tcPr>
          <w:p>
            <w:pPr>
              <w:spacing w:after="0"/>
              <w:rPr>
                <w:sz w:val="12"/>
                <w:szCs w:val="12"/>
                <w:color w:val="auto"/>
              </w:rPr>
            </w:pPr>
          </w:p>
        </w:tc>
        <w:tc>
          <w:tcPr>
            <w:tcW w:w="1500" w:type="dxa"/>
            <w:vAlign w:val="bottom"/>
            <w:tcBorders>
              <w:right w:val="single" w:sz="8" w:color="auto"/>
            </w:tcBorders>
            <w:vMerge w:val="continue"/>
          </w:tcPr>
          <w:p>
            <w:pPr>
              <w:spacing w:after="0"/>
              <w:rPr>
                <w:sz w:val="12"/>
                <w:szCs w:val="12"/>
                <w:color w:val="auto"/>
              </w:rPr>
            </w:pPr>
          </w:p>
        </w:tc>
        <w:tc>
          <w:tcPr>
            <w:tcW w:w="1180" w:type="dxa"/>
            <w:vAlign w:val="bottom"/>
            <w:tcBorders>
              <w:right w:val="single" w:sz="8" w:color="auto"/>
            </w:tcBorders>
            <w:vMerge w:val="continue"/>
          </w:tcPr>
          <w:p>
            <w:pPr>
              <w:spacing w:after="0"/>
              <w:rPr>
                <w:sz w:val="12"/>
                <w:szCs w:val="12"/>
                <w:color w:val="auto"/>
              </w:rPr>
            </w:pPr>
          </w:p>
        </w:tc>
        <w:tc>
          <w:tcPr>
            <w:tcW w:w="2560" w:type="dxa"/>
            <w:vAlign w:val="bottom"/>
            <w:tcBorders>
              <w:right w:val="single" w:sz="8" w:color="auto"/>
            </w:tcBorders>
            <w:gridSpan w:val="3"/>
            <w:vMerge w:val="continue"/>
          </w:tcPr>
          <w:p>
            <w:pPr>
              <w:spacing w:after="0"/>
              <w:rPr>
                <w:sz w:val="12"/>
                <w:szCs w:val="12"/>
                <w:color w:val="auto"/>
              </w:rPr>
            </w:pPr>
          </w:p>
        </w:tc>
        <w:tc>
          <w:tcPr>
            <w:tcW w:w="444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Authorization for monotherapy in higher-risk patients</w:t>
            </w:r>
          </w:p>
        </w:tc>
        <w:tc>
          <w:tcPr>
            <w:tcW w:w="0" w:type="dxa"/>
            <w:vAlign w:val="bottom"/>
          </w:tcPr>
          <w:p>
            <w:pPr>
              <w:spacing w:after="0"/>
              <w:rPr>
                <w:sz w:val="1"/>
                <w:szCs w:val="1"/>
                <w:color w:val="auto"/>
              </w:rPr>
            </w:pPr>
          </w:p>
        </w:tc>
      </w:tr>
      <w:tr>
        <w:trPr>
          <w:trHeight w:val="37"/>
        </w:trPr>
        <w:tc>
          <w:tcPr>
            <w:tcW w:w="1580" w:type="dxa"/>
            <w:vAlign w:val="bottom"/>
            <w:tcBorders>
              <w:left w:val="single" w:sz="8" w:color="auto"/>
              <w:right w:val="single" w:sz="8" w:color="auto"/>
            </w:tcBorders>
          </w:tcPr>
          <w:p>
            <w:pPr>
              <w:spacing w:after="0"/>
              <w:rPr>
                <w:sz w:val="3"/>
                <w:szCs w:val="3"/>
                <w:color w:val="auto"/>
              </w:rPr>
            </w:pPr>
          </w:p>
        </w:tc>
        <w:tc>
          <w:tcPr>
            <w:tcW w:w="1500" w:type="dxa"/>
            <w:vAlign w:val="bottom"/>
            <w:tcBorders>
              <w:right w:val="single" w:sz="8" w:color="auto"/>
            </w:tcBorders>
          </w:tcPr>
          <w:p>
            <w:pPr>
              <w:spacing w:after="0"/>
              <w:rPr>
                <w:sz w:val="3"/>
                <w:szCs w:val="3"/>
                <w:color w:val="auto"/>
              </w:rPr>
            </w:pPr>
          </w:p>
        </w:tc>
        <w:tc>
          <w:tcPr>
            <w:tcW w:w="1180" w:type="dxa"/>
            <w:vAlign w:val="bottom"/>
            <w:tcBorders>
              <w:right w:val="single" w:sz="8" w:color="auto"/>
            </w:tcBorders>
          </w:tcPr>
          <w:p>
            <w:pPr>
              <w:spacing w:after="0"/>
              <w:rPr>
                <w:sz w:val="3"/>
                <w:szCs w:val="3"/>
                <w:color w:val="auto"/>
              </w:rPr>
            </w:pPr>
          </w:p>
        </w:tc>
        <w:tc>
          <w:tcPr>
            <w:tcW w:w="1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Borders>
              <w:right w:val="single" w:sz="8" w:color="auto"/>
            </w:tcBorders>
          </w:tcPr>
          <w:p>
            <w:pPr>
              <w:spacing w:after="0"/>
              <w:rPr>
                <w:sz w:val="3"/>
                <w:szCs w:val="3"/>
                <w:color w:val="auto"/>
              </w:rPr>
            </w:pPr>
          </w:p>
        </w:tc>
        <w:tc>
          <w:tcPr>
            <w:tcW w:w="444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1580" w:type="dxa"/>
            <w:vAlign w:val="bottom"/>
            <w:tcBorders>
              <w:left w:val="single" w:sz="8" w:color="auto"/>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who have been recently diagnosed with mild-to-</w:t>
            </w:r>
          </w:p>
        </w:tc>
        <w:tc>
          <w:tcPr>
            <w:tcW w:w="0" w:type="dxa"/>
            <w:vAlign w:val="bottom"/>
          </w:tcPr>
          <w:p>
            <w:pPr>
              <w:spacing w:after="0"/>
              <w:rPr>
                <w:sz w:val="1"/>
                <w:szCs w:val="1"/>
                <w:color w:val="auto"/>
              </w:rPr>
            </w:pPr>
          </w:p>
        </w:tc>
      </w:tr>
      <w:tr>
        <w:trPr>
          <w:trHeight w:val="230"/>
        </w:trPr>
        <w:tc>
          <w:tcPr>
            <w:tcW w:w="1580" w:type="dxa"/>
            <w:vAlign w:val="bottom"/>
            <w:tcBorders>
              <w:left w:val="single" w:sz="8" w:color="auto"/>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moderate COVID-19.</w:t>
            </w:r>
          </w:p>
        </w:tc>
        <w:tc>
          <w:tcPr>
            <w:tcW w:w="0" w:type="dxa"/>
            <w:vAlign w:val="bottom"/>
          </w:tcPr>
          <w:p>
            <w:pPr>
              <w:spacing w:after="0"/>
              <w:rPr>
                <w:sz w:val="1"/>
                <w:szCs w:val="1"/>
                <w:color w:val="auto"/>
              </w:rPr>
            </w:pPr>
          </w:p>
        </w:tc>
      </w:tr>
      <w:tr>
        <w:trPr>
          <w:trHeight w:val="169"/>
        </w:trPr>
        <w:tc>
          <w:tcPr>
            <w:tcW w:w="15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Etesevimab</w:t>
            </w:r>
          </w:p>
        </w:tc>
        <w:tc>
          <w:tcPr>
            <w:tcW w:w="15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COVID-19</w:t>
            </w:r>
          </w:p>
        </w:tc>
        <w:tc>
          <w:tcPr>
            <w:tcW w:w="1180" w:type="dxa"/>
            <w:vAlign w:val="bottom"/>
          </w:tcPr>
          <w:p>
            <w:pPr>
              <w:spacing w:after="0"/>
              <w:rPr>
                <w:sz w:val="14"/>
                <w:szCs w:val="14"/>
                <w:color w:val="auto"/>
              </w:rPr>
            </w:pPr>
          </w:p>
        </w:tc>
        <w:tc>
          <w:tcPr>
            <w:tcW w:w="2560" w:type="dxa"/>
            <w:vAlign w:val="bottom"/>
            <w:tcBorders>
              <w:right w:val="single" w:sz="8" w:color="auto"/>
            </w:tcBorders>
            <w:gridSpan w:val="3"/>
            <w:vMerge w:val="restart"/>
          </w:tcPr>
          <w:p>
            <w:pPr>
              <w:jc w:val="center"/>
              <w:ind w:right="1110"/>
              <w:spacing w:after="0"/>
              <w:rPr>
                <w:sz w:val="20"/>
                <w:szCs w:val="20"/>
                <w:color w:val="auto"/>
              </w:rPr>
            </w:pPr>
            <w:r>
              <w:rPr>
                <w:rFonts w:ascii="Arial" w:cs="Arial" w:eastAsia="Arial" w:hAnsi="Arial"/>
                <w:sz w:val="18"/>
                <w:szCs w:val="18"/>
                <w:color w:val="auto"/>
              </w:rPr>
              <w:t>In development</w:t>
            </w:r>
          </w:p>
        </w:tc>
        <w:tc>
          <w:tcPr>
            <w:tcW w:w="444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In combination with bamlanivimab, potential</w:t>
            </w:r>
          </w:p>
        </w:tc>
        <w:tc>
          <w:tcPr>
            <w:tcW w:w="0" w:type="dxa"/>
            <w:vAlign w:val="bottom"/>
          </w:tcPr>
          <w:p>
            <w:pPr>
              <w:spacing w:after="0"/>
              <w:rPr>
                <w:sz w:val="1"/>
                <w:szCs w:val="1"/>
                <w:color w:val="auto"/>
              </w:rPr>
            </w:pPr>
          </w:p>
        </w:tc>
      </w:tr>
      <w:tr>
        <w:trPr>
          <w:trHeight w:val="176"/>
        </w:trPr>
        <w:tc>
          <w:tcPr>
            <w:tcW w:w="1580" w:type="dxa"/>
            <w:vAlign w:val="bottom"/>
            <w:tcBorders>
              <w:left w:val="single" w:sz="8" w:color="auto"/>
              <w:right w:val="single" w:sz="8" w:color="auto"/>
            </w:tcBorders>
            <w:vMerge w:val="continue"/>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1180" w:type="dxa"/>
            <w:vAlign w:val="bottom"/>
          </w:tcPr>
          <w:p>
            <w:pPr>
              <w:spacing w:after="0"/>
              <w:rPr>
                <w:sz w:val="15"/>
                <w:szCs w:val="15"/>
                <w:color w:val="auto"/>
              </w:rPr>
            </w:pPr>
          </w:p>
        </w:tc>
        <w:tc>
          <w:tcPr>
            <w:tcW w:w="2560" w:type="dxa"/>
            <w:vAlign w:val="bottom"/>
            <w:tcBorders>
              <w:right w:val="single" w:sz="8" w:color="auto"/>
            </w:tcBorders>
            <w:gridSpan w:val="3"/>
            <w:vMerge w:val="continue"/>
          </w:tcPr>
          <w:p>
            <w:pPr>
              <w:spacing w:after="0"/>
              <w:rPr>
                <w:sz w:val="15"/>
                <w:szCs w:val="15"/>
                <w:color w:val="auto"/>
              </w:rPr>
            </w:pPr>
          </w:p>
        </w:tc>
        <w:tc>
          <w:tcPr>
            <w:tcW w:w="44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registrational Phase II trial was initiated during the third</w:t>
            </w:r>
          </w:p>
        </w:tc>
        <w:tc>
          <w:tcPr>
            <w:tcW w:w="0" w:type="dxa"/>
            <w:vAlign w:val="bottom"/>
          </w:tcPr>
          <w:p>
            <w:pPr>
              <w:spacing w:after="0"/>
              <w:rPr>
                <w:sz w:val="1"/>
                <w:szCs w:val="1"/>
                <w:color w:val="auto"/>
              </w:rPr>
            </w:pPr>
          </w:p>
        </w:tc>
      </w:tr>
      <w:tr>
        <w:trPr>
          <w:trHeight w:val="229"/>
        </w:trPr>
        <w:tc>
          <w:tcPr>
            <w:tcW w:w="1580" w:type="dxa"/>
            <w:vAlign w:val="bottom"/>
            <w:tcBorders>
              <w:left w:val="single" w:sz="8" w:color="auto"/>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quarter of 2020.</w:t>
            </w:r>
          </w:p>
        </w:tc>
        <w:tc>
          <w:tcPr>
            <w:tcW w:w="0" w:type="dxa"/>
            <w:vAlign w:val="bottom"/>
          </w:tcPr>
          <w:p>
            <w:pPr>
              <w:spacing w:after="0"/>
              <w:rPr>
                <w:sz w:val="1"/>
                <w:szCs w:val="1"/>
                <w:color w:val="auto"/>
              </w:rPr>
            </w:pPr>
          </w:p>
        </w:tc>
      </w:tr>
      <w:tr>
        <w:trPr>
          <w:trHeight w:val="169"/>
        </w:trPr>
        <w:tc>
          <w:tcPr>
            <w:tcW w:w="15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Lebrikizumab</w:t>
            </w:r>
          </w:p>
        </w:tc>
        <w:tc>
          <w:tcPr>
            <w:tcW w:w="15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Atopic dermatitis</w:t>
            </w:r>
          </w:p>
        </w:tc>
        <w:tc>
          <w:tcPr>
            <w:tcW w:w="1180" w:type="dxa"/>
            <w:vAlign w:val="bottom"/>
          </w:tcPr>
          <w:p>
            <w:pPr>
              <w:spacing w:after="0"/>
              <w:rPr>
                <w:sz w:val="14"/>
                <w:szCs w:val="14"/>
                <w:color w:val="auto"/>
              </w:rPr>
            </w:pPr>
          </w:p>
        </w:tc>
        <w:tc>
          <w:tcPr>
            <w:tcW w:w="1240" w:type="dxa"/>
            <w:vAlign w:val="bottom"/>
            <w:vMerge w:val="restart"/>
          </w:tcPr>
          <w:p>
            <w:pPr>
              <w:jc w:val="center"/>
              <w:ind w:left="30"/>
              <w:spacing w:after="0"/>
              <w:rPr>
                <w:sz w:val="20"/>
                <w:szCs w:val="20"/>
                <w:color w:val="auto"/>
              </w:rPr>
            </w:pPr>
            <w:r>
              <w:rPr>
                <w:rFonts w:ascii="Arial" w:cs="Arial" w:eastAsia="Arial" w:hAnsi="Arial"/>
                <w:sz w:val="18"/>
                <w:szCs w:val="18"/>
                <w:color w:val="auto"/>
              </w:rPr>
              <w:t>Phase III</w:t>
            </w:r>
          </w:p>
        </w:tc>
        <w:tc>
          <w:tcPr>
            <w:tcW w:w="140" w:type="dxa"/>
            <w:vAlign w:val="bottom"/>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444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Acquired in the Dermira acquisition in February 2020.</w:t>
            </w:r>
          </w:p>
        </w:tc>
        <w:tc>
          <w:tcPr>
            <w:tcW w:w="0" w:type="dxa"/>
            <w:vAlign w:val="bottom"/>
          </w:tcPr>
          <w:p>
            <w:pPr>
              <w:spacing w:after="0"/>
              <w:rPr>
                <w:sz w:val="1"/>
                <w:szCs w:val="1"/>
                <w:color w:val="auto"/>
              </w:rPr>
            </w:pPr>
          </w:p>
        </w:tc>
      </w:tr>
      <w:tr>
        <w:trPr>
          <w:trHeight w:val="176"/>
        </w:trPr>
        <w:tc>
          <w:tcPr>
            <w:tcW w:w="1580" w:type="dxa"/>
            <w:vAlign w:val="bottom"/>
            <w:tcBorders>
              <w:left w:val="single" w:sz="8" w:color="auto"/>
              <w:right w:val="single" w:sz="8" w:color="auto"/>
            </w:tcBorders>
            <w:vMerge w:val="continue"/>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1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6"/>
                <w:szCs w:val="16"/>
                <w:color w:val="auto"/>
              </w:rPr>
              <w:t>Granted Fast Track Designation</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by the FDA. Phase</w:t>
            </w:r>
          </w:p>
        </w:tc>
        <w:tc>
          <w:tcPr>
            <w:tcW w:w="0" w:type="dxa"/>
            <w:vAlign w:val="bottom"/>
          </w:tcPr>
          <w:p>
            <w:pPr>
              <w:spacing w:after="0"/>
              <w:rPr>
                <w:sz w:val="1"/>
                <w:szCs w:val="1"/>
                <w:color w:val="auto"/>
              </w:rPr>
            </w:pPr>
          </w:p>
        </w:tc>
      </w:tr>
      <w:tr>
        <w:trPr>
          <w:trHeight w:val="229"/>
        </w:trPr>
        <w:tc>
          <w:tcPr>
            <w:tcW w:w="1580" w:type="dxa"/>
            <w:vAlign w:val="bottom"/>
            <w:tcBorders>
              <w:left w:val="single" w:sz="8" w:color="auto"/>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III trials are ongoing.</w:t>
            </w:r>
          </w:p>
        </w:tc>
        <w:tc>
          <w:tcPr>
            <w:tcW w:w="0" w:type="dxa"/>
            <w:vAlign w:val="bottom"/>
          </w:tcPr>
          <w:p>
            <w:pPr>
              <w:spacing w:after="0"/>
              <w:rPr>
                <w:sz w:val="1"/>
                <w:szCs w:val="1"/>
                <w:color w:val="auto"/>
              </w:rPr>
            </w:pPr>
          </w:p>
        </w:tc>
      </w:tr>
      <w:tr>
        <w:trPr>
          <w:trHeight w:val="322"/>
        </w:trPr>
        <w:tc>
          <w:tcPr>
            <w:tcW w:w="1580" w:type="dxa"/>
            <w:vAlign w:val="bottom"/>
            <w:tcBorders>
              <w:left w:val="single" w:sz="8" w:color="auto"/>
              <w:right w:val="single" w:sz="8" w:color="auto"/>
            </w:tcBorders>
          </w:tcPr>
          <w:p>
            <w:pPr>
              <w:spacing w:after="0"/>
              <w:rPr>
                <w:sz w:val="24"/>
                <w:szCs w:val="24"/>
                <w:color w:val="auto"/>
              </w:rPr>
            </w:pP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Crohn's Disease</w:t>
            </w:r>
          </w:p>
        </w:tc>
        <w:tc>
          <w:tcPr>
            <w:tcW w:w="1180" w:type="dxa"/>
            <w:vAlign w:val="bottom"/>
          </w:tcPr>
          <w:p>
            <w:pPr>
              <w:spacing w:after="0"/>
              <w:rPr>
                <w:sz w:val="24"/>
                <w:szCs w:val="24"/>
                <w:color w:val="auto"/>
              </w:rPr>
            </w:pPr>
          </w:p>
        </w:tc>
        <w:tc>
          <w:tcPr>
            <w:tcW w:w="1240" w:type="dxa"/>
            <w:vAlign w:val="bottom"/>
          </w:tcPr>
          <w:p>
            <w:pPr>
              <w:jc w:val="center"/>
              <w:ind w:left="30"/>
              <w:spacing w:after="0"/>
              <w:rPr>
                <w:sz w:val="20"/>
                <w:szCs w:val="20"/>
                <w:color w:val="auto"/>
              </w:rPr>
            </w:pPr>
            <w:r>
              <w:rPr>
                <w:rFonts w:ascii="Arial" w:cs="Arial" w:eastAsia="Arial" w:hAnsi="Arial"/>
                <w:sz w:val="18"/>
                <w:szCs w:val="18"/>
                <w:color w:val="auto"/>
              </w:rPr>
              <w:t>Phase III</w:t>
            </w:r>
          </w:p>
        </w:tc>
        <w:tc>
          <w:tcPr>
            <w:tcW w:w="14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4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91"/>
        </w:trPr>
        <w:tc>
          <w:tcPr>
            <w:tcW w:w="1580" w:type="dxa"/>
            <w:vAlign w:val="bottom"/>
            <w:tcBorders>
              <w:left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4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1580" w:type="dxa"/>
            <w:vAlign w:val="bottom"/>
            <w:tcBorders>
              <w:left w:val="single" w:sz="8" w:color="auto"/>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Announced in the third quarter of 2020 that Phase III</w:t>
            </w:r>
          </w:p>
        </w:tc>
        <w:tc>
          <w:tcPr>
            <w:tcW w:w="0" w:type="dxa"/>
            <w:vAlign w:val="bottom"/>
          </w:tcPr>
          <w:p>
            <w:pPr>
              <w:spacing w:after="0"/>
              <w:rPr>
                <w:sz w:val="1"/>
                <w:szCs w:val="1"/>
                <w:color w:val="auto"/>
              </w:rPr>
            </w:pPr>
          </w:p>
        </w:tc>
      </w:tr>
      <w:tr>
        <w:trPr>
          <w:trHeight w:val="176"/>
        </w:trPr>
        <w:tc>
          <w:tcPr>
            <w:tcW w:w="15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Mirikizumab</w:t>
            </w:r>
          </w:p>
        </w:tc>
        <w:tc>
          <w:tcPr>
            <w:tcW w:w="15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Psoriasis</w:t>
            </w:r>
          </w:p>
        </w:tc>
        <w:tc>
          <w:tcPr>
            <w:tcW w:w="1180" w:type="dxa"/>
            <w:vAlign w:val="bottom"/>
          </w:tcPr>
          <w:p>
            <w:pPr>
              <w:spacing w:after="0"/>
              <w:rPr>
                <w:sz w:val="15"/>
                <w:szCs w:val="15"/>
                <w:color w:val="auto"/>
              </w:rPr>
            </w:pPr>
          </w:p>
        </w:tc>
        <w:tc>
          <w:tcPr>
            <w:tcW w:w="1240" w:type="dxa"/>
            <w:vAlign w:val="bottom"/>
            <w:vMerge w:val="restart"/>
          </w:tcPr>
          <w:p>
            <w:pPr>
              <w:jc w:val="center"/>
              <w:ind w:left="30"/>
              <w:spacing w:after="0"/>
              <w:rPr>
                <w:sz w:val="20"/>
                <w:szCs w:val="20"/>
                <w:color w:val="auto"/>
              </w:rPr>
            </w:pPr>
            <w:r>
              <w:rPr>
                <w:rFonts w:ascii="Arial" w:cs="Arial" w:eastAsia="Arial" w:hAnsi="Arial"/>
                <w:sz w:val="18"/>
                <w:szCs w:val="18"/>
                <w:color w:val="auto"/>
              </w:rPr>
              <w:t>Phase III</w:t>
            </w:r>
          </w:p>
        </w:tc>
        <w:tc>
          <w:tcPr>
            <w:tcW w:w="14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trials met the primary and all key secondary endpoints.</w:t>
            </w:r>
          </w:p>
        </w:tc>
        <w:tc>
          <w:tcPr>
            <w:tcW w:w="0" w:type="dxa"/>
            <w:vAlign w:val="bottom"/>
          </w:tcPr>
          <w:p>
            <w:pPr>
              <w:spacing w:after="0"/>
              <w:rPr>
                <w:sz w:val="1"/>
                <w:szCs w:val="1"/>
                <w:color w:val="auto"/>
              </w:rPr>
            </w:pPr>
          </w:p>
        </w:tc>
      </w:tr>
      <w:tr>
        <w:trPr>
          <w:trHeight w:val="176"/>
        </w:trPr>
        <w:tc>
          <w:tcPr>
            <w:tcW w:w="1580" w:type="dxa"/>
            <w:vAlign w:val="bottom"/>
            <w:tcBorders>
              <w:left w:val="single" w:sz="8" w:color="auto"/>
              <w:right w:val="single" w:sz="8" w:color="auto"/>
            </w:tcBorders>
            <w:vMerge w:val="continue"/>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1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Additional Phase III</w:t>
            </w:r>
          </w:p>
        </w:tc>
        <w:tc>
          <w:tcPr>
            <w:tcW w:w="0" w:type="dxa"/>
            <w:vAlign w:val="bottom"/>
          </w:tcPr>
          <w:p>
            <w:pPr>
              <w:spacing w:after="0"/>
              <w:rPr>
                <w:sz w:val="1"/>
                <w:szCs w:val="1"/>
                <w:color w:val="auto"/>
              </w:rPr>
            </w:pPr>
          </w:p>
        </w:tc>
      </w:tr>
      <w:tr>
        <w:trPr>
          <w:trHeight w:val="250"/>
        </w:trPr>
        <w:tc>
          <w:tcPr>
            <w:tcW w:w="1580" w:type="dxa"/>
            <w:vAlign w:val="bottom"/>
            <w:tcBorders>
              <w:left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trials are ongoing.</w:t>
            </w:r>
          </w:p>
        </w:tc>
        <w:tc>
          <w:tcPr>
            <w:tcW w:w="0" w:type="dxa"/>
            <w:vAlign w:val="bottom"/>
          </w:tcPr>
          <w:p>
            <w:pPr>
              <w:spacing w:after="0"/>
              <w:rPr>
                <w:sz w:val="1"/>
                <w:szCs w:val="1"/>
                <w:color w:val="auto"/>
              </w:rPr>
            </w:pPr>
          </w:p>
        </w:tc>
      </w:tr>
      <w:tr>
        <w:trPr>
          <w:trHeight w:val="328"/>
        </w:trPr>
        <w:tc>
          <w:tcPr>
            <w:tcW w:w="1580" w:type="dxa"/>
            <w:vAlign w:val="bottom"/>
            <w:tcBorders>
              <w:left w:val="single" w:sz="8" w:color="auto"/>
              <w:right w:val="single" w:sz="8" w:color="auto"/>
            </w:tcBorders>
          </w:tcPr>
          <w:p>
            <w:pPr>
              <w:spacing w:after="0"/>
              <w:rPr>
                <w:sz w:val="24"/>
                <w:szCs w:val="24"/>
                <w:color w:val="auto"/>
              </w:rPr>
            </w:pP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Ulcerative colitis</w:t>
            </w:r>
          </w:p>
        </w:tc>
        <w:tc>
          <w:tcPr>
            <w:tcW w:w="1180" w:type="dxa"/>
            <w:vAlign w:val="bottom"/>
          </w:tcPr>
          <w:p>
            <w:pPr>
              <w:spacing w:after="0"/>
              <w:rPr>
                <w:sz w:val="24"/>
                <w:szCs w:val="24"/>
                <w:color w:val="auto"/>
              </w:rPr>
            </w:pPr>
          </w:p>
        </w:tc>
        <w:tc>
          <w:tcPr>
            <w:tcW w:w="1240" w:type="dxa"/>
            <w:vAlign w:val="bottom"/>
          </w:tcPr>
          <w:p>
            <w:pPr>
              <w:jc w:val="center"/>
              <w:ind w:left="30"/>
              <w:spacing w:after="0"/>
              <w:rPr>
                <w:sz w:val="20"/>
                <w:szCs w:val="20"/>
                <w:color w:val="auto"/>
              </w:rPr>
            </w:pPr>
            <w:r>
              <w:rPr>
                <w:rFonts w:ascii="Arial" w:cs="Arial" w:eastAsia="Arial" w:hAnsi="Arial"/>
                <w:sz w:val="18"/>
                <w:szCs w:val="18"/>
                <w:color w:val="auto"/>
              </w:rPr>
              <w:t>Phase III</w:t>
            </w:r>
          </w:p>
        </w:tc>
        <w:tc>
          <w:tcPr>
            <w:tcW w:w="14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4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90"/>
        </w:trPr>
        <w:tc>
          <w:tcPr>
            <w:tcW w:w="1580" w:type="dxa"/>
            <w:vAlign w:val="bottom"/>
            <w:tcBorders>
              <w:left w:val="single" w:sz="8" w:color="auto"/>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4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5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Neuroscience</w:t>
            </w:r>
          </w:p>
        </w:tc>
        <w:tc>
          <w:tcPr>
            <w:tcW w:w="1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20"/>
        </w:trPr>
        <w:tc>
          <w:tcPr>
            <w:tcW w:w="1580" w:type="dxa"/>
            <w:vAlign w:val="bottom"/>
            <w:tcBorders>
              <w:left w:val="single" w:sz="8" w:color="auto"/>
              <w:right w:val="single" w:sz="8" w:color="auto"/>
            </w:tcBorders>
          </w:tcPr>
          <w:p>
            <w:pPr>
              <w:spacing w:after="0"/>
              <w:rPr>
                <w:sz w:val="24"/>
                <w:szCs w:val="24"/>
                <w:color w:val="auto"/>
              </w:rPr>
            </w:pPr>
          </w:p>
        </w:tc>
        <w:tc>
          <w:tcPr>
            <w:tcW w:w="15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Cluster headache</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Launched</w:t>
            </w:r>
          </w:p>
        </w:tc>
        <w:tc>
          <w:tcPr>
            <w:tcW w:w="1240" w:type="dxa"/>
            <w:vAlign w:val="bottom"/>
            <w:vMerge w:val="restart"/>
          </w:tcPr>
          <w:p>
            <w:pPr>
              <w:jc w:val="center"/>
              <w:ind w:left="30"/>
              <w:spacing w:after="0"/>
              <w:rPr>
                <w:sz w:val="20"/>
                <w:szCs w:val="20"/>
                <w:color w:val="auto"/>
              </w:rPr>
            </w:pPr>
            <w:r>
              <w:rPr>
                <w:rFonts w:ascii="Arial" w:cs="Arial" w:eastAsia="Arial" w:hAnsi="Arial"/>
                <w:sz w:val="18"/>
                <w:szCs w:val="18"/>
                <w:color w:val="auto"/>
                <w:w w:val="99"/>
              </w:rPr>
              <w:t>Not approved</w:t>
            </w:r>
          </w:p>
        </w:tc>
        <w:tc>
          <w:tcPr>
            <w:tcW w:w="1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Not pursuing</w:t>
            </w:r>
          </w:p>
        </w:tc>
        <w:tc>
          <w:tcPr>
            <w:tcW w:w="4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European Medicines Agency did not approve in the</w:t>
            </w:r>
          </w:p>
        </w:tc>
        <w:tc>
          <w:tcPr>
            <w:tcW w:w="0" w:type="dxa"/>
            <w:vAlign w:val="bottom"/>
          </w:tcPr>
          <w:p>
            <w:pPr>
              <w:spacing w:after="0"/>
              <w:rPr>
                <w:sz w:val="1"/>
                <w:szCs w:val="1"/>
                <w:color w:val="auto"/>
              </w:rPr>
            </w:pPr>
          </w:p>
        </w:tc>
      </w:tr>
      <w:tr>
        <w:trPr>
          <w:trHeight w:val="95"/>
        </w:trPr>
        <w:tc>
          <w:tcPr>
            <w:tcW w:w="1580" w:type="dxa"/>
            <w:vAlign w:val="bottom"/>
            <w:tcBorders>
              <w:left w:val="single" w:sz="8" w:color="auto"/>
              <w:right w:val="single" w:sz="8" w:color="auto"/>
            </w:tcBorders>
          </w:tcPr>
          <w:p>
            <w:pPr>
              <w:spacing w:after="0"/>
              <w:rPr>
                <w:sz w:val="8"/>
                <w:szCs w:val="8"/>
                <w:color w:val="auto"/>
              </w:rPr>
            </w:pPr>
          </w:p>
        </w:tc>
        <w:tc>
          <w:tcPr>
            <w:tcW w:w="150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auto"/>
            </w:tcBorders>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approval</w:t>
            </w:r>
          </w:p>
        </w:tc>
        <w:tc>
          <w:tcPr>
            <w:tcW w:w="4440" w:type="dxa"/>
            <w:vAlign w:val="bottom"/>
            <w:tcBorders>
              <w:right w:val="single" w:sz="8" w:color="auto"/>
            </w:tcBorders>
          </w:tcPr>
          <w:p>
            <w:pPr>
              <w:ind w:left="20"/>
              <w:spacing w:after="0" w:line="95" w:lineRule="exact"/>
              <w:rPr>
                <w:sz w:val="20"/>
                <w:szCs w:val="20"/>
                <w:color w:val="auto"/>
              </w:rPr>
            </w:pPr>
            <w:r>
              <w:rPr>
                <w:rFonts w:ascii="Arial" w:cs="Arial" w:eastAsia="Arial" w:hAnsi="Arial"/>
                <w:sz w:val="10"/>
                <w:szCs w:val="10"/>
                <w:color w:val="auto"/>
              </w:rPr>
              <w:t>second quarter of 2020. We do not plan to pursue</w:t>
            </w:r>
          </w:p>
        </w:tc>
        <w:tc>
          <w:tcPr>
            <w:tcW w:w="0" w:type="dxa"/>
            <w:vAlign w:val="bottom"/>
          </w:tcPr>
          <w:p>
            <w:pPr>
              <w:spacing w:after="0"/>
              <w:rPr>
                <w:sz w:val="1"/>
                <w:szCs w:val="1"/>
                <w:color w:val="auto"/>
              </w:rPr>
            </w:pPr>
          </w:p>
        </w:tc>
      </w:tr>
      <w:tr>
        <w:trPr>
          <w:trHeight w:val="148"/>
        </w:trPr>
        <w:tc>
          <w:tcPr>
            <w:tcW w:w="15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Emgality</w:t>
            </w:r>
          </w:p>
        </w:tc>
        <w:tc>
          <w:tcPr>
            <w:tcW w:w="15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vMerge w:val="continue"/>
          </w:tcPr>
          <w:p>
            <w:pPr>
              <w:spacing w:after="0"/>
              <w:rPr>
                <w:sz w:val="12"/>
                <w:szCs w:val="12"/>
                <w:color w:val="auto"/>
              </w:rPr>
            </w:pPr>
          </w:p>
        </w:tc>
        <w:tc>
          <w:tcPr>
            <w:tcW w:w="44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approval in Europe.</w:t>
            </w:r>
          </w:p>
        </w:tc>
        <w:tc>
          <w:tcPr>
            <w:tcW w:w="0" w:type="dxa"/>
            <w:vAlign w:val="bottom"/>
          </w:tcPr>
          <w:p>
            <w:pPr>
              <w:spacing w:after="0"/>
              <w:rPr>
                <w:sz w:val="1"/>
                <w:szCs w:val="1"/>
                <w:color w:val="auto"/>
              </w:rPr>
            </w:pPr>
          </w:p>
        </w:tc>
      </w:tr>
      <w:tr>
        <w:trPr>
          <w:trHeight w:val="126"/>
        </w:trPr>
        <w:tc>
          <w:tcPr>
            <w:tcW w:w="1580" w:type="dxa"/>
            <w:vAlign w:val="bottom"/>
            <w:tcBorders>
              <w:left w:val="single" w:sz="8" w:color="auto"/>
              <w:right w:val="single" w:sz="8" w:color="auto"/>
            </w:tcBorders>
            <w:vMerge w:val="continue"/>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44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1580" w:type="dxa"/>
            <w:vAlign w:val="bottom"/>
            <w:tcBorders>
              <w:left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580" w:type="dxa"/>
            <w:vAlign w:val="bottom"/>
            <w:tcBorders>
              <w:left w:val="single" w:sz="8" w:color="auto"/>
              <w:right w:val="single" w:sz="8" w:color="auto"/>
            </w:tcBorders>
          </w:tcPr>
          <w:p>
            <w:pPr>
              <w:spacing w:after="0"/>
              <w:rPr>
                <w:sz w:val="14"/>
                <w:szCs w:val="14"/>
                <w:color w:val="auto"/>
              </w:rPr>
            </w:pPr>
          </w:p>
        </w:tc>
        <w:tc>
          <w:tcPr>
            <w:tcW w:w="150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Migraine</w:t>
            </w:r>
          </w:p>
        </w:tc>
        <w:tc>
          <w:tcPr>
            <w:tcW w:w="2420" w:type="dxa"/>
            <w:vAlign w:val="bottom"/>
            <w:gridSpan w:val="2"/>
            <w:vMerge w:val="restart"/>
          </w:tcPr>
          <w:p>
            <w:pPr>
              <w:ind w:left="860"/>
              <w:spacing w:after="0"/>
              <w:rPr>
                <w:sz w:val="20"/>
                <w:szCs w:val="20"/>
                <w:color w:val="auto"/>
              </w:rPr>
            </w:pPr>
            <w:r>
              <w:rPr>
                <w:rFonts w:ascii="Arial" w:cs="Arial" w:eastAsia="Arial" w:hAnsi="Arial"/>
                <w:sz w:val="18"/>
                <w:szCs w:val="18"/>
                <w:color w:val="auto"/>
              </w:rPr>
              <w:t>Launched</w:t>
            </w:r>
          </w:p>
        </w:tc>
        <w:tc>
          <w:tcPr>
            <w:tcW w:w="14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Submitted</w:t>
            </w:r>
          </w:p>
        </w:tc>
        <w:tc>
          <w:tcPr>
            <w:tcW w:w="444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Submitted to Japanese regulatory authorities in the</w:t>
            </w:r>
          </w:p>
        </w:tc>
        <w:tc>
          <w:tcPr>
            <w:tcW w:w="0" w:type="dxa"/>
            <w:vAlign w:val="bottom"/>
          </w:tcPr>
          <w:p>
            <w:pPr>
              <w:spacing w:after="0"/>
              <w:rPr>
                <w:sz w:val="1"/>
                <w:szCs w:val="1"/>
                <w:color w:val="auto"/>
              </w:rPr>
            </w:pPr>
          </w:p>
        </w:tc>
      </w:tr>
      <w:tr>
        <w:trPr>
          <w:trHeight w:val="152"/>
        </w:trPr>
        <w:tc>
          <w:tcPr>
            <w:tcW w:w="1580" w:type="dxa"/>
            <w:vAlign w:val="bottom"/>
            <w:tcBorders>
              <w:left w:val="single" w:sz="8" w:color="auto"/>
              <w:right w:val="single" w:sz="8" w:color="auto"/>
            </w:tcBorders>
          </w:tcPr>
          <w:p>
            <w:pPr>
              <w:spacing w:after="0"/>
              <w:rPr>
                <w:sz w:val="13"/>
                <w:szCs w:val="13"/>
                <w:color w:val="auto"/>
              </w:rPr>
            </w:pPr>
          </w:p>
        </w:tc>
        <w:tc>
          <w:tcPr>
            <w:tcW w:w="15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prevention</w:t>
            </w:r>
          </w:p>
        </w:tc>
        <w:tc>
          <w:tcPr>
            <w:tcW w:w="2420" w:type="dxa"/>
            <w:vAlign w:val="bottom"/>
            <w:gridSpan w:val="2"/>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vMerge w:val="continue"/>
          </w:tcPr>
          <w:p>
            <w:pPr>
              <w:spacing w:after="0"/>
              <w:rPr>
                <w:sz w:val="13"/>
                <w:szCs w:val="13"/>
                <w:color w:val="auto"/>
              </w:rPr>
            </w:pPr>
          </w:p>
        </w:tc>
        <w:tc>
          <w:tcPr>
            <w:tcW w:w="44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first quarter of 2020.</w:t>
            </w:r>
          </w:p>
        </w:tc>
        <w:tc>
          <w:tcPr>
            <w:tcW w:w="0" w:type="dxa"/>
            <w:vAlign w:val="bottom"/>
          </w:tcPr>
          <w:p>
            <w:pPr>
              <w:spacing w:after="0"/>
              <w:rPr>
                <w:sz w:val="1"/>
                <w:szCs w:val="1"/>
                <w:color w:val="auto"/>
              </w:rPr>
            </w:pPr>
          </w:p>
        </w:tc>
      </w:tr>
      <w:tr>
        <w:trPr>
          <w:trHeight w:val="90"/>
        </w:trPr>
        <w:tc>
          <w:tcPr>
            <w:tcW w:w="1580" w:type="dxa"/>
            <w:vAlign w:val="bottom"/>
            <w:tcBorders>
              <w:left w:val="single" w:sz="8" w:color="auto"/>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vMerge w:val="continue"/>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44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5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Tauvid</w:t>
            </w:r>
          </w:p>
        </w:tc>
        <w:tc>
          <w:tcPr>
            <w:tcW w:w="1500" w:type="dxa"/>
            <w:vAlign w:val="bottom"/>
            <w:tcBorders>
              <w:right w:val="single" w:sz="8" w:color="auto"/>
            </w:tcBorders>
          </w:tcPr>
          <w:p>
            <w:pPr>
              <w:ind w:left="20"/>
              <w:spacing w:after="0" w:line="170" w:lineRule="exact"/>
              <w:rPr>
                <w:sz w:val="20"/>
                <w:szCs w:val="20"/>
                <w:color w:val="auto"/>
              </w:rPr>
            </w:pPr>
            <w:r>
              <w:rPr>
                <w:rFonts w:ascii="Arial" w:cs="Arial" w:eastAsia="Arial" w:hAnsi="Arial"/>
                <w:sz w:val="18"/>
                <w:szCs w:val="18"/>
                <w:color w:val="auto"/>
              </w:rPr>
              <w:t>Alzheimer's</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Approved</w:t>
            </w:r>
          </w:p>
        </w:tc>
        <w:tc>
          <w:tcPr>
            <w:tcW w:w="256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Not pursuing approval</w:t>
            </w:r>
          </w:p>
        </w:tc>
        <w:tc>
          <w:tcPr>
            <w:tcW w:w="44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 in the U.S. in the second quarter of 2020.</w:t>
            </w:r>
          </w:p>
        </w:tc>
        <w:tc>
          <w:tcPr>
            <w:tcW w:w="0" w:type="dxa"/>
            <w:vAlign w:val="bottom"/>
          </w:tcPr>
          <w:p>
            <w:pPr>
              <w:spacing w:after="0"/>
              <w:rPr>
                <w:sz w:val="1"/>
                <w:szCs w:val="1"/>
                <w:color w:val="auto"/>
              </w:rPr>
            </w:pPr>
          </w:p>
        </w:tc>
      </w:tr>
      <w:tr>
        <w:trPr>
          <w:trHeight w:val="176"/>
        </w:trPr>
        <w:tc>
          <w:tcPr>
            <w:tcW w:w="1580" w:type="dxa"/>
            <w:vAlign w:val="bottom"/>
            <w:tcBorders>
              <w:left w:val="single" w:sz="8" w:color="auto"/>
              <w:right w:val="single" w:sz="8" w:color="auto"/>
            </w:tcBorders>
            <w:vMerge w:val="continue"/>
          </w:tcPr>
          <w:p>
            <w:pPr>
              <w:spacing w:after="0"/>
              <w:rPr>
                <w:sz w:val="15"/>
                <w:szCs w:val="15"/>
                <w:color w:val="auto"/>
              </w:rPr>
            </w:pPr>
          </w:p>
        </w:tc>
        <w:tc>
          <w:tcPr>
            <w:tcW w:w="150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disease</w:t>
            </w:r>
          </w:p>
        </w:tc>
        <w:tc>
          <w:tcPr>
            <w:tcW w:w="1180" w:type="dxa"/>
            <w:vAlign w:val="bottom"/>
            <w:tcBorders>
              <w:right w:val="single" w:sz="8" w:color="auto"/>
            </w:tcBorders>
            <w:vMerge w:val="continue"/>
          </w:tcPr>
          <w:p>
            <w:pPr>
              <w:spacing w:after="0"/>
              <w:rPr>
                <w:sz w:val="15"/>
                <w:szCs w:val="15"/>
                <w:color w:val="auto"/>
              </w:rPr>
            </w:pPr>
          </w:p>
        </w:tc>
        <w:tc>
          <w:tcPr>
            <w:tcW w:w="2560" w:type="dxa"/>
            <w:vAlign w:val="bottom"/>
            <w:tcBorders>
              <w:right w:val="single" w:sz="8" w:color="auto"/>
            </w:tcBorders>
            <w:gridSpan w:val="3"/>
            <w:vMerge w:val="continue"/>
          </w:tcPr>
          <w:p>
            <w:pPr>
              <w:spacing w:after="0"/>
              <w:rPr>
                <w:sz w:val="15"/>
                <w:szCs w:val="15"/>
                <w:color w:val="auto"/>
              </w:rPr>
            </w:pPr>
          </w:p>
        </w:tc>
        <w:tc>
          <w:tcPr>
            <w:tcW w:w="44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580" w:type="dxa"/>
            <w:vAlign w:val="bottom"/>
            <w:tcBorders>
              <w:left w:val="single" w:sz="8" w:color="auto"/>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diagnostic</w:t>
            </w:r>
          </w:p>
        </w:tc>
        <w:tc>
          <w:tcPr>
            <w:tcW w:w="118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580" w:type="dxa"/>
            <w:vAlign w:val="bottom"/>
            <w:tcBorders>
              <w:left w:val="single" w:sz="8" w:color="auto"/>
              <w:right w:val="single" w:sz="8" w:color="auto"/>
            </w:tcBorders>
          </w:tcPr>
          <w:p>
            <w:pPr>
              <w:spacing w:after="0"/>
              <w:rPr>
                <w:sz w:val="14"/>
                <w:szCs w:val="14"/>
                <w:color w:val="auto"/>
              </w:rPr>
            </w:pPr>
          </w:p>
        </w:tc>
        <w:tc>
          <w:tcPr>
            <w:tcW w:w="15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Acute treatment</w:t>
            </w:r>
          </w:p>
        </w:tc>
        <w:tc>
          <w:tcPr>
            <w:tcW w:w="1180" w:type="dxa"/>
            <w:vAlign w:val="bottom"/>
            <w:tcBorders>
              <w:right w:val="single" w:sz="8" w:color="auto"/>
            </w:tcBorders>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444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Received Schedule V classification from the Drug</w:t>
            </w:r>
          </w:p>
        </w:tc>
        <w:tc>
          <w:tcPr>
            <w:tcW w:w="0" w:type="dxa"/>
            <w:vAlign w:val="bottom"/>
          </w:tcPr>
          <w:p>
            <w:pPr>
              <w:spacing w:after="0"/>
              <w:rPr>
                <w:sz w:val="1"/>
                <w:szCs w:val="1"/>
                <w:color w:val="auto"/>
              </w:rPr>
            </w:pPr>
          </w:p>
        </w:tc>
      </w:tr>
      <w:tr>
        <w:trPr>
          <w:trHeight w:val="81"/>
        </w:trPr>
        <w:tc>
          <w:tcPr>
            <w:tcW w:w="1580" w:type="dxa"/>
            <w:vAlign w:val="bottom"/>
            <w:tcBorders>
              <w:left w:val="single" w:sz="8" w:color="auto"/>
              <w:right w:val="single" w:sz="8" w:color="auto"/>
            </w:tcBorders>
            <w:vMerge w:val="restart"/>
          </w:tcPr>
          <w:p>
            <w:pPr>
              <w:ind w:left="40"/>
              <w:spacing w:after="0" w:line="176" w:lineRule="exact"/>
              <w:rPr>
                <w:sz w:val="20"/>
                <w:szCs w:val="20"/>
                <w:color w:val="auto"/>
              </w:rPr>
            </w:pPr>
            <w:r>
              <w:rPr>
                <w:rFonts w:ascii="Arial" w:cs="Arial" w:eastAsia="Arial" w:hAnsi="Arial"/>
                <w:sz w:val="18"/>
                <w:szCs w:val="18"/>
                <w:color w:val="auto"/>
              </w:rPr>
              <w:t>Reyvow</w:t>
            </w:r>
          </w:p>
        </w:tc>
        <w:tc>
          <w:tcPr>
            <w:tcW w:w="150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restart"/>
          </w:tcPr>
          <w:p>
            <w:pPr>
              <w:jc w:val="center"/>
              <w:spacing w:after="0" w:line="176" w:lineRule="exact"/>
              <w:rPr>
                <w:sz w:val="20"/>
                <w:szCs w:val="20"/>
                <w:color w:val="auto"/>
              </w:rPr>
            </w:pPr>
            <w:r>
              <w:rPr>
                <w:rFonts w:ascii="Arial" w:cs="Arial" w:eastAsia="Arial" w:hAnsi="Arial"/>
                <w:sz w:val="18"/>
                <w:szCs w:val="18"/>
                <w:color w:val="auto"/>
              </w:rPr>
              <w:t>Launched</w:t>
            </w:r>
          </w:p>
        </w:tc>
        <w:tc>
          <w:tcPr>
            <w:tcW w:w="2560" w:type="dxa"/>
            <w:vAlign w:val="bottom"/>
            <w:tcBorders>
              <w:right w:val="single" w:sz="8" w:color="auto"/>
            </w:tcBorders>
            <w:gridSpan w:val="3"/>
            <w:vMerge w:val="restart"/>
          </w:tcPr>
          <w:p>
            <w:pPr>
              <w:jc w:val="center"/>
              <w:spacing w:after="0" w:line="176" w:lineRule="exact"/>
              <w:rPr>
                <w:sz w:val="20"/>
                <w:szCs w:val="20"/>
                <w:color w:val="auto"/>
              </w:rPr>
            </w:pPr>
            <w:r>
              <w:rPr>
                <w:rFonts w:ascii="Arial" w:cs="Arial" w:eastAsia="Arial" w:hAnsi="Arial"/>
                <w:sz w:val="18"/>
                <w:szCs w:val="18"/>
                <w:color w:val="auto"/>
                <w:w w:val="98"/>
              </w:rPr>
              <w:t>Phase III</w:t>
            </w:r>
          </w:p>
        </w:tc>
        <w:tc>
          <w:tcPr>
            <w:tcW w:w="444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Enforcement Agency and launched in the U.S. in the</w:t>
            </w:r>
          </w:p>
        </w:tc>
        <w:tc>
          <w:tcPr>
            <w:tcW w:w="0" w:type="dxa"/>
            <w:vAlign w:val="bottom"/>
          </w:tcPr>
          <w:p>
            <w:pPr>
              <w:spacing w:after="0"/>
              <w:rPr>
                <w:sz w:val="1"/>
                <w:szCs w:val="1"/>
                <w:color w:val="auto"/>
              </w:rPr>
            </w:pPr>
          </w:p>
        </w:tc>
      </w:tr>
      <w:tr>
        <w:trPr>
          <w:trHeight w:val="95"/>
        </w:trPr>
        <w:tc>
          <w:tcPr>
            <w:tcW w:w="1580" w:type="dxa"/>
            <w:vAlign w:val="bottom"/>
            <w:tcBorders>
              <w:left w:val="single" w:sz="8" w:color="auto"/>
              <w:right w:val="single" w:sz="8" w:color="auto"/>
            </w:tcBorders>
            <w:vMerge w:val="continue"/>
          </w:tcPr>
          <w:p>
            <w:pPr>
              <w:spacing w:after="0"/>
              <w:rPr>
                <w:sz w:val="8"/>
                <w:szCs w:val="8"/>
                <w:color w:val="auto"/>
              </w:rPr>
            </w:pPr>
          </w:p>
        </w:tc>
        <w:tc>
          <w:tcPr>
            <w:tcW w:w="15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of migraine</w:t>
            </w:r>
          </w:p>
        </w:tc>
        <w:tc>
          <w:tcPr>
            <w:tcW w:w="1180" w:type="dxa"/>
            <w:vAlign w:val="bottom"/>
            <w:tcBorders>
              <w:right w:val="single" w:sz="8" w:color="auto"/>
            </w:tcBorders>
            <w:vMerge w:val="continue"/>
          </w:tcPr>
          <w:p>
            <w:pPr>
              <w:spacing w:after="0"/>
              <w:rPr>
                <w:sz w:val="8"/>
                <w:szCs w:val="8"/>
                <w:color w:val="auto"/>
              </w:rPr>
            </w:pPr>
          </w:p>
        </w:tc>
        <w:tc>
          <w:tcPr>
            <w:tcW w:w="2560" w:type="dxa"/>
            <w:vAlign w:val="bottom"/>
            <w:tcBorders>
              <w:right w:val="single" w:sz="8" w:color="auto"/>
            </w:tcBorders>
            <w:gridSpan w:val="3"/>
            <w:vMerge w:val="continue"/>
          </w:tcPr>
          <w:p>
            <w:pPr>
              <w:spacing w:after="0"/>
              <w:rPr>
                <w:sz w:val="8"/>
                <w:szCs w:val="8"/>
                <w:color w:val="auto"/>
              </w:rPr>
            </w:pPr>
          </w:p>
        </w:tc>
        <w:tc>
          <w:tcPr>
            <w:tcW w:w="44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58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vMerge w:val="continue"/>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44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first quarter of 2020.</w:t>
            </w:r>
          </w:p>
        </w:tc>
        <w:tc>
          <w:tcPr>
            <w:tcW w:w="0" w:type="dxa"/>
            <w:vAlign w:val="bottom"/>
          </w:tcPr>
          <w:p>
            <w:pPr>
              <w:spacing w:after="0"/>
              <w:rPr>
                <w:sz w:val="1"/>
                <w:szCs w:val="1"/>
                <w:color w:val="auto"/>
              </w:rPr>
            </w:pPr>
          </w:p>
        </w:tc>
      </w:tr>
      <w:tr>
        <w:trPr>
          <w:trHeight w:val="81"/>
        </w:trPr>
        <w:tc>
          <w:tcPr>
            <w:tcW w:w="1580" w:type="dxa"/>
            <w:vAlign w:val="bottom"/>
            <w:tcBorders>
              <w:left w:val="single" w:sz="8" w:color="auto"/>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44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580" w:type="dxa"/>
            <w:vAlign w:val="bottom"/>
            <w:tcBorders>
              <w:left w:val="single" w:sz="8" w:color="auto"/>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444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Announced in the first quarter of 2020 that a Phase III</w:t>
            </w:r>
          </w:p>
        </w:tc>
        <w:tc>
          <w:tcPr>
            <w:tcW w:w="0" w:type="dxa"/>
            <w:vAlign w:val="bottom"/>
          </w:tcPr>
          <w:p>
            <w:pPr>
              <w:spacing w:after="0"/>
              <w:rPr>
                <w:sz w:val="1"/>
                <w:szCs w:val="1"/>
                <w:color w:val="auto"/>
              </w:rPr>
            </w:pPr>
          </w:p>
        </w:tc>
      </w:tr>
      <w:tr>
        <w:trPr>
          <w:trHeight w:val="176"/>
        </w:trPr>
        <w:tc>
          <w:tcPr>
            <w:tcW w:w="1580" w:type="dxa"/>
            <w:vAlign w:val="bottom"/>
            <w:tcBorders>
              <w:left w:val="single" w:sz="8" w:color="auto"/>
              <w:right w:val="single" w:sz="8" w:color="auto"/>
            </w:tcBorders>
          </w:tcPr>
          <w:p>
            <w:pPr>
              <w:spacing w:after="0"/>
              <w:rPr>
                <w:sz w:val="15"/>
                <w:szCs w:val="15"/>
                <w:color w:val="auto"/>
              </w:rPr>
            </w:pPr>
          </w:p>
        </w:tc>
        <w:tc>
          <w:tcPr>
            <w:tcW w:w="15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Preclinical</w:t>
            </w:r>
          </w:p>
        </w:tc>
        <w:tc>
          <w:tcPr>
            <w:tcW w:w="1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trial for people with dominantly inherited Alzheimer's</w:t>
            </w:r>
          </w:p>
        </w:tc>
        <w:tc>
          <w:tcPr>
            <w:tcW w:w="0" w:type="dxa"/>
            <w:vAlign w:val="bottom"/>
          </w:tcPr>
          <w:p>
            <w:pPr>
              <w:spacing w:after="0"/>
              <w:rPr>
                <w:sz w:val="1"/>
                <w:szCs w:val="1"/>
                <w:color w:val="auto"/>
              </w:rPr>
            </w:pPr>
          </w:p>
        </w:tc>
      </w:tr>
      <w:tr>
        <w:trPr>
          <w:trHeight w:val="81"/>
        </w:trPr>
        <w:tc>
          <w:tcPr>
            <w:tcW w:w="1580" w:type="dxa"/>
            <w:vAlign w:val="bottom"/>
            <w:tcBorders>
              <w:left w:val="single" w:sz="8" w:color="auto"/>
              <w:right w:val="single" w:sz="8" w:color="auto"/>
            </w:tcBorders>
          </w:tcPr>
          <w:p>
            <w:pPr>
              <w:spacing w:after="0"/>
              <w:rPr>
                <w:sz w:val="7"/>
                <w:szCs w:val="7"/>
                <w:color w:val="auto"/>
              </w:rPr>
            </w:pPr>
          </w:p>
        </w:tc>
        <w:tc>
          <w:tcPr>
            <w:tcW w:w="1500" w:type="dxa"/>
            <w:vAlign w:val="bottom"/>
            <w:tcBorders>
              <w:right w:val="single" w:sz="8" w:color="auto"/>
            </w:tcBorders>
            <w:vMerge w:val="continue"/>
          </w:tcPr>
          <w:p>
            <w:pPr>
              <w:spacing w:after="0"/>
              <w:rPr>
                <w:sz w:val="7"/>
                <w:szCs w:val="7"/>
                <w:color w:val="auto"/>
              </w:rPr>
            </w:pPr>
          </w:p>
        </w:tc>
        <w:tc>
          <w:tcPr>
            <w:tcW w:w="11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444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disease (DIAD) did not meet the primary endpoint. We</w:t>
            </w:r>
          </w:p>
        </w:tc>
        <w:tc>
          <w:tcPr>
            <w:tcW w:w="0" w:type="dxa"/>
            <w:vAlign w:val="bottom"/>
          </w:tcPr>
          <w:p>
            <w:pPr>
              <w:spacing w:after="0"/>
              <w:rPr>
                <w:sz w:val="1"/>
                <w:szCs w:val="1"/>
                <w:color w:val="auto"/>
              </w:rPr>
            </w:pPr>
          </w:p>
        </w:tc>
      </w:tr>
      <w:tr>
        <w:trPr>
          <w:trHeight w:val="95"/>
        </w:trPr>
        <w:tc>
          <w:tcPr>
            <w:tcW w:w="1580" w:type="dxa"/>
            <w:vAlign w:val="bottom"/>
            <w:tcBorders>
              <w:left w:val="single" w:sz="8" w:color="auto"/>
              <w:right w:val="single" w:sz="8" w:color="auto"/>
            </w:tcBorders>
            <w:vMerge w:val="restart"/>
          </w:tcPr>
          <w:p>
            <w:pPr>
              <w:ind w:left="40"/>
              <w:spacing w:after="0" w:line="176" w:lineRule="exact"/>
              <w:rPr>
                <w:sz w:val="20"/>
                <w:szCs w:val="20"/>
                <w:color w:val="auto"/>
              </w:rPr>
            </w:pPr>
            <w:r>
              <w:rPr>
                <w:rFonts w:ascii="Arial" w:cs="Arial" w:eastAsia="Arial" w:hAnsi="Arial"/>
                <w:sz w:val="18"/>
                <w:szCs w:val="18"/>
                <w:color w:val="auto"/>
              </w:rPr>
              <w:t>Solanezumab</w:t>
            </w:r>
          </w:p>
        </w:tc>
        <w:tc>
          <w:tcPr>
            <w:tcW w:w="150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Alzheimer's</w:t>
            </w:r>
          </w:p>
        </w:tc>
        <w:tc>
          <w:tcPr>
            <w:tcW w:w="1180" w:type="dxa"/>
            <w:vAlign w:val="bottom"/>
          </w:tcPr>
          <w:p>
            <w:pPr>
              <w:spacing w:after="0"/>
              <w:rPr>
                <w:sz w:val="8"/>
                <w:szCs w:val="8"/>
                <w:color w:val="auto"/>
              </w:rPr>
            </w:pPr>
          </w:p>
        </w:tc>
        <w:tc>
          <w:tcPr>
            <w:tcW w:w="1240" w:type="dxa"/>
            <w:vAlign w:val="bottom"/>
            <w:vMerge w:val="restart"/>
          </w:tcPr>
          <w:p>
            <w:pPr>
              <w:jc w:val="center"/>
              <w:ind w:left="30"/>
              <w:spacing w:after="0" w:line="176" w:lineRule="exact"/>
              <w:rPr>
                <w:sz w:val="20"/>
                <w:szCs w:val="20"/>
                <w:color w:val="auto"/>
              </w:rPr>
            </w:pPr>
            <w:r>
              <w:rPr>
                <w:rFonts w:ascii="Arial" w:cs="Arial" w:eastAsia="Arial" w:hAnsi="Arial"/>
                <w:sz w:val="18"/>
                <w:szCs w:val="18"/>
                <w:color w:val="auto"/>
              </w:rPr>
              <w:t>Phase III</w:t>
            </w:r>
          </w:p>
        </w:tc>
        <w:tc>
          <w:tcPr>
            <w:tcW w:w="140" w:type="dxa"/>
            <w:vAlign w:val="bottom"/>
          </w:tcPr>
          <w:p>
            <w:pPr>
              <w:spacing w:after="0"/>
              <w:rPr>
                <w:sz w:val="8"/>
                <w:szCs w:val="8"/>
                <w:color w:val="auto"/>
              </w:rPr>
            </w:pPr>
          </w:p>
        </w:tc>
        <w:tc>
          <w:tcPr>
            <w:tcW w:w="1180" w:type="dxa"/>
            <w:vAlign w:val="bottom"/>
            <w:tcBorders>
              <w:right w:val="single" w:sz="8" w:color="auto"/>
            </w:tcBorders>
          </w:tcPr>
          <w:p>
            <w:pPr>
              <w:spacing w:after="0"/>
              <w:rPr>
                <w:sz w:val="8"/>
                <w:szCs w:val="8"/>
                <w:color w:val="auto"/>
              </w:rPr>
            </w:pPr>
          </w:p>
        </w:tc>
        <w:tc>
          <w:tcPr>
            <w:tcW w:w="44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580" w:type="dxa"/>
            <w:vAlign w:val="bottom"/>
            <w:tcBorders>
              <w:left w:val="single" w:sz="8" w:color="auto"/>
              <w:right w:val="single" w:sz="8" w:color="auto"/>
            </w:tcBorders>
            <w:vMerge w:val="continue"/>
          </w:tcPr>
          <w:p>
            <w:pPr>
              <w:spacing w:after="0"/>
              <w:rPr>
                <w:sz w:val="7"/>
                <w:szCs w:val="7"/>
                <w:color w:val="auto"/>
              </w:rPr>
            </w:pPr>
          </w:p>
        </w:tc>
        <w:tc>
          <w:tcPr>
            <w:tcW w:w="1500" w:type="dxa"/>
            <w:vAlign w:val="bottom"/>
            <w:tcBorders>
              <w:right w:val="single" w:sz="8" w:color="auto"/>
            </w:tcBorders>
            <w:vMerge w:val="continue"/>
          </w:tcPr>
          <w:p>
            <w:pPr>
              <w:spacing w:after="0"/>
              <w:rPr>
                <w:sz w:val="7"/>
                <w:szCs w:val="7"/>
                <w:color w:val="auto"/>
              </w:rPr>
            </w:pPr>
          </w:p>
        </w:tc>
        <w:tc>
          <w:tcPr>
            <w:tcW w:w="118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444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do not plan to pursue submission for DIAD. Phase III</w:t>
            </w:r>
          </w:p>
        </w:tc>
        <w:tc>
          <w:tcPr>
            <w:tcW w:w="0" w:type="dxa"/>
            <w:vAlign w:val="bottom"/>
          </w:tcPr>
          <w:p>
            <w:pPr>
              <w:spacing w:after="0"/>
              <w:rPr>
                <w:sz w:val="1"/>
                <w:szCs w:val="1"/>
                <w:color w:val="auto"/>
              </w:rPr>
            </w:pPr>
          </w:p>
        </w:tc>
      </w:tr>
      <w:tr>
        <w:trPr>
          <w:trHeight w:val="95"/>
        </w:trPr>
        <w:tc>
          <w:tcPr>
            <w:tcW w:w="1580" w:type="dxa"/>
            <w:vAlign w:val="bottom"/>
            <w:tcBorders>
              <w:left w:val="single" w:sz="8" w:color="auto"/>
              <w:right w:val="single" w:sz="8" w:color="auto"/>
            </w:tcBorders>
          </w:tcPr>
          <w:p>
            <w:pPr>
              <w:spacing w:after="0"/>
              <w:rPr>
                <w:sz w:val="8"/>
                <w:szCs w:val="8"/>
                <w:color w:val="auto"/>
              </w:rPr>
            </w:pPr>
          </w:p>
        </w:tc>
        <w:tc>
          <w:tcPr>
            <w:tcW w:w="15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disease</w:t>
            </w:r>
          </w:p>
        </w:tc>
        <w:tc>
          <w:tcPr>
            <w:tcW w:w="1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Borders>
              <w:right w:val="single" w:sz="8" w:color="auto"/>
            </w:tcBorders>
          </w:tcPr>
          <w:p>
            <w:pPr>
              <w:spacing w:after="0"/>
              <w:rPr>
                <w:sz w:val="8"/>
                <w:szCs w:val="8"/>
                <w:color w:val="auto"/>
              </w:rPr>
            </w:pPr>
          </w:p>
        </w:tc>
        <w:tc>
          <w:tcPr>
            <w:tcW w:w="44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58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vMerge w:val="continue"/>
          </w:tcPr>
          <w:p>
            <w:pPr>
              <w:spacing w:after="0"/>
              <w:rPr>
                <w:sz w:val="12"/>
                <w:szCs w:val="12"/>
                <w:color w:val="auto"/>
              </w:rPr>
            </w:pPr>
          </w:p>
        </w:tc>
        <w:tc>
          <w:tcPr>
            <w:tcW w:w="1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444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trial is ongoing for Anti-Amyloid Treatment in</w:t>
            </w:r>
          </w:p>
        </w:tc>
        <w:tc>
          <w:tcPr>
            <w:tcW w:w="0" w:type="dxa"/>
            <w:vAlign w:val="bottom"/>
          </w:tcPr>
          <w:p>
            <w:pPr>
              <w:spacing w:after="0"/>
              <w:rPr>
                <w:sz w:val="1"/>
                <w:szCs w:val="1"/>
                <w:color w:val="auto"/>
              </w:rPr>
            </w:pPr>
          </w:p>
        </w:tc>
      </w:tr>
      <w:tr>
        <w:trPr>
          <w:trHeight w:val="27"/>
        </w:trPr>
        <w:tc>
          <w:tcPr>
            <w:tcW w:w="1580" w:type="dxa"/>
            <w:vAlign w:val="bottom"/>
            <w:tcBorders>
              <w:left w:val="single" w:sz="8" w:color="auto"/>
              <w:right w:val="single" w:sz="8" w:color="auto"/>
            </w:tcBorders>
          </w:tcPr>
          <w:p>
            <w:pPr>
              <w:spacing w:after="0"/>
              <w:rPr>
                <w:sz w:val="2"/>
                <w:szCs w:val="2"/>
                <w:color w:val="auto"/>
              </w:rPr>
            </w:pPr>
          </w:p>
        </w:tc>
        <w:tc>
          <w:tcPr>
            <w:tcW w:w="1500" w:type="dxa"/>
            <w:vAlign w:val="bottom"/>
            <w:tcBorders>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444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580" w:type="dxa"/>
            <w:vAlign w:val="bottom"/>
            <w:tcBorders>
              <w:left w:val="single" w:sz="8" w:color="auto"/>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Asymptomatic Alzheimer's.</w:t>
            </w:r>
          </w:p>
        </w:tc>
        <w:tc>
          <w:tcPr>
            <w:tcW w:w="0" w:type="dxa"/>
            <w:vAlign w:val="bottom"/>
          </w:tcPr>
          <w:p>
            <w:pPr>
              <w:spacing w:after="0"/>
              <w:rPr>
                <w:sz w:val="1"/>
                <w:szCs w:val="1"/>
                <w:color w:val="auto"/>
              </w:rPr>
            </w:pPr>
          </w:p>
        </w:tc>
      </w:tr>
      <w:tr>
        <w:trPr>
          <w:trHeight w:val="848"/>
        </w:trPr>
        <w:tc>
          <w:tcPr>
            <w:tcW w:w="1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gridSpan w:val="2"/>
          </w:tcPr>
          <w:p>
            <w:pPr>
              <w:jc w:val="right"/>
              <w:ind w:right="1010"/>
              <w:spacing w:after="0"/>
              <w:rPr>
                <w:sz w:val="20"/>
                <w:szCs w:val="20"/>
                <w:color w:val="auto"/>
              </w:rPr>
            </w:pPr>
            <w:r>
              <w:rPr>
                <w:rFonts w:ascii="Arial" w:cs="Arial" w:eastAsia="Arial" w:hAnsi="Arial"/>
                <w:sz w:val="18"/>
                <w:szCs w:val="18"/>
                <w:color w:val="auto"/>
                <w:w w:val="99"/>
              </w:rPr>
              <w:t>39</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58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44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19" w:right="319" w:bottom="1440" w:gutter="0" w:footer="0" w:header="0"/>
        </w:sectPr>
      </w:pPr>
    </w:p>
    <w:bookmarkStart w:id="39" w:name="page40"/>
    <w:bookmarkEnd w:id="39"/>
    <w:tbl>
      <w:tblPr>
        <w:tblLayout w:type="fixed"/>
        <w:tblInd w:w="10" w:type="dxa"/>
        <w:tblCellMar>
          <w:top w:w="0" w:type="dxa"/>
          <w:left w:w="0" w:type="dxa"/>
          <w:bottom w:w="0" w:type="dxa"/>
          <w:right w:w="0" w:type="dxa"/>
        </w:tblCellMar>
      </w:tblPr>
      <w:tr>
        <w:trPr>
          <w:trHeight w:val="243"/>
        </w:trPr>
        <w:tc>
          <w:tcPr>
            <w:tcW w:w="158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5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18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138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18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Japan</w:t>
            </w:r>
          </w:p>
        </w:tc>
        <w:tc>
          <w:tcPr>
            <w:tcW w:w="44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412"/>
        </w:trPr>
        <w:tc>
          <w:tcPr>
            <w:tcW w:w="1580" w:type="dxa"/>
            <w:vAlign w:val="bottom"/>
            <w:tcBorders>
              <w:left w:val="single" w:sz="8" w:color="auto"/>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4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 collaboration with Pfizer, we submitted to the FDA in</w:t>
            </w:r>
          </w:p>
        </w:tc>
        <w:tc>
          <w:tcPr>
            <w:tcW w:w="0" w:type="dxa"/>
            <w:vAlign w:val="bottom"/>
          </w:tcPr>
          <w:p>
            <w:pPr>
              <w:spacing w:after="0"/>
              <w:rPr>
                <w:sz w:val="1"/>
                <w:szCs w:val="1"/>
                <w:color w:val="auto"/>
              </w:rPr>
            </w:pPr>
          </w:p>
        </w:tc>
      </w:tr>
      <w:tr>
        <w:trPr>
          <w:trHeight w:val="176"/>
        </w:trPr>
        <w:tc>
          <w:tcPr>
            <w:tcW w:w="1580" w:type="dxa"/>
            <w:vAlign w:val="bottom"/>
            <w:tcBorders>
              <w:left w:val="single" w:sz="8" w:color="auto"/>
              <w:right w:val="single" w:sz="8" w:color="auto"/>
            </w:tcBorders>
          </w:tcPr>
          <w:p>
            <w:pPr>
              <w:spacing w:after="0"/>
              <w:rPr>
                <w:sz w:val="15"/>
                <w:szCs w:val="15"/>
                <w:color w:val="auto"/>
              </w:rPr>
            </w:pPr>
          </w:p>
        </w:tc>
        <w:tc>
          <w:tcPr>
            <w:tcW w:w="15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Osteoarthritis</w:t>
            </w:r>
          </w:p>
        </w:tc>
        <w:tc>
          <w:tcPr>
            <w:tcW w:w="1180" w:type="dxa"/>
            <w:vAlign w:val="bottom"/>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the fourth quarter of 2019, submitted in Europe in the</w:t>
            </w:r>
          </w:p>
        </w:tc>
        <w:tc>
          <w:tcPr>
            <w:tcW w:w="0" w:type="dxa"/>
            <w:vAlign w:val="bottom"/>
          </w:tcPr>
          <w:p>
            <w:pPr>
              <w:spacing w:after="0"/>
              <w:rPr>
                <w:sz w:val="1"/>
                <w:szCs w:val="1"/>
                <w:color w:val="auto"/>
              </w:rPr>
            </w:pPr>
          </w:p>
        </w:tc>
      </w:tr>
      <w:tr>
        <w:trPr>
          <w:trHeight w:val="175"/>
        </w:trPr>
        <w:tc>
          <w:tcPr>
            <w:tcW w:w="1580" w:type="dxa"/>
            <w:vAlign w:val="bottom"/>
            <w:tcBorders>
              <w:left w:val="single" w:sz="8" w:color="auto"/>
              <w:right w:val="single" w:sz="8" w:color="auto"/>
            </w:tcBorders>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2560" w:type="dxa"/>
            <w:vAlign w:val="bottom"/>
            <w:tcBorders>
              <w:right w:val="single" w:sz="8" w:color="auto"/>
            </w:tcBorders>
            <w:gridSpan w:val="2"/>
            <w:vMerge w:val="restart"/>
          </w:tcPr>
          <w:p>
            <w:pPr>
              <w:ind w:left="860"/>
              <w:spacing w:after="0"/>
              <w:rPr>
                <w:sz w:val="20"/>
                <w:szCs w:val="20"/>
                <w:color w:val="auto"/>
              </w:rPr>
            </w:pPr>
            <w:r>
              <w:rPr>
                <w:rFonts w:ascii="Arial" w:cs="Arial" w:eastAsia="Arial" w:hAnsi="Arial"/>
                <w:sz w:val="18"/>
                <w:szCs w:val="18"/>
                <w:color w:val="auto"/>
              </w:rPr>
              <w:t>Submitted</w:t>
            </w:r>
          </w:p>
        </w:tc>
        <w:tc>
          <w:tcPr>
            <w:tcW w:w="118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Phase III</w:t>
            </w:r>
          </w:p>
        </w:tc>
        <w:tc>
          <w:tcPr>
            <w:tcW w:w="44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first quarter of 2020, and intend to pursue submission</w:t>
            </w:r>
          </w:p>
        </w:tc>
        <w:tc>
          <w:tcPr>
            <w:tcW w:w="0" w:type="dxa"/>
            <w:vAlign w:val="bottom"/>
          </w:tcPr>
          <w:p>
            <w:pPr>
              <w:spacing w:after="0"/>
              <w:rPr>
                <w:sz w:val="1"/>
                <w:szCs w:val="1"/>
                <w:color w:val="auto"/>
              </w:rPr>
            </w:pPr>
          </w:p>
        </w:tc>
      </w:tr>
      <w:tr>
        <w:trPr>
          <w:trHeight w:val="153"/>
        </w:trPr>
        <w:tc>
          <w:tcPr>
            <w:tcW w:w="15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Tanezumab</w:t>
            </w:r>
          </w:p>
        </w:tc>
        <w:tc>
          <w:tcPr>
            <w:tcW w:w="15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pain</w:t>
            </w:r>
          </w:p>
        </w:tc>
        <w:tc>
          <w:tcPr>
            <w:tcW w:w="2560" w:type="dxa"/>
            <w:vAlign w:val="bottom"/>
            <w:tcBorders>
              <w:right w:val="single" w:sz="8" w:color="auto"/>
            </w:tcBorders>
            <w:gridSpan w:val="2"/>
            <w:vMerge w:val="continue"/>
          </w:tcPr>
          <w:p>
            <w:pPr>
              <w:spacing w:after="0"/>
              <w:rPr>
                <w:sz w:val="13"/>
                <w:szCs w:val="13"/>
                <w:color w:val="auto"/>
              </w:rPr>
            </w:pPr>
          </w:p>
        </w:tc>
        <w:tc>
          <w:tcPr>
            <w:tcW w:w="1180" w:type="dxa"/>
            <w:vAlign w:val="bottom"/>
            <w:tcBorders>
              <w:right w:val="single" w:sz="8" w:color="auto"/>
            </w:tcBorders>
            <w:vMerge w:val="continue"/>
          </w:tcPr>
          <w:p>
            <w:pPr>
              <w:spacing w:after="0"/>
              <w:rPr>
                <w:sz w:val="13"/>
                <w:szCs w:val="13"/>
                <w:color w:val="auto"/>
              </w:rPr>
            </w:pPr>
          </w:p>
        </w:tc>
        <w:tc>
          <w:tcPr>
            <w:tcW w:w="44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in Japan in 2020. The FDA intends to hold an Advisory</w:t>
            </w:r>
          </w:p>
        </w:tc>
        <w:tc>
          <w:tcPr>
            <w:tcW w:w="0" w:type="dxa"/>
            <w:vAlign w:val="bottom"/>
          </w:tcPr>
          <w:p>
            <w:pPr>
              <w:spacing w:after="0"/>
              <w:rPr>
                <w:sz w:val="1"/>
                <w:szCs w:val="1"/>
                <w:color w:val="auto"/>
              </w:rPr>
            </w:pPr>
          </w:p>
        </w:tc>
      </w:tr>
      <w:tr>
        <w:trPr>
          <w:trHeight w:val="77"/>
        </w:trPr>
        <w:tc>
          <w:tcPr>
            <w:tcW w:w="1580" w:type="dxa"/>
            <w:vAlign w:val="bottom"/>
            <w:tcBorders>
              <w:left w:val="single" w:sz="8" w:color="auto"/>
              <w:right w:val="single" w:sz="8" w:color="auto"/>
            </w:tcBorders>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1180" w:type="dxa"/>
            <w:vAlign w:val="bottom"/>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44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580" w:type="dxa"/>
            <w:vAlign w:val="bottom"/>
            <w:tcBorders>
              <w:left w:val="single" w:sz="8" w:color="auto"/>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180" w:type="dxa"/>
            <w:vAlign w:val="bottom"/>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444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3"/>
                <w:szCs w:val="13"/>
                <w:color w:val="auto"/>
              </w:rPr>
              <w:t>Committee meeting, which is expected to occur in</w:t>
            </w:r>
          </w:p>
        </w:tc>
        <w:tc>
          <w:tcPr>
            <w:tcW w:w="0" w:type="dxa"/>
            <w:vAlign w:val="bottom"/>
          </w:tcPr>
          <w:p>
            <w:pPr>
              <w:spacing w:after="0"/>
              <w:rPr>
                <w:sz w:val="1"/>
                <w:szCs w:val="1"/>
                <w:color w:val="auto"/>
              </w:rPr>
            </w:pPr>
          </w:p>
        </w:tc>
      </w:tr>
      <w:tr>
        <w:trPr>
          <w:trHeight w:val="243"/>
        </w:trPr>
        <w:tc>
          <w:tcPr>
            <w:tcW w:w="1580" w:type="dxa"/>
            <w:vAlign w:val="bottom"/>
            <w:tcBorders>
              <w:left w:val="single" w:sz="8" w:color="auto"/>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118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March 2021, to discuss the submission.</w:t>
            </w:r>
          </w:p>
        </w:tc>
        <w:tc>
          <w:tcPr>
            <w:tcW w:w="0" w:type="dxa"/>
            <w:vAlign w:val="bottom"/>
          </w:tcPr>
          <w:p>
            <w:pPr>
              <w:spacing w:after="0"/>
              <w:rPr>
                <w:sz w:val="1"/>
                <w:szCs w:val="1"/>
                <w:color w:val="auto"/>
              </w:rPr>
            </w:pPr>
          </w:p>
        </w:tc>
      </w:tr>
      <w:tr>
        <w:trPr>
          <w:trHeight w:val="243"/>
        </w:trPr>
        <w:tc>
          <w:tcPr>
            <w:tcW w:w="1580" w:type="dxa"/>
            <w:vAlign w:val="bottom"/>
            <w:tcBorders>
              <w:left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44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580" w:type="dxa"/>
            <w:vAlign w:val="bottom"/>
            <w:tcBorders>
              <w:left w:val="single" w:sz="8" w:color="auto"/>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Cancer pain</w:t>
            </w:r>
          </w:p>
        </w:tc>
        <w:tc>
          <w:tcPr>
            <w:tcW w:w="1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Phase III</w:t>
            </w:r>
          </w:p>
        </w:tc>
        <w:tc>
          <w:tcPr>
            <w:tcW w:w="1180" w:type="dxa"/>
            <w:vAlign w:val="bottom"/>
            <w:tcBorders>
              <w:bottom w:val="single" w:sz="8" w:color="auto"/>
              <w:right w:val="single" w:sz="8" w:color="auto"/>
            </w:tcBorders>
          </w:tcPr>
          <w:p>
            <w:pPr>
              <w:spacing w:after="0"/>
              <w:rPr>
                <w:sz w:val="21"/>
                <w:szCs w:val="21"/>
                <w:color w:val="auto"/>
              </w:rPr>
            </w:pP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228"/>
        </w:trPr>
        <w:tc>
          <w:tcPr>
            <w:tcW w:w="15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1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89"/>
        </w:trPr>
        <w:tc>
          <w:tcPr>
            <w:tcW w:w="1580" w:type="dxa"/>
            <w:vAlign w:val="bottom"/>
            <w:tcBorders>
              <w:left w:val="single" w:sz="8" w:color="auto"/>
              <w:right w:val="single" w:sz="8" w:color="auto"/>
            </w:tcBorders>
          </w:tcPr>
          <w:p>
            <w:pPr>
              <w:spacing w:after="0"/>
              <w:rPr>
                <w:sz w:val="24"/>
                <w:szCs w:val="24"/>
                <w:color w:val="auto"/>
              </w:rPr>
            </w:pP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Thyroid cancer</w:t>
            </w:r>
          </w:p>
        </w:tc>
        <w:tc>
          <w:tcPr>
            <w:tcW w:w="11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Launched</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Submitted</w:t>
            </w:r>
          </w:p>
        </w:tc>
        <w:tc>
          <w:tcPr>
            <w:tcW w:w="11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Phase III</w:t>
            </w:r>
          </w:p>
        </w:tc>
        <w:tc>
          <w:tcPr>
            <w:tcW w:w="44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Granted accelerated approval</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by the FDA based on</w:t>
            </w:r>
          </w:p>
        </w:tc>
        <w:tc>
          <w:tcPr>
            <w:tcW w:w="0" w:type="dxa"/>
            <w:vAlign w:val="bottom"/>
          </w:tcPr>
          <w:p>
            <w:pPr>
              <w:spacing w:after="0"/>
              <w:rPr>
                <w:sz w:val="1"/>
                <w:szCs w:val="1"/>
                <w:color w:val="auto"/>
              </w:rPr>
            </w:pPr>
          </w:p>
        </w:tc>
      </w:tr>
      <w:tr>
        <w:trPr>
          <w:trHeight w:val="63"/>
        </w:trPr>
        <w:tc>
          <w:tcPr>
            <w:tcW w:w="1580" w:type="dxa"/>
            <w:vAlign w:val="bottom"/>
            <w:tcBorders>
              <w:left w:val="single" w:sz="8" w:color="auto"/>
              <w:right w:val="single" w:sz="8" w:color="auto"/>
            </w:tcBorders>
          </w:tcPr>
          <w:p>
            <w:pPr>
              <w:spacing w:after="0"/>
              <w:rPr>
                <w:sz w:val="5"/>
                <w:szCs w:val="5"/>
                <w:color w:val="auto"/>
              </w:rPr>
            </w:pPr>
          </w:p>
        </w:tc>
        <w:tc>
          <w:tcPr>
            <w:tcW w:w="1500" w:type="dxa"/>
            <w:vAlign w:val="bottom"/>
            <w:tcBorders>
              <w:right w:val="single" w:sz="8" w:color="auto"/>
            </w:tcBorders>
          </w:tcPr>
          <w:p>
            <w:pPr>
              <w:spacing w:after="0"/>
              <w:rPr>
                <w:sz w:val="5"/>
                <w:szCs w:val="5"/>
                <w:color w:val="auto"/>
              </w:rPr>
            </w:pPr>
          </w:p>
        </w:tc>
        <w:tc>
          <w:tcPr>
            <w:tcW w:w="1180" w:type="dxa"/>
            <w:vAlign w:val="bottom"/>
            <w:tcBorders>
              <w:right w:val="single" w:sz="8" w:color="auto"/>
            </w:tcBorders>
          </w:tcPr>
          <w:p>
            <w:pPr>
              <w:spacing w:after="0"/>
              <w:rPr>
                <w:sz w:val="5"/>
                <w:szCs w:val="5"/>
                <w:color w:val="auto"/>
              </w:rPr>
            </w:pPr>
          </w:p>
        </w:tc>
        <w:tc>
          <w:tcPr>
            <w:tcW w:w="1380" w:type="dxa"/>
            <w:vAlign w:val="bottom"/>
            <w:tcBorders>
              <w:right w:val="single" w:sz="8" w:color="auto"/>
            </w:tcBorders>
          </w:tcPr>
          <w:p>
            <w:pPr>
              <w:spacing w:after="0"/>
              <w:rPr>
                <w:sz w:val="5"/>
                <w:szCs w:val="5"/>
                <w:color w:val="auto"/>
              </w:rPr>
            </w:pPr>
          </w:p>
        </w:tc>
        <w:tc>
          <w:tcPr>
            <w:tcW w:w="1180" w:type="dxa"/>
            <w:vAlign w:val="bottom"/>
            <w:tcBorders>
              <w:right w:val="single" w:sz="8" w:color="auto"/>
            </w:tcBorders>
          </w:tcPr>
          <w:p>
            <w:pPr>
              <w:spacing w:after="0"/>
              <w:rPr>
                <w:sz w:val="5"/>
                <w:szCs w:val="5"/>
                <w:color w:val="auto"/>
              </w:rPr>
            </w:pPr>
          </w:p>
        </w:tc>
        <w:tc>
          <w:tcPr>
            <w:tcW w:w="44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580" w:type="dxa"/>
            <w:vAlign w:val="bottom"/>
            <w:tcBorders>
              <w:left w:val="single" w:sz="8" w:color="auto"/>
              <w:right w:val="single" w:sz="8" w:color="auto"/>
            </w:tcBorders>
            <w:vMerge w:val="restart"/>
          </w:tcPr>
          <w:p>
            <w:pPr>
              <w:ind w:left="40"/>
              <w:spacing w:after="0" w:line="176" w:lineRule="exact"/>
              <w:rPr>
                <w:sz w:val="20"/>
                <w:szCs w:val="20"/>
                <w:color w:val="auto"/>
              </w:rPr>
            </w:pPr>
            <w:r>
              <w:rPr>
                <w:rFonts w:ascii="Arial" w:cs="Arial" w:eastAsia="Arial" w:hAnsi="Arial"/>
                <w:sz w:val="18"/>
                <w:szCs w:val="18"/>
                <w:color w:val="auto"/>
              </w:rPr>
              <w:t>Retevmo</w:t>
            </w:r>
          </w:p>
        </w:tc>
        <w:tc>
          <w:tcPr>
            <w:tcW w:w="150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444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Phase II data and launched in the U.S. in the second</w:t>
            </w:r>
          </w:p>
        </w:tc>
        <w:tc>
          <w:tcPr>
            <w:tcW w:w="0" w:type="dxa"/>
            <w:vAlign w:val="bottom"/>
          </w:tcPr>
          <w:p>
            <w:pPr>
              <w:spacing w:after="0"/>
              <w:rPr>
                <w:sz w:val="1"/>
                <w:szCs w:val="1"/>
                <w:color w:val="auto"/>
              </w:rPr>
            </w:pPr>
          </w:p>
        </w:tc>
      </w:tr>
      <w:tr>
        <w:trPr>
          <w:trHeight w:val="48"/>
        </w:trPr>
        <w:tc>
          <w:tcPr>
            <w:tcW w:w="1580" w:type="dxa"/>
            <w:vAlign w:val="bottom"/>
            <w:tcBorders>
              <w:left w:val="single" w:sz="8" w:color="auto"/>
              <w:right w:val="single" w:sz="8" w:color="auto"/>
            </w:tcBorders>
            <w:vMerge w:val="continue"/>
          </w:tcPr>
          <w:p>
            <w:pPr>
              <w:spacing w:after="0"/>
              <w:rPr>
                <w:sz w:val="4"/>
                <w:szCs w:val="4"/>
                <w:color w:val="auto"/>
              </w:rPr>
            </w:pPr>
          </w:p>
        </w:tc>
        <w:tc>
          <w:tcPr>
            <w:tcW w:w="1500" w:type="dxa"/>
            <w:vAlign w:val="bottom"/>
            <w:tcBorders>
              <w:right w:val="single" w:sz="8" w:color="auto"/>
            </w:tcBorders>
          </w:tcPr>
          <w:p>
            <w:pPr>
              <w:spacing w:after="0"/>
              <w:rPr>
                <w:sz w:val="4"/>
                <w:szCs w:val="4"/>
                <w:color w:val="auto"/>
              </w:rPr>
            </w:pPr>
          </w:p>
        </w:tc>
        <w:tc>
          <w:tcPr>
            <w:tcW w:w="1180" w:type="dxa"/>
            <w:vAlign w:val="bottom"/>
            <w:tcBorders>
              <w:right w:val="single" w:sz="8" w:color="auto"/>
            </w:tcBorders>
          </w:tcPr>
          <w:p>
            <w:pPr>
              <w:spacing w:after="0"/>
              <w:rPr>
                <w:sz w:val="4"/>
                <w:szCs w:val="4"/>
                <w:color w:val="auto"/>
              </w:rPr>
            </w:pPr>
          </w:p>
        </w:tc>
        <w:tc>
          <w:tcPr>
            <w:tcW w:w="1380" w:type="dxa"/>
            <w:vAlign w:val="bottom"/>
            <w:tcBorders>
              <w:right w:val="single" w:sz="8" w:color="auto"/>
            </w:tcBorders>
          </w:tcPr>
          <w:p>
            <w:pPr>
              <w:spacing w:after="0"/>
              <w:rPr>
                <w:sz w:val="4"/>
                <w:szCs w:val="4"/>
                <w:color w:val="auto"/>
              </w:rPr>
            </w:pPr>
          </w:p>
        </w:tc>
        <w:tc>
          <w:tcPr>
            <w:tcW w:w="1180" w:type="dxa"/>
            <w:vAlign w:val="bottom"/>
            <w:tcBorders>
              <w:right w:val="single" w:sz="8" w:color="auto"/>
            </w:tcBorders>
          </w:tcPr>
          <w:p>
            <w:pPr>
              <w:spacing w:after="0"/>
              <w:rPr>
                <w:sz w:val="4"/>
                <w:szCs w:val="4"/>
                <w:color w:val="auto"/>
              </w:rPr>
            </w:pPr>
          </w:p>
        </w:tc>
        <w:tc>
          <w:tcPr>
            <w:tcW w:w="44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580" w:type="dxa"/>
            <w:vAlign w:val="bottom"/>
            <w:tcBorders>
              <w:left w:val="single" w:sz="8" w:color="auto"/>
              <w:right w:val="single" w:sz="8" w:color="auto"/>
            </w:tcBorders>
          </w:tcPr>
          <w:p>
            <w:pPr>
              <w:spacing w:after="0"/>
              <w:rPr>
                <w:sz w:val="21"/>
                <w:szCs w:val="21"/>
                <w:color w:val="auto"/>
              </w:rPr>
            </w:pPr>
          </w:p>
        </w:tc>
        <w:tc>
          <w:tcPr>
            <w:tcW w:w="15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Lung cancer</w:t>
            </w:r>
          </w:p>
        </w:tc>
        <w:tc>
          <w:tcPr>
            <w:tcW w:w="11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Launched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Submitted</w:t>
            </w:r>
          </w:p>
        </w:tc>
        <w:tc>
          <w:tcPr>
            <w:tcW w:w="118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Phase III</w:t>
            </w:r>
          </w:p>
        </w:tc>
        <w:tc>
          <w:tcPr>
            <w:tcW w:w="4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quarter of 2020. Phase III trials are ongoing.</w:t>
            </w:r>
          </w:p>
        </w:tc>
        <w:tc>
          <w:tcPr>
            <w:tcW w:w="0" w:type="dxa"/>
            <w:vAlign w:val="bottom"/>
          </w:tcPr>
          <w:p>
            <w:pPr>
              <w:spacing w:after="0"/>
              <w:rPr>
                <w:sz w:val="1"/>
                <w:szCs w:val="1"/>
                <w:color w:val="auto"/>
              </w:rPr>
            </w:pPr>
          </w:p>
        </w:tc>
      </w:tr>
      <w:tr>
        <w:trPr>
          <w:trHeight w:val="99"/>
        </w:trPr>
        <w:tc>
          <w:tcPr>
            <w:tcW w:w="1580" w:type="dxa"/>
            <w:vAlign w:val="bottom"/>
            <w:tcBorders>
              <w:left w:val="single" w:sz="8" w:color="auto"/>
              <w:right w:val="single" w:sz="8" w:color="auto"/>
            </w:tcBorders>
          </w:tcPr>
          <w:p>
            <w:pPr>
              <w:spacing w:after="0"/>
              <w:rPr>
                <w:sz w:val="8"/>
                <w:szCs w:val="8"/>
                <w:color w:val="auto"/>
              </w:rPr>
            </w:pPr>
          </w:p>
        </w:tc>
        <w:tc>
          <w:tcPr>
            <w:tcW w:w="150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auto"/>
            </w:tcBorders>
            <w:vMerge w:val="continue"/>
          </w:tcPr>
          <w:p>
            <w:pPr>
              <w:spacing w:after="0"/>
              <w:rPr>
                <w:sz w:val="8"/>
                <w:szCs w:val="8"/>
                <w:color w:val="auto"/>
              </w:rPr>
            </w:pPr>
          </w:p>
        </w:tc>
        <w:tc>
          <w:tcPr>
            <w:tcW w:w="44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1580" w:type="dxa"/>
            <w:vAlign w:val="bottom"/>
            <w:tcBorders>
              <w:left w:val="single" w:sz="8" w:color="auto"/>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44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60" w:hanging="152"/>
        <w:spacing w:after="0"/>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The Fast Track Designation is designed to expedite the development and review of new therapies to treat serious conditions and address unmet medical needs.</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Continued approval may be contingent on verification and description of clinical benefit in confirmatory Phase III trials.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 Matters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depend on patents or other forms of intellectual property protection for most of our revenue, cash flows, and earnings.</w:t>
      </w:r>
    </w:p>
    <w:p>
      <w:pPr>
        <w:spacing w:after="0" w:line="115"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Our formulation patents for Forteo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expired in December 2018, and our use patents expired in August 2019 in major European markets and the U.S. Both the formulation patent and the use patent expired in August 2019 in Japan. We expect further volume decline as a result of the entry of generic and biosimilar competition following the loss of patent exclusivity in these markets. In the aggregate, we expect that the decline in revenue will have a material adverse effect on our consolidated results of operations and cash flows.</w:t>
      </w:r>
    </w:p>
    <w:p>
      <w:pPr>
        <w:spacing w:after="0" w:line="7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Alimta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vitamin regimen patents, which we expect to provide us with patent protection for Alimta through June 2021 in Japan and major European countries, and through May 2022 in the U.S., have been challenged in each of these jurisdictions. In the U.S., most challenges have been finally resolved in our favor and one remains in active litigation. We and Eagle Pharmaceuticals, Inc. (Eagle) reached an agreement in December 2019 to settle all pending litigation, allowing Eagle a limited initial entry into the market with its product starting February 2022 (up to an approximate three-week supply) and subsequent unlimited entry starting April 2022. An unfavorable outcome to patent challenges in the U.S. could have a material adverse impact on our future consolidated results of operations, liquidity, and financial position.</w:t>
      </w:r>
    </w:p>
    <w:p>
      <w:pPr>
        <w:spacing w:after="0" w:line="7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are aware that several companies have received approval to market generic versions of pemetrexed in major European markets (including generics currently on the market at risk in France and the Netherlands) and that additional generic competitors may choose to launch at risk. Following a final decision in the Supreme Court of Germany in July 2020 overturning the lower court and upholding the validity of our Alimta patent, several generics that were on the market at risk in Germany left. We have removed the remaining generics from the market in Germany by obtaining preliminary injunctions in our favor. In September 2020, the Paris Court of First Instance in France issued a final decision upholding the validity of our Alimta patent and found infringement by Fresenius Kabi’s (Kabi) pemetrexed product. The court issued an injunction against Kabi and provisionally awarded us damages. We will continue to pursue injunctions to remove remaining generics from the market in France. In late October 2020, the Court of Appeal of the Netherlands ruled in Lilly's favor and reinstated an order against Kabi prohibiting it from continuing to market its generic pemetrexed product in the Netherlands. Kabi's generic pemetrexed product was the only at risk generic on the market in the Netherlands. Although we will continue to seek to remove any such products in other European countries, generic product entry is resulting in some loss in revenue in these jurisdictions. Our vitamin regimen patents have also been challenged in other smaller European jurisdictions.</w:t>
      </w:r>
    </w:p>
    <w:p>
      <w:pPr>
        <w:spacing w:after="0" w:line="71"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We expect that further entry of generic competition for Alimta following the loss of effective patent protection will cause a rapid and severe decline in future revenue for the product. See Note 10 to the consolidated condensed financial statements for a more detailed account of the legal proceedings currently pending in the U.S., Europe, and Japan regarding, among others, our Alimta patents.</w:t>
      </w: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119" w:right="319" w:bottom="1440" w:gutter="0" w:footer="0" w:header="0"/>
        </w:sectPr>
      </w:pPr>
    </w:p>
    <w:bookmarkStart w:id="40" w:name="page41"/>
    <w:bookmarkEnd w:id="40"/>
    <w:p>
      <w:pPr>
        <w:ind w:right="100"/>
        <w:spacing w:after="0" w:line="244" w:lineRule="auto"/>
        <w:rPr>
          <w:sz w:val="20"/>
          <w:szCs w:val="20"/>
          <w:color w:val="auto"/>
        </w:rPr>
      </w:pPr>
      <w:r>
        <w:rPr>
          <w:rFonts w:ascii="Arial" w:cs="Arial" w:eastAsia="Arial" w:hAnsi="Arial"/>
          <w:sz w:val="18"/>
          <w:szCs w:val="18"/>
          <w:color w:val="auto"/>
        </w:rPr>
        <w:t>The compound patent for Humalog</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(insulin lispro) has expired in major markets. Global regulators have different legal pathways to approve similar versions of insulin lispro. A competitor launched a similar version of insulin lispro in certain European markets in 2017 and in the U.S. in the second quarter of 2018. While it is difficult to estimate the severity of the impact of insulin lispro products entering the market, we do not expect and have not experienced a rapid and severe decline in revenue; however, we expect additional pricing pressure and some loss of market share that would continue over time.</w:t>
      </w:r>
    </w:p>
    <w:p>
      <w:pPr>
        <w:spacing w:after="0" w:line="77"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Our compound patent protection for Cymbalta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expired in Japan in January 2020. We expect generics to enter the market in mid-2021. We expect that the entry of generic competition will cause a rapid and severe decline in revenue and that the decline in revenue will have a material adverse effect on our consolidated results of operations and cash flows.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Currency Exchange Rates</w:t>
      </w:r>
    </w:p>
    <w:p>
      <w:pPr>
        <w:spacing w:after="0" w:line="11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As a global company with substantial operations outside the U.S., we face foreign currency risk exposure from fluctuating currency exchange rates, primarily the U.S. dollar against the euro and Japanese yen. While we manage a portion of these exposures through hedging and other risk management techniques, significant fluctuations in currency rates can have a substantial impact, either positive or negative, on our revenue, cost of sales, and operating expenses. While there is uncertainty in the future movements in foreign exchange rates, fluctuations in these rates could negatively impact our future consolidated results of operations and cash flows.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Trends Affecting Pharmaceutical Pricing, Reimbursement, and Access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w:t>
      </w:r>
    </w:p>
    <w:p>
      <w:pPr>
        <w:spacing w:after="0" w:line="11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In the U.S., public concern over access to and affordability of pharmaceuticals continues to drive the regulatory and legislative debate. These policy and political issues increase the risk that taxes, fees, rebates, or other cost control measures may be enacted to manage federal and state budgets. Key health policy initiatives affecting biopharmaceuticals include:</w:t>
      </w:r>
    </w:p>
    <w:p>
      <w:pPr>
        <w:spacing w:after="0" w:line="55" w:lineRule="exact"/>
        <w:rPr>
          <w:sz w:val="20"/>
          <w:szCs w:val="20"/>
          <w:color w:val="auto"/>
        </w:rPr>
      </w:pPr>
    </w:p>
    <w:p>
      <w:pPr>
        <w:ind w:left="660" w:hanging="328"/>
        <w:spacing w:after="0" w:line="292"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Coronavirus Aid, Relief and Economic Security (CARES) Act and subsequent stimulus bills that focus on ensuring availability and access to lifesaving drugs during a public health crisis,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reference pricing in Medicare and private insurance,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modifications to Medicare Parts B and 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provisions that would allow the Department of Health and Human Services to negotiate prices for biologics and drugs in Medicare,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reduction in biologic data exclusivity,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proposals related to Medicaid prescription drug coverage and manufacturer drug rebates,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proposals that would require biopharmaceutical manufacturers to disclose proprietary drug pricing information, and</w:t>
      </w:r>
    </w:p>
    <w:p>
      <w:pPr>
        <w:spacing w:after="0" w:line="117" w:lineRule="exact"/>
        <w:rPr>
          <w:rFonts w:ascii="Arial" w:cs="Arial" w:eastAsia="Arial" w:hAnsi="Arial"/>
          <w:sz w:val="18"/>
          <w:szCs w:val="18"/>
          <w:color w:val="auto"/>
        </w:rPr>
      </w:pPr>
    </w:p>
    <w:p>
      <w:pPr>
        <w:ind w:left="660" w:right="220" w:hanging="328"/>
        <w:spacing w:after="0" w:line="292"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state-level proposals related to prescription drug prices and reducing the cost of pharmaceuticals purchased by government health care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41" w:name="page42"/>
    <w:bookmarkEnd w:id="41"/>
    <w:p>
      <w:pPr>
        <w:ind w:right="40"/>
        <w:spacing w:after="0" w:line="223" w:lineRule="auto"/>
        <w:rPr>
          <w:sz w:val="20"/>
          <w:szCs w:val="20"/>
          <w:color w:val="auto"/>
        </w:rPr>
      </w:pPr>
      <w:r>
        <w:rPr>
          <w:rFonts w:ascii="Arial" w:cs="Arial" w:eastAsia="Arial" w:hAnsi="Arial"/>
          <w:sz w:val="18"/>
          <w:szCs w:val="18"/>
          <w:color w:val="auto"/>
        </w:rPr>
        <w:t>On July 24, 2020 and September 13, 2020, U.S. President Donald Trump signed Executive Orders related to the 340B Prescription Drug Program, rebate reform in Medicare Part D, drug importation including insulin, and foreign reference pricing in Medicare Part B and Part D. If implemented, these Executive Orders could have a material adverse impact on our future consolidated results of operations, liquidity, and financial position. On September 1, 2020, Lilly announced it would distribute all 340B ceiling priced products directly to covered entities and their child sites only. Lilly provides 340B discounts to a contract pharmacy only if it is a wholly owned subsidiary of a covered entity, if a covered entity does not have an in-house pharmacy or, in the case of insulin, if the subject covered entity and its contract pharmacies agree to pass along the discount to patients without any markup for dispensing fees and without billing insurance or collecting duplicate discounts. Lilly has been transparent with regulators on its distribution activity and continues to comply with all 340B program requirements. Certain covered entities and their trade associations have threatened litigation, questioning whether Lilly’s program, and similar actions by other manufacturers, violate 340B program requirements. On October 9, 2020, three covered entities sued the Department of Health and Human Services (HHS) and the Health Resources and Services Administration seeking to compel the agencies to take enforcement action against Lilly and three other companies, among other requested relief. On October 21, 2020, a trade association representing certain covered entities sued HHS seeking to compel the agency to promulgate administrative dispute resolution regulations. The cases are pending and the impact of these cases and any subsequent litigation is uncertain.</w:t>
      </w:r>
    </w:p>
    <w:p>
      <w:pPr>
        <w:spacing w:after="0" w:line="210"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California and several other states have enacted legislation related to prescription drug pricing transparency and it is unclear the effect this legislation will have on our business. Several states passed importation legislation, including Colorado, Florida, Maine, New Hampshire, New Mexico, and Vermont. Specifically, several of these states are actively working with the Administration to implement an importation program from Canada as early as 2020. We are currently reviewing this state legislation, as well as corresponding proposed federal rulemaking and guidance published by the Department of Health and Human Services and the FDA, the impact of which is uncertain at this time. Minnesota recently passed legislation requiring the establishment of two insulin patient assistance programs, effective July 1, 2020, the impact of which has been minimal to date and which we are continuing to assess.</w:t>
      </w:r>
    </w:p>
    <w:p>
      <w:pPr>
        <w:spacing w:after="0" w:line="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the private sector, consolidation and integration among healthcare providers is also a major factor in the competitive marketplace for pharmaceuticals. Health plans, pharmacy benefit managers, wholesalers, and other supply chain stakeholders have been consolidating into fewer, larger entities, increasingly through vertical integration, thus enhancing their purchasing strength and importance. Payers typically maintain formularies which specify coverage (the conditions under which drugs are included on a plan's formulary) and reimbursement (the associated out-of-pocket cost to the consumer). Formulary placement can lead to reduced usage of a drug for the relevant patient population due to coverage restrictions, such as prior authorizations and formulary exclusions, or due to reimbursement limitations that result in higher consumer out-of-pocket cost, such as non-preferred co-pay tiers, increased co-insurance levels and higher deductibles. Consequently, pharmaceutical companies compete for formulary placement not only on the basis of product attributes such as greater efficacy, fewer side effects, or greater patient ease of use, but also by providing rebates. Value-based agreements are another tool which may be utilized between payers and pharmaceutical companies as formulary placement and pricing are negotiated. Price is an increasingly important factor in formulary decisions, particularly in treatment areas in which the payer has taken the position that multiple branded products are therapeutically comparable. These downward pricing pressures could continue to negatively affect future consolidated results of operations. In addition to formulary placement, changes in insurance designs continue to drive greater consumer cost sharing through high deductible plans and higher co-insurance or co-pays (including co-pay accumulator and maximizer programs). We continue to invest in patient affordability solutions (resulting in lower revenue) in an effort to assist patients in affording their medicines.</w:t>
      </w:r>
    </w:p>
    <w:p>
      <w:pPr>
        <w:spacing w:after="0" w:line="7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main coverage expansion provisions of the Affordable Care Act (ACA) are currently in effect through both state-based exchanges and the expansion of Medicaid. A trend has been the prevalence of benefit designs containing high out-of-pocket costs for patients, particularly for pharmaceuticals. In addition to the coverage expansions, many employers in the commercial market continue to evaluate strategies such as private exchanges and wider use of consumer-driven health plans to reduce their healthcare liabilities over time. Federal legislation, litigation, or administrative actions to repeal or modify some or all of the provisions of the ACA could have a material adverse effect on our consolidated results of operations and cash flows. At the same time, the broader paradigm shift towards performance-based reimbursement and the launch of several value-based purchasing initiatives have placed demands on the pharmaceutical industry to offer products with proven real-world outcomes data and a favorable economic profile.</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International</w:t>
      </w:r>
    </w:p>
    <w:p>
      <w:pPr>
        <w:spacing w:after="0" w:line="11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International operations also are generally subject to extensive price and market regulations. Cost-containment measures exist in a number of countries, including additional price controls and mechanisms to limit reimbursement for our products. Such policies are expected to increase in impact and reach, given the pressures on national and regional health care budgets that come from a growing, aging population and ongoing economic challenges. As additional reforms are finalized, we will assess their impact on future revenues. In addition, governments in many emerging markets are becoming increasingly active in expanding health care system offerings. Given the budget challenges of increasing health care coverage for citizens, policies may be proposed that promote generics and biosimilars only and reduce current and future access to branded human pharmaceutical products. The COVID-19 pandemic is also creating additional pressure on health systems worldwide. As a result, cost containment and other measures may intensify as governments manage and emerge from the pandemic.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1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We are subject to income taxes and various other taxes in the U.S. and in many foreign jurisdictions; therefore, changes in both domestic and international tax laws or regulations could adversely affect our effective tax rate, results of operations, and cash flows. Countries around the world, including the U.S., actively consider and enact tax law changes. Further, actions taken with respect to tax-related matters by associations such as the Organisation for Economic Co-operation and Development and the European Commission could influence tax policy in countries in which we operate. Modifications to U.S. and foreign tax laws or regulations are frequently enacted and could result in material impacts to our results of operations and financial position.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1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strategically invest in external research and technologies that we believe to complement and strengthen our own efforts. These investments can take many forms, including licensing arrangements, collaborations, and acquisitions. We view our business development activity as an important way to achieve our strategies, as we seek to bolster our pipeline and enhance shareholder value. We continue to evaluate business development transactions that have the potential to strengthen our business.</w:t>
      </w:r>
    </w:p>
    <w:p>
      <w:pPr>
        <w:spacing w:after="0" w:line="6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2019, we acquired all shares of Loxo for a purchase price of $6.92 billion, net of cash acquired. Under the terms of the agreement, we acquired a pipeline of investigational medicines, including selpercatinib (Retevmo), an oral RET inhibitor, and LOXO-305, an oral BTK inhibitor. In the second quarter of 2020, the FDA approved selpercatinib (Retevmo) under its Accelerated Approval regulations and continued approval may be contingent upon verification and description of clinical benefit in confirmatory trials.</w:t>
      </w:r>
    </w:p>
    <w:p>
      <w:pPr>
        <w:spacing w:after="0" w:line="6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In February 2020, we acquired all shares of Dermira for a purchase price of $849.3 million, net of cash acquired. Under terms of the agreement, we acquired lebrikizumab, a novel, investigational, monoclonal antibody being evaluated for the treatment of moderate-to-severe atopic dermatitis. Lebrikizumab was granted Fast Track designation from the FDA. We also acquired Qbrexza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cloth, a medicated cloth for the topical treatment of primary axillary hyperhidrosis (uncontrolled excessive underarm sweating).</w:t>
      </w:r>
    </w:p>
    <w:p>
      <w:pPr>
        <w:spacing w:after="0" w:line="79" w:lineRule="exact"/>
        <w:rPr>
          <w:sz w:val="20"/>
          <w:szCs w:val="20"/>
          <w:color w:val="auto"/>
        </w:rPr>
      </w:pPr>
    </w:p>
    <w:p>
      <w:pPr>
        <w:ind w:right="1720"/>
        <w:spacing w:after="0" w:line="375" w:lineRule="auto"/>
        <w:rPr>
          <w:sz w:val="20"/>
          <w:szCs w:val="20"/>
          <w:color w:val="auto"/>
        </w:rPr>
      </w:pPr>
      <w:r>
        <w:rPr>
          <w:rFonts w:ascii="Arial" w:cs="Arial" w:eastAsia="Arial" w:hAnsi="Arial"/>
          <w:sz w:val="18"/>
          <w:szCs w:val="18"/>
          <w:color w:val="auto"/>
        </w:rPr>
        <w:t xml:space="preserve">See Note 3 to the consolidated condensed financial statements for further discussion regarding our recent acquisitions. </w:t>
      </w:r>
      <w:r>
        <w:rPr>
          <w:rFonts w:ascii="Arial" w:cs="Arial" w:eastAsia="Arial" w:hAnsi="Arial"/>
          <w:sz w:val="18"/>
          <w:szCs w:val="18"/>
          <w:i w:val="1"/>
          <w:iCs w:val="1"/>
          <w:u w:val="single" w:color="auto"/>
          <w:color w:val="auto"/>
        </w:rPr>
        <w:t>Legal Matters</w:t>
      </w:r>
    </w:p>
    <w:p>
      <w:pPr>
        <w:spacing w:after="0" w:line="1" w:lineRule="exact"/>
        <w:rPr>
          <w:sz w:val="20"/>
          <w:szCs w:val="20"/>
          <w:color w:val="auto"/>
        </w:rPr>
      </w:pPr>
    </w:p>
    <w:p>
      <w:pPr>
        <w:ind w:right="580"/>
        <w:spacing w:after="0" w:line="292" w:lineRule="auto"/>
        <w:rPr>
          <w:sz w:val="20"/>
          <w:szCs w:val="20"/>
          <w:color w:val="auto"/>
        </w:rPr>
      </w:pPr>
      <w:r>
        <w:rPr>
          <w:rFonts w:ascii="Arial" w:cs="Arial" w:eastAsia="Arial" w:hAnsi="Arial"/>
          <w:sz w:val="18"/>
          <w:szCs w:val="18"/>
          <w:color w:val="auto"/>
        </w:rPr>
        <w:t>Information regarding contingencies relating to certain legal proceedings can be found in Item 1, "Legal Proceedings," of Part II of this Quarterly Report on Form 10-Q and is incorporated here by reference.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96" w:right="37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53"/>
        </w:trPr>
        <w:tc>
          <w:tcPr>
            <w:tcW w:w="4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80" w:type="dxa"/>
            <w:vAlign w:val="bottom"/>
            <w:gridSpan w:val="2"/>
          </w:tcPr>
          <w:p>
            <w:pPr>
              <w:jc w:val="right"/>
              <w:ind w:right="116"/>
              <w:spacing w:after="0"/>
              <w:rPr>
                <w:sz w:val="20"/>
                <w:szCs w:val="20"/>
                <w:color w:val="auto"/>
              </w:rPr>
            </w:pPr>
            <w:r>
              <w:rPr>
                <w:rFonts w:ascii="Arial" w:cs="Arial" w:eastAsia="Arial" w:hAnsi="Arial"/>
                <w:sz w:val="18"/>
                <w:szCs w:val="18"/>
                <w:b w:val="1"/>
                <w:bCs w:val="1"/>
                <w:color w:val="auto"/>
              </w:rPr>
              <w:t>Revenue</w:t>
            </w: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0"/>
        </w:trPr>
        <w:tc>
          <w:tcPr>
            <w:tcW w:w="5360" w:type="dxa"/>
            <w:vAlign w:val="bottom"/>
            <w:gridSpan w:val="3"/>
          </w:tcPr>
          <w:p>
            <w:pPr>
              <w:spacing w:after="0"/>
              <w:rPr>
                <w:sz w:val="20"/>
                <w:szCs w:val="20"/>
                <w:color w:val="auto"/>
              </w:rPr>
            </w:pPr>
            <w:r>
              <w:rPr>
                <w:rFonts w:ascii="Arial" w:cs="Arial" w:eastAsia="Arial" w:hAnsi="Arial"/>
                <w:sz w:val="18"/>
                <w:szCs w:val="18"/>
                <w:color w:val="auto"/>
              </w:rPr>
              <w:t>The following table summarizes our revenue activity by region:</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080" w:type="dxa"/>
            <w:vAlign w:val="bottom"/>
          </w:tcPr>
          <w:p>
            <w:pPr>
              <w:spacing w:after="0"/>
              <w:rPr>
                <w:sz w:val="24"/>
                <w:szCs w:val="24"/>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980" w:type="dxa"/>
            <w:vAlign w:val="bottom"/>
            <w:vMerge w:val="restart"/>
          </w:tcPr>
          <w:p>
            <w:pPr>
              <w:jc w:val="center"/>
              <w:ind w:left="16"/>
              <w:spacing w:after="0"/>
              <w:rPr>
                <w:sz w:val="20"/>
                <w:szCs w:val="20"/>
                <w:color w:val="auto"/>
              </w:rPr>
            </w:pPr>
            <w:r>
              <w:rPr>
                <w:rFonts w:ascii="Arial" w:cs="Arial" w:eastAsia="Arial" w:hAnsi="Arial"/>
                <w:sz w:val="14"/>
                <w:szCs w:val="14"/>
                <w:b w:val="1"/>
                <w:bCs w:val="1"/>
                <w:color w:val="auto"/>
              </w:rPr>
              <w:t>Percent</w:t>
            </w:r>
          </w:p>
        </w:tc>
        <w:tc>
          <w:tcPr>
            <w:tcW w:w="2600" w:type="dxa"/>
            <w:vAlign w:val="bottom"/>
            <w:tcBorders>
              <w:bottom w:val="single" w:sz="8" w:color="auto"/>
            </w:tcBorders>
            <w:gridSpan w:val="4"/>
          </w:tcPr>
          <w:p>
            <w:pPr>
              <w:jc w:val="right"/>
              <w:ind w:right="35"/>
              <w:spacing w:after="0"/>
              <w:rPr>
                <w:sz w:val="20"/>
                <w:szCs w:val="20"/>
                <w:color w:val="auto"/>
              </w:rPr>
            </w:pPr>
            <w:r>
              <w:rPr>
                <w:rFonts w:ascii="Arial" w:cs="Arial" w:eastAsia="Arial" w:hAnsi="Arial"/>
                <w:sz w:val="14"/>
                <w:szCs w:val="14"/>
                <w:b w:val="1"/>
                <w:bCs w:val="1"/>
                <w:color w:val="auto"/>
              </w:rPr>
              <w:t>Nine Months Ended September 30,</w:t>
            </w:r>
          </w:p>
        </w:tc>
        <w:tc>
          <w:tcPr>
            <w:tcW w:w="980" w:type="dxa"/>
            <w:vAlign w:val="bottom"/>
            <w:vMerge w:val="restart"/>
          </w:tcPr>
          <w:p>
            <w:pPr>
              <w:jc w:val="center"/>
              <w:ind w:left="17"/>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1"/>
                <w:szCs w:val="11"/>
                <w:color w:val="auto"/>
              </w:rPr>
            </w:pPr>
          </w:p>
        </w:tc>
        <w:tc>
          <w:tcPr>
            <w:tcW w:w="96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9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1"/>
                <w:szCs w:val="11"/>
                <w:color w:val="auto"/>
              </w:rPr>
            </w:pPr>
          </w:p>
        </w:tc>
        <w:tc>
          <w:tcPr>
            <w:tcW w:w="96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0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U.S. </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3,161.4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3,060.2</w:t>
            </w:r>
          </w:p>
        </w:tc>
        <w:tc>
          <w:tcPr>
            <w:tcW w:w="98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w w:val="99"/>
              </w:rPr>
              <w:t>3</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9,631.4</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9,203.5</w:t>
            </w:r>
          </w:p>
        </w:tc>
        <w:tc>
          <w:tcPr>
            <w:tcW w:w="98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Outside U.S.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2,579.3</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2,416.4</w:t>
            </w:r>
          </w:p>
        </w:tc>
        <w:tc>
          <w:tcPr>
            <w:tcW w:w="980" w:type="dxa"/>
            <w:vAlign w:val="bottom"/>
            <w:tcBorders>
              <w:bottom w:val="single" w:sz="8" w:color="CCEEFF"/>
            </w:tcBorders>
          </w:tcPr>
          <w:p>
            <w:pPr>
              <w:jc w:val="center"/>
              <w:ind w:left="36"/>
              <w:spacing w:after="0"/>
              <w:rPr>
                <w:sz w:val="20"/>
                <w:szCs w:val="20"/>
                <w:color w:val="auto"/>
              </w:rPr>
            </w:pPr>
            <w:r>
              <w:rPr>
                <w:rFonts w:ascii="Arial" w:cs="Arial" w:eastAsia="Arial" w:hAnsi="Arial"/>
                <w:sz w:val="18"/>
                <w:szCs w:val="18"/>
                <w:color w:val="auto"/>
                <w:w w:val="99"/>
              </w:rPr>
              <w:t>7</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7,468.5</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7,002.1</w:t>
            </w:r>
          </w:p>
        </w:tc>
        <w:tc>
          <w:tcPr>
            <w:tcW w:w="980" w:type="dxa"/>
            <w:vAlign w:val="bottom"/>
            <w:tcBorders>
              <w:bottom w:val="single" w:sz="8" w:color="CCEEFF"/>
            </w:tcBorders>
          </w:tcPr>
          <w:p>
            <w:pPr>
              <w:jc w:val="center"/>
              <w:ind w:left="37"/>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5,740.6</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5,476.6</w:t>
            </w:r>
          </w:p>
        </w:tc>
        <w:tc>
          <w:tcPr>
            <w:tcW w:w="980" w:type="dxa"/>
            <w:vAlign w:val="bottom"/>
            <w:tcBorders>
              <w:bottom w:val="single" w:sz="8" w:color="CCEEFF"/>
            </w:tcBorders>
            <w:shd w:val="clear" w:color="auto" w:fill="CCEEFF"/>
          </w:tcPr>
          <w:p>
            <w:pPr>
              <w:jc w:val="center"/>
              <w:ind w:left="36"/>
              <w:spacing w:after="0"/>
              <w:rPr>
                <w:sz w:val="20"/>
                <w:szCs w:val="20"/>
                <w:color w:val="auto"/>
              </w:rPr>
            </w:pPr>
            <w:r>
              <w:rPr>
                <w:rFonts w:ascii="Arial" w:cs="Arial" w:eastAsia="Arial" w:hAnsi="Arial"/>
                <w:sz w:val="18"/>
                <w:szCs w:val="18"/>
                <w:color w:val="auto"/>
                <w:w w:val="99"/>
              </w:rPr>
              <w:t>5</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17,099.8</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16,205.5</w:t>
            </w:r>
          </w:p>
        </w:tc>
        <w:tc>
          <w:tcPr>
            <w:tcW w:w="980" w:type="dxa"/>
            <w:vAlign w:val="bottom"/>
            <w:tcBorders>
              <w:bottom w:val="single" w:sz="8" w:color="CCEEFF"/>
            </w:tcBorders>
            <w:shd w:val="clear" w:color="auto" w:fill="CCEEFF"/>
          </w:tcPr>
          <w:p>
            <w:pPr>
              <w:jc w:val="center"/>
              <w:ind w:left="37"/>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9" w:lineRule="exact"/>
        <w:rPr>
          <w:sz w:val="20"/>
          <w:szCs w:val="20"/>
          <w:color w:val="auto"/>
        </w:rPr>
      </w:pPr>
    </w:p>
    <w:p>
      <w:pPr>
        <w:ind w:left="140" w:hanging="132"/>
        <w:spacing w:after="0"/>
        <w:tabs>
          <w:tab w:leader="none" w:pos="140" w:val="left"/>
        </w:tabs>
        <w:numPr>
          <w:ilvl w:val="0"/>
          <w:numId w:val="23"/>
        </w:numPr>
        <w:rPr>
          <w:rFonts w:ascii="Arial" w:cs="Arial" w:eastAsia="Arial" w:hAnsi="Arial"/>
          <w:sz w:val="16"/>
          <w:szCs w:val="16"/>
          <w:color w:val="auto"/>
          <w:vertAlign w:val="superscript"/>
        </w:rPr>
      </w:pPr>
      <w:r>
        <w:rPr>
          <w:rFonts w:ascii="Arial" w:cs="Arial" w:eastAsia="Arial" w:hAnsi="Arial"/>
          <w:sz w:val="12"/>
          <w:szCs w:val="12"/>
          <w:color w:val="auto"/>
        </w:rPr>
        <w:t>U.S. revenue includes revenue in Puerto Rico.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components of the change in revenue compared with the prior year: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0" w:type="dxa"/>
            <w:vAlign w:val="bottom"/>
            <w:gridSpan w:val="3"/>
          </w:tcPr>
          <w:p>
            <w:pPr>
              <w:jc w:val="right"/>
              <w:ind w:right="1054"/>
              <w:spacing w:after="0"/>
              <w:rPr>
                <w:sz w:val="20"/>
                <w:szCs w:val="20"/>
                <w:color w:val="auto"/>
              </w:rPr>
            </w:pPr>
            <w:r>
              <w:rPr>
                <w:rFonts w:ascii="Arial" w:cs="Arial" w:eastAsia="Arial" w:hAnsi="Arial"/>
                <w:sz w:val="14"/>
                <w:szCs w:val="14"/>
                <w:b w:val="1"/>
                <w:bCs w:val="1"/>
                <w:color w:val="auto"/>
              </w:rPr>
              <w:t>Three Months Ended September 30,</w:t>
            </w:r>
          </w:p>
        </w:tc>
        <w:tc>
          <w:tcPr>
            <w:tcW w:w="3980" w:type="dxa"/>
            <w:vAlign w:val="bottom"/>
            <w:gridSpan w:val="3"/>
          </w:tcPr>
          <w:p>
            <w:pPr>
              <w:jc w:val="right"/>
              <w:ind w:right="814"/>
              <w:spacing w:after="0"/>
              <w:rPr>
                <w:sz w:val="20"/>
                <w:szCs w:val="20"/>
                <w:color w:val="auto"/>
              </w:rPr>
            </w:pPr>
            <w:r>
              <w:rPr>
                <w:rFonts w:ascii="Arial" w:cs="Arial" w:eastAsia="Arial" w:hAnsi="Arial"/>
                <w:sz w:val="14"/>
                <w:szCs w:val="14"/>
                <w:b w:val="1"/>
                <w:bCs w:val="1"/>
                <w:color w:val="auto"/>
              </w:rPr>
              <w:t>Nine Months Ended September 30,</w:t>
            </w:r>
          </w:p>
        </w:tc>
      </w:tr>
      <w:tr>
        <w:trPr>
          <w:trHeight w:val="191"/>
        </w:trPr>
        <w:tc>
          <w:tcPr>
            <w:tcW w:w="28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 vs. 2019</w:t>
            </w:r>
          </w:p>
        </w:tc>
        <w:tc>
          <w:tcPr>
            <w:tcW w:w="16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 vs. 2019</w:t>
            </w:r>
          </w:p>
        </w:tc>
        <w:tc>
          <w:tcPr>
            <w:tcW w:w="1320" w:type="dxa"/>
            <w:vAlign w:val="bottom"/>
            <w:tcBorders>
              <w:bottom w:val="single" w:sz="8" w:color="auto"/>
            </w:tcBorders>
          </w:tcPr>
          <w:p>
            <w:pPr>
              <w:spacing w:after="0"/>
              <w:rPr>
                <w:sz w:val="16"/>
                <w:szCs w:val="16"/>
                <w:color w:val="auto"/>
              </w:rPr>
            </w:pPr>
          </w:p>
        </w:tc>
      </w:tr>
      <w:tr>
        <w:trPr>
          <w:trHeight w:val="183"/>
        </w:trPr>
        <w:tc>
          <w:tcPr>
            <w:tcW w:w="28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U.S.</w:t>
            </w:r>
          </w:p>
        </w:tc>
        <w:tc>
          <w:tcPr>
            <w:tcW w:w="6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Outside U.S.</w:t>
            </w:r>
          </w:p>
        </w:tc>
        <w:tc>
          <w:tcPr>
            <w:tcW w:w="16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Consolidated</w:t>
            </w:r>
          </w:p>
        </w:tc>
        <w:tc>
          <w:tcPr>
            <w:tcW w:w="12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U.S.</w:t>
            </w:r>
          </w:p>
        </w:tc>
        <w:tc>
          <w:tcPr>
            <w:tcW w:w="14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Outside U.S.</w:t>
            </w:r>
          </w:p>
        </w:tc>
        <w:tc>
          <w:tcPr>
            <w:tcW w:w="13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Consolidated</w:t>
            </w:r>
          </w:p>
        </w:tc>
      </w:tr>
      <w:tr>
        <w:trPr>
          <w:trHeight w:val="223"/>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7 %</w:t>
            </w:r>
          </w:p>
        </w:tc>
        <w:tc>
          <w:tcPr>
            <w:tcW w:w="13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12 %</w:t>
            </w:r>
          </w:p>
        </w:tc>
        <w:tc>
          <w:tcPr>
            <w:tcW w:w="16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9 %</w:t>
            </w:r>
          </w:p>
        </w:tc>
        <w:tc>
          <w:tcPr>
            <w:tcW w:w="1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10 %</w:t>
            </w:r>
          </w:p>
        </w:tc>
        <w:tc>
          <w:tcPr>
            <w:tcW w:w="14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15 %</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Price</w:t>
            </w:r>
          </w:p>
        </w:tc>
        <w:tc>
          <w:tcPr>
            <w:tcW w:w="620" w:type="dxa"/>
            <w:vAlign w:val="bottom"/>
          </w:tcPr>
          <w:p>
            <w:pPr>
              <w:jc w:val="right"/>
              <w:ind w:right="234"/>
              <w:spacing w:after="0"/>
              <w:rPr>
                <w:sz w:val="20"/>
                <w:szCs w:val="20"/>
                <w:color w:val="auto"/>
              </w:rPr>
            </w:pPr>
            <w:r>
              <w:rPr>
                <w:rFonts w:ascii="Arial" w:cs="Arial" w:eastAsia="Arial" w:hAnsi="Arial"/>
                <w:sz w:val="18"/>
                <w:szCs w:val="18"/>
                <w:color w:val="auto"/>
              </w:rPr>
              <w:t>(4)</w:t>
            </w:r>
          </w:p>
        </w:tc>
        <w:tc>
          <w:tcPr>
            <w:tcW w:w="1380" w:type="dxa"/>
            <w:vAlign w:val="bottom"/>
          </w:tcPr>
          <w:p>
            <w:pPr>
              <w:jc w:val="right"/>
              <w:ind w:right="236"/>
              <w:spacing w:after="0"/>
              <w:rPr>
                <w:sz w:val="20"/>
                <w:szCs w:val="20"/>
                <w:color w:val="auto"/>
              </w:rPr>
            </w:pPr>
            <w:r>
              <w:rPr>
                <w:rFonts w:ascii="Arial" w:cs="Arial" w:eastAsia="Arial" w:hAnsi="Arial"/>
                <w:sz w:val="18"/>
                <w:szCs w:val="18"/>
                <w:color w:val="auto"/>
              </w:rPr>
              <w:t>(7)</w:t>
            </w:r>
          </w:p>
        </w:tc>
        <w:tc>
          <w:tcPr>
            <w:tcW w:w="1600" w:type="dxa"/>
            <w:vAlign w:val="bottom"/>
          </w:tcPr>
          <w:p>
            <w:pPr>
              <w:jc w:val="right"/>
              <w:ind w:right="394"/>
              <w:spacing w:after="0"/>
              <w:rPr>
                <w:sz w:val="20"/>
                <w:szCs w:val="20"/>
                <w:color w:val="auto"/>
              </w:rPr>
            </w:pPr>
            <w:r>
              <w:rPr>
                <w:rFonts w:ascii="Arial" w:cs="Arial" w:eastAsia="Arial" w:hAnsi="Arial"/>
                <w:sz w:val="18"/>
                <w:szCs w:val="18"/>
                <w:color w:val="auto"/>
              </w:rPr>
              <w:t>(5)</w:t>
            </w:r>
          </w:p>
        </w:tc>
        <w:tc>
          <w:tcPr>
            <w:tcW w:w="1260" w:type="dxa"/>
            <w:vAlign w:val="bottom"/>
          </w:tcPr>
          <w:p>
            <w:pPr>
              <w:jc w:val="right"/>
              <w:ind w:right="216"/>
              <w:spacing w:after="0"/>
              <w:rPr>
                <w:sz w:val="20"/>
                <w:szCs w:val="20"/>
                <w:color w:val="auto"/>
              </w:rPr>
            </w:pPr>
            <w:r>
              <w:rPr>
                <w:rFonts w:ascii="Arial" w:cs="Arial" w:eastAsia="Arial" w:hAnsi="Arial"/>
                <w:sz w:val="18"/>
                <w:szCs w:val="18"/>
                <w:color w:val="auto"/>
              </w:rPr>
              <w:t>(5)</w:t>
            </w:r>
          </w:p>
        </w:tc>
        <w:tc>
          <w:tcPr>
            <w:tcW w:w="1400" w:type="dxa"/>
            <w:vAlign w:val="bottom"/>
          </w:tcPr>
          <w:p>
            <w:pPr>
              <w:jc w:val="right"/>
              <w:ind w:right="236"/>
              <w:spacing w:after="0"/>
              <w:rPr>
                <w:sz w:val="20"/>
                <w:szCs w:val="20"/>
                <w:color w:val="auto"/>
              </w:rPr>
            </w:pPr>
            <w:r>
              <w:rPr>
                <w:rFonts w:ascii="Arial" w:cs="Arial" w:eastAsia="Arial" w:hAnsi="Arial"/>
                <w:sz w:val="18"/>
                <w:szCs w:val="18"/>
                <w:color w:val="auto"/>
              </w:rPr>
              <w:t>(7)</w:t>
            </w: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(6)</w:t>
            </w:r>
          </w:p>
        </w:tc>
      </w:tr>
      <w:tr>
        <w:trPr>
          <w:trHeight w:val="229"/>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rates</w:t>
            </w:r>
          </w:p>
        </w:tc>
        <w:tc>
          <w:tcPr>
            <w:tcW w:w="8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1</w:t>
            </w:r>
          </w:p>
        </w:tc>
        <w:tc>
          <w:tcPr>
            <w:tcW w:w="160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8"/>
                <w:szCs w:val="18"/>
                <w:color w:val="auto"/>
              </w:rPr>
              <w:t>1</w:t>
            </w:r>
          </w:p>
        </w:tc>
        <w:tc>
          <w:tcPr>
            <w:tcW w:w="12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(1)</w:t>
            </w:r>
          </w:p>
        </w:tc>
        <w:tc>
          <w:tcPr>
            <w:tcW w:w="13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r>
      <w:tr>
        <w:trPr>
          <w:trHeight w:val="230"/>
        </w:trPr>
        <w:tc>
          <w:tcPr>
            <w:tcW w:w="2840" w:type="dxa"/>
            <w:vAlign w:val="bottom"/>
          </w:tcPr>
          <w:p>
            <w:pPr>
              <w:ind w:left="20"/>
              <w:spacing w:after="0"/>
              <w:rPr>
                <w:sz w:val="20"/>
                <w:szCs w:val="20"/>
                <w:color w:val="auto"/>
              </w:rPr>
            </w:pPr>
            <w:r>
              <w:rPr>
                <w:rFonts w:ascii="Arial" w:cs="Arial" w:eastAsia="Arial" w:hAnsi="Arial"/>
                <w:sz w:val="18"/>
                <w:szCs w:val="18"/>
                <w:color w:val="auto"/>
              </w:rPr>
              <w:t>Percent change</w:t>
            </w:r>
          </w:p>
        </w:tc>
        <w:tc>
          <w:tcPr>
            <w:tcW w:w="8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3 %</w:t>
            </w:r>
          </w:p>
        </w:tc>
        <w:tc>
          <w:tcPr>
            <w:tcW w:w="13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7%</w:t>
            </w:r>
          </w:p>
        </w:tc>
        <w:tc>
          <w:tcPr>
            <w:tcW w:w="160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5 %</w:t>
            </w:r>
          </w:p>
        </w:tc>
        <w:tc>
          <w:tcPr>
            <w:tcW w:w="1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5 %</w:t>
            </w:r>
          </w:p>
        </w:tc>
        <w:tc>
          <w:tcPr>
            <w:tcW w:w="14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7 %</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99"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In the U.S. for the three and nine months ended September 30, 2020, the increase in volume was primarily driven by Trulicity</w:t>
      </w:r>
      <w:r>
        <w:rPr>
          <w:rFonts w:ascii="Arial" w:cs="Arial" w:eastAsia="Arial" w:hAnsi="Arial"/>
          <w:sz w:val="23"/>
          <w:szCs w:val="23"/>
          <w:color w:val="auto"/>
          <w:vertAlign w:val="superscript"/>
        </w:rPr>
        <w:t>®</w:t>
      </w:r>
      <w:r>
        <w:rPr>
          <w:rFonts w:ascii="Arial" w:cs="Arial" w:eastAsia="Arial" w:hAnsi="Arial"/>
          <w:sz w:val="18"/>
          <w:szCs w:val="18"/>
          <w:color w:val="auto"/>
        </w:rPr>
        <w:t>, Taltz</w:t>
      </w:r>
      <w:r>
        <w:rPr>
          <w:rFonts w:ascii="Arial" w:cs="Arial" w:eastAsia="Arial" w:hAnsi="Arial"/>
          <w:sz w:val="23"/>
          <w:szCs w:val="23"/>
          <w:color w:val="auto"/>
          <w:vertAlign w:val="superscript"/>
        </w:rPr>
        <w:t>®</w:t>
      </w:r>
      <w:r>
        <w:rPr>
          <w:rFonts w:ascii="Arial" w:cs="Arial" w:eastAsia="Arial" w:hAnsi="Arial"/>
          <w:sz w:val="18"/>
          <w:szCs w:val="18"/>
          <w:color w:val="auto"/>
        </w:rPr>
        <w:t>, Humalog, Emgality, and Verzenio</w:t>
      </w:r>
      <w:r>
        <w:rPr>
          <w:rFonts w:ascii="Arial" w:cs="Arial" w:eastAsia="Arial" w:hAnsi="Arial"/>
          <w:sz w:val="23"/>
          <w:szCs w:val="23"/>
          <w:color w:val="auto"/>
          <w:vertAlign w:val="superscript"/>
        </w:rPr>
        <w:t>®</w:t>
      </w:r>
      <w:r>
        <w:rPr>
          <w:rFonts w:ascii="Arial" w:cs="Arial" w:eastAsia="Arial" w:hAnsi="Arial"/>
          <w:sz w:val="18"/>
          <w:szCs w:val="18"/>
          <w:color w:val="auto"/>
        </w:rPr>
        <w:t>, partially offset by lower volume for Cialis</w:t>
      </w:r>
      <w:r>
        <w:rPr>
          <w:rFonts w:ascii="Arial" w:cs="Arial" w:eastAsia="Arial" w:hAnsi="Arial"/>
          <w:sz w:val="23"/>
          <w:szCs w:val="23"/>
          <w:color w:val="auto"/>
          <w:vertAlign w:val="superscript"/>
        </w:rPr>
        <w:t>®</w:t>
      </w:r>
      <w:r>
        <w:rPr>
          <w:rFonts w:ascii="Arial" w:cs="Arial" w:eastAsia="Arial" w:hAnsi="Arial"/>
          <w:sz w:val="18"/>
          <w:szCs w:val="18"/>
          <w:color w:val="auto"/>
        </w:rPr>
        <w:t>, Forteo, and Trajenta</w:t>
      </w:r>
      <w:r>
        <w:rPr>
          <w:rFonts w:ascii="Arial" w:cs="Arial" w:eastAsia="Arial" w:hAnsi="Arial"/>
          <w:sz w:val="23"/>
          <w:szCs w:val="23"/>
          <w:color w:val="auto"/>
          <w:vertAlign w:val="superscript"/>
        </w:rPr>
        <w:t>®</w:t>
      </w:r>
      <w:r>
        <w:rPr>
          <w:rFonts w:ascii="Arial" w:cs="Arial" w:eastAsia="Arial" w:hAnsi="Arial"/>
          <w:sz w:val="18"/>
          <w:szCs w:val="18"/>
          <w:color w:val="auto"/>
        </w:rPr>
        <w:t>. In the U.S. for the three months ended September 30, 2020, the decrease in realized prices was primarily driven by changes to estimates for rebates and discounts, most notably impacting Trulicity, as well as increased rebates to gain and maintain broad commercial access across the portfolio, partially offset by modest list price increases. In the U.S. for the nine months ended September 30, 2020, the decrease in realized prices was primarily driven by changes to estimates for rebates and discounts and changes to segment mix.</w:t>
      </w:r>
    </w:p>
    <w:p>
      <w:pPr>
        <w:spacing w:after="0" w:line="87"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Outside the U.S. for the three and nine months ended September 30, 2020, the increase in volume was primarily driven by Tyvyt</w:t>
      </w:r>
      <w:r>
        <w:rPr>
          <w:rFonts w:ascii="Arial" w:cs="Arial" w:eastAsia="Arial" w:hAnsi="Arial"/>
          <w:sz w:val="23"/>
          <w:szCs w:val="23"/>
          <w:color w:val="auto"/>
          <w:vertAlign w:val="superscript"/>
        </w:rPr>
        <w:t>®</w:t>
      </w:r>
      <w:r>
        <w:rPr>
          <w:rFonts w:ascii="Arial" w:cs="Arial" w:eastAsia="Arial" w:hAnsi="Arial"/>
          <w:sz w:val="18"/>
          <w:szCs w:val="18"/>
          <w:color w:val="auto"/>
        </w:rPr>
        <w:t>, Trulicity, Alimta, Olumiant</w:t>
      </w:r>
      <w:r>
        <w:rPr>
          <w:rFonts w:ascii="Arial" w:cs="Arial" w:eastAsia="Arial" w:hAnsi="Arial"/>
          <w:sz w:val="23"/>
          <w:szCs w:val="23"/>
          <w:color w:val="auto"/>
          <w:vertAlign w:val="superscript"/>
        </w:rPr>
        <w:t>®</w:t>
      </w:r>
      <w:r>
        <w:rPr>
          <w:rFonts w:ascii="Arial" w:cs="Arial" w:eastAsia="Arial" w:hAnsi="Arial"/>
          <w:sz w:val="18"/>
          <w:szCs w:val="18"/>
          <w:color w:val="auto"/>
        </w:rPr>
        <w:t>, Verzenio, Taltz, and Jardiance</w:t>
      </w:r>
      <w:r>
        <w:rPr>
          <w:rFonts w:ascii="Arial" w:cs="Arial" w:eastAsia="Arial" w:hAnsi="Arial"/>
          <w:sz w:val="23"/>
          <w:szCs w:val="23"/>
          <w:color w:val="auto"/>
          <w:vertAlign w:val="superscript"/>
        </w:rPr>
        <w:t>®</w:t>
      </w:r>
      <w:r>
        <w:rPr>
          <w:rFonts w:ascii="Arial" w:cs="Arial" w:eastAsia="Arial" w:hAnsi="Arial"/>
          <w:sz w:val="18"/>
          <w:szCs w:val="18"/>
          <w:color w:val="auto"/>
        </w:rPr>
        <w:t>, partially offset by decreased volume for Forteo and Trajenta</w:t>
      </w:r>
      <w:r>
        <w:rPr>
          <w:rFonts w:ascii="Arial" w:cs="Arial" w:eastAsia="Arial" w:hAnsi="Arial"/>
          <w:sz w:val="23"/>
          <w:szCs w:val="23"/>
          <w:color w:val="auto"/>
          <w:vertAlign w:val="superscript"/>
        </w:rPr>
        <w:t>®</w:t>
      </w:r>
      <w:r>
        <w:rPr>
          <w:rFonts w:ascii="Arial" w:cs="Arial" w:eastAsia="Arial" w:hAnsi="Arial"/>
          <w:sz w:val="18"/>
          <w:szCs w:val="18"/>
          <w:color w:val="auto"/>
        </w:rPr>
        <w:t>. The increase in volume for Tyvyt and Alimta was driven primarily by their inclusion in government reimbursement programs in China. Outside the U.S. for the three and nine months ended September 30, 2020, the decrease in realized prices was driven primarily by the inclusion of Tyvyt and Alimta in government reimbursement programs in China and bi-annual government mandated price decreases in Japan.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The following table summarizes our revenue activity by product for the three months ended September 30, 2020 and 2019:</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20" w:type="dxa"/>
            <w:vAlign w:val="bottom"/>
          </w:tcPr>
          <w:p>
            <w:pPr>
              <w:spacing w:after="0"/>
              <w:rPr>
                <w:sz w:val="16"/>
                <w:szCs w:val="16"/>
                <w:color w:val="auto"/>
              </w:rPr>
            </w:pPr>
          </w:p>
        </w:tc>
      </w:tr>
      <w:tr>
        <w:trPr>
          <w:trHeight w:val="196"/>
        </w:trPr>
        <w:tc>
          <w:tcPr>
            <w:tcW w:w="4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420" w:type="dxa"/>
            <w:vAlign w:val="bottom"/>
          </w:tcPr>
          <w:p>
            <w:pPr>
              <w:spacing w:after="0"/>
              <w:rPr>
                <w:sz w:val="17"/>
                <w:szCs w:val="17"/>
                <w:color w:val="auto"/>
              </w:rPr>
            </w:pPr>
          </w:p>
        </w:tc>
      </w:tr>
      <w:tr>
        <w:trPr>
          <w:trHeight w:val="358"/>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8"/>
                <w:szCs w:val="18"/>
                <w:b w:val="1"/>
                <w:bCs w:val="1"/>
                <w:color w:val="auto"/>
                <w:vertAlign w:val="superscript"/>
              </w:rPr>
              <w:t>(1)</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Outside U.S.</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14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Percent Change</w:t>
            </w: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Trulicity</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791.2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315.4</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1,011.5</w:t>
            </w:r>
          </w:p>
        </w:tc>
        <w:tc>
          <w:tcPr>
            <w:tcW w:w="14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9</w:t>
            </w:r>
          </w:p>
        </w:tc>
      </w:tr>
      <w:tr>
        <w:trPr>
          <w:trHeight w:val="229"/>
        </w:trPr>
        <w:tc>
          <w:tcPr>
            <w:tcW w:w="41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Humalog </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390.1</w:t>
            </w:r>
          </w:p>
        </w:tc>
        <w:tc>
          <w:tcPr>
            <w:tcW w:w="22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266.9</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656.9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648.9</w:t>
            </w:r>
          </w:p>
        </w:tc>
        <w:tc>
          <w:tcPr>
            <w:tcW w:w="1420" w:type="dxa"/>
            <w:vAlign w:val="bottom"/>
          </w:tcPr>
          <w:p>
            <w:pPr>
              <w:jc w:val="center"/>
              <w:ind w:left="31"/>
              <w:spacing w:after="0"/>
              <w:rPr>
                <w:sz w:val="20"/>
                <w:szCs w:val="20"/>
                <w:color w:val="auto"/>
              </w:rPr>
            </w:pPr>
            <w:r>
              <w:rPr>
                <w:rFonts w:ascii="Arial" w:cs="Arial" w:eastAsia="Arial" w:hAnsi="Arial"/>
                <w:sz w:val="18"/>
                <w:szCs w:val="18"/>
                <w:color w:val="auto"/>
                <w:w w:val="99"/>
              </w:rPr>
              <w:t>1</w:t>
            </w: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Alimta</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291.9</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286.1</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14</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Taltz</w:t>
            </w:r>
          </w:p>
        </w:tc>
        <w:tc>
          <w:tcPr>
            <w:tcW w:w="2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326.2</w:t>
            </w:r>
          </w:p>
        </w:tc>
        <w:tc>
          <w:tcPr>
            <w:tcW w:w="22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128.3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454.5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340.0</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34</w:t>
            </w:r>
          </w:p>
        </w:tc>
      </w:tr>
      <w:tr>
        <w:trPr>
          <w:trHeight w:val="230"/>
        </w:trPr>
        <w:tc>
          <w:tcPr>
            <w:tcW w:w="4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Jardiance </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163.3</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147.5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29</w:t>
            </w:r>
          </w:p>
        </w:tc>
      </w:tr>
      <w:tr>
        <w:trPr>
          <w:trHeight w:val="229"/>
        </w:trPr>
        <w:tc>
          <w:tcPr>
            <w:tcW w:w="4160" w:type="dxa"/>
            <w:vAlign w:val="bottom"/>
          </w:tcPr>
          <w:p>
            <w:pPr>
              <w:ind w:left="20"/>
              <w:spacing w:after="0" w:line="230" w:lineRule="exact"/>
              <w:rPr>
                <w:sz w:val="20"/>
                <w:szCs w:val="20"/>
                <w:color w:val="auto"/>
              </w:rPr>
            </w:pPr>
            <w:r>
              <w:rPr>
                <w:rFonts w:ascii="Arial" w:cs="Arial" w:eastAsia="Arial" w:hAnsi="Arial"/>
                <w:sz w:val="18"/>
                <w:szCs w:val="18"/>
                <w:color w:val="auto"/>
              </w:rPr>
              <w:t>Humulin</w:t>
            </w:r>
            <w:r>
              <w:rPr>
                <w:rFonts w:ascii="Arial" w:cs="Arial" w:eastAsia="Arial" w:hAnsi="Arial"/>
                <w:sz w:val="23"/>
                <w:szCs w:val="23"/>
                <w:color w:val="auto"/>
                <w:vertAlign w:val="superscript"/>
              </w:rPr>
              <w:t>®</w:t>
            </w:r>
          </w:p>
        </w:tc>
        <w:tc>
          <w:tcPr>
            <w:tcW w:w="2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214.0</w:t>
            </w:r>
          </w:p>
        </w:tc>
        <w:tc>
          <w:tcPr>
            <w:tcW w:w="22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91.9</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321.8</w:t>
            </w:r>
          </w:p>
        </w:tc>
        <w:tc>
          <w:tcPr>
            <w:tcW w:w="1420" w:type="dxa"/>
            <w:vAlign w:val="bottom"/>
          </w:tcPr>
          <w:p>
            <w:pPr>
              <w:jc w:val="center"/>
              <w:ind w:left="31"/>
              <w:spacing w:after="0"/>
              <w:rPr>
                <w:sz w:val="20"/>
                <w:szCs w:val="20"/>
                <w:color w:val="auto"/>
              </w:rPr>
            </w:pPr>
            <w:r>
              <w:rPr>
                <w:rFonts w:ascii="Arial" w:cs="Arial" w:eastAsia="Arial" w:hAnsi="Arial"/>
                <w:sz w:val="18"/>
                <w:szCs w:val="18"/>
                <w:color w:val="auto"/>
                <w:w w:val="99"/>
              </w:rPr>
              <w:t>(5)</w:t>
            </w: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Forteo</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144.6</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122.3</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(28)</w:t>
            </w:r>
          </w:p>
        </w:tc>
      </w:tr>
      <w:tr>
        <w:trPr>
          <w:trHeight w:val="230"/>
        </w:trPr>
        <w:tc>
          <w:tcPr>
            <w:tcW w:w="4160" w:type="dxa"/>
            <w:vAlign w:val="bottom"/>
          </w:tcPr>
          <w:p>
            <w:pPr>
              <w:ind w:left="20"/>
              <w:spacing w:after="0" w:line="230" w:lineRule="exact"/>
              <w:rPr>
                <w:sz w:val="20"/>
                <w:szCs w:val="20"/>
                <w:color w:val="auto"/>
              </w:rPr>
            </w:pPr>
            <w:r>
              <w:rPr>
                <w:rFonts w:ascii="Arial" w:cs="Arial" w:eastAsia="Arial" w:hAnsi="Arial"/>
                <w:sz w:val="18"/>
                <w:szCs w:val="18"/>
                <w:color w:val="auto"/>
              </w:rPr>
              <w:t>Cyramza</w:t>
            </w:r>
            <w:r>
              <w:rPr>
                <w:rFonts w:ascii="Arial" w:cs="Arial" w:eastAsia="Arial" w:hAnsi="Arial"/>
                <w:sz w:val="23"/>
                <w:szCs w:val="23"/>
                <w:color w:val="auto"/>
                <w:vertAlign w:val="superscript"/>
              </w:rPr>
              <w:t>®</w:t>
            </w:r>
          </w:p>
        </w:tc>
        <w:tc>
          <w:tcPr>
            <w:tcW w:w="2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94.5</w:t>
            </w:r>
          </w:p>
        </w:tc>
        <w:tc>
          <w:tcPr>
            <w:tcW w:w="22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158.2</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252.7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240.0</w:t>
            </w:r>
          </w:p>
        </w:tc>
        <w:tc>
          <w:tcPr>
            <w:tcW w:w="1420" w:type="dxa"/>
            <w:vAlign w:val="bottom"/>
          </w:tcPr>
          <w:p>
            <w:pPr>
              <w:jc w:val="center"/>
              <w:ind w:left="31"/>
              <w:spacing w:after="0"/>
              <w:rPr>
                <w:sz w:val="20"/>
                <w:szCs w:val="20"/>
                <w:color w:val="auto"/>
              </w:rPr>
            </w:pPr>
            <w:r>
              <w:rPr>
                <w:rFonts w:ascii="Arial" w:cs="Arial" w:eastAsia="Arial" w:hAnsi="Arial"/>
                <w:sz w:val="18"/>
                <w:szCs w:val="18"/>
                <w:color w:val="auto"/>
                <w:w w:val="99"/>
              </w:rPr>
              <w:t>5</w:t>
            </w:r>
          </w:p>
        </w:tc>
      </w:tr>
      <w:tr>
        <w:trPr>
          <w:trHeight w:val="229"/>
        </w:trPr>
        <w:tc>
          <w:tcPr>
            <w:tcW w:w="4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Basaglar</w:t>
            </w:r>
            <w:r>
              <w:rPr>
                <w:rFonts w:ascii="Arial" w:cs="Arial" w:eastAsia="Arial" w:hAnsi="Arial"/>
                <w:sz w:val="23"/>
                <w:szCs w:val="23"/>
                <w:color w:val="auto"/>
                <w:vertAlign w:val="superscript"/>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178.5</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69.7</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14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(6)</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Verzenio</w:t>
            </w:r>
          </w:p>
        </w:tc>
        <w:tc>
          <w:tcPr>
            <w:tcW w:w="2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158.9</w:t>
            </w:r>
          </w:p>
        </w:tc>
        <w:tc>
          <w:tcPr>
            <w:tcW w:w="22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75.5</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157.2</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49</w:t>
            </w: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Cymbalta</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11.1</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175.5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4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5</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Cialis</w:t>
            </w:r>
          </w:p>
        </w:tc>
        <w:tc>
          <w:tcPr>
            <w:tcW w:w="2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15.1</w:t>
            </w:r>
          </w:p>
        </w:tc>
        <w:tc>
          <w:tcPr>
            <w:tcW w:w="22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147.3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184.3</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(12)</w:t>
            </w: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Olumiant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14.5</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147.5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41</w:t>
            </w:r>
          </w:p>
        </w:tc>
      </w:tr>
      <w:tr>
        <w:trPr>
          <w:trHeight w:val="229"/>
        </w:trPr>
        <w:tc>
          <w:tcPr>
            <w:tcW w:w="4160" w:type="dxa"/>
            <w:vAlign w:val="bottom"/>
          </w:tcPr>
          <w:p>
            <w:pPr>
              <w:ind w:left="20"/>
              <w:spacing w:after="0" w:line="230" w:lineRule="exact"/>
              <w:rPr>
                <w:sz w:val="20"/>
                <w:szCs w:val="20"/>
                <w:color w:val="auto"/>
              </w:rPr>
            </w:pPr>
            <w:r>
              <w:rPr>
                <w:rFonts w:ascii="Arial" w:cs="Arial" w:eastAsia="Arial" w:hAnsi="Arial"/>
                <w:sz w:val="18"/>
                <w:szCs w:val="18"/>
                <w:color w:val="auto"/>
              </w:rPr>
              <w:t>Erbitux</w:t>
            </w:r>
            <w:r>
              <w:rPr>
                <w:rFonts w:ascii="Arial" w:cs="Arial" w:eastAsia="Arial" w:hAnsi="Arial"/>
                <w:sz w:val="23"/>
                <w:szCs w:val="23"/>
                <w:color w:val="auto"/>
                <w:vertAlign w:val="superscript"/>
              </w:rPr>
              <w:t>®</w:t>
            </w:r>
          </w:p>
        </w:tc>
        <w:tc>
          <w:tcPr>
            <w:tcW w:w="2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122.5</w:t>
            </w:r>
          </w:p>
        </w:tc>
        <w:tc>
          <w:tcPr>
            <w:tcW w:w="22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14.0</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128.6</w:t>
            </w:r>
          </w:p>
        </w:tc>
        <w:tc>
          <w:tcPr>
            <w:tcW w:w="1420" w:type="dxa"/>
            <w:vAlign w:val="bottom"/>
          </w:tcPr>
          <w:p>
            <w:pPr>
              <w:jc w:val="center"/>
              <w:ind w:left="31"/>
              <w:spacing w:after="0"/>
              <w:rPr>
                <w:sz w:val="20"/>
                <w:szCs w:val="20"/>
                <w:color w:val="auto"/>
              </w:rPr>
            </w:pPr>
            <w:r>
              <w:rPr>
                <w:rFonts w:ascii="Arial" w:cs="Arial" w:eastAsia="Arial" w:hAnsi="Arial"/>
                <w:sz w:val="18"/>
                <w:szCs w:val="18"/>
                <w:color w:val="auto"/>
                <w:w w:val="99"/>
              </w:rPr>
              <w:t>6</w:t>
            </w:r>
          </w:p>
        </w:tc>
      </w:tr>
      <w:tr>
        <w:trPr>
          <w:trHeight w:val="229"/>
        </w:trPr>
        <w:tc>
          <w:tcPr>
            <w:tcW w:w="4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Zyprexa</w:t>
            </w:r>
            <w:r>
              <w:rPr>
                <w:rFonts w:ascii="Arial" w:cs="Arial" w:eastAsia="Arial" w:hAnsi="Arial"/>
                <w:sz w:val="23"/>
                <w:szCs w:val="23"/>
                <w:color w:val="auto"/>
                <w:vertAlign w:val="superscript"/>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21.2</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91.5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4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7</w:t>
            </w:r>
          </w:p>
        </w:tc>
      </w:tr>
      <w:tr>
        <w:trPr>
          <w:trHeight w:val="230"/>
        </w:trPr>
        <w:tc>
          <w:tcPr>
            <w:tcW w:w="41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Trajenta </w:t>
            </w:r>
            <w:r>
              <w:rPr>
                <w:rFonts w:ascii="Arial" w:cs="Arial" w:eastAsia="Arial" w:hAnsi="Arial"/>
                <w:sz w:val="23"/>
                <w:szCs w:val="23"/>
                <w:color w:val="auto"/>
                <w:vertAlign w:val="superscript"/>
              </w:rPr>
              <w:t>(4)</w:t>
            </w:r>
          </w:p>
        </w:tc>
        <w:tc>
          <w:tcPr>
            <w:tcW w:w="2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19.4</w:t>
            </w:r>
          </w:p>
        </w:tc>
        <w:tc>
          <w:tcPr>
            <w:tcW w:w="22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72.3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155.5</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(41)</w:t>
            </w: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Emgality</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81.4</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10.1</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92</w:t>
            </w:r>
          </w:p>
        </w:tc>
      </w:tr>
      <w:tr>
        <w:trPr>
          <w:trHeight w:val="230"/>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products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123.1</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259.3</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382.2</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459.7</w:t>
            </w:r>
          </w:p>
        </w:tc>
        <w:tc>
          <w:tcPr>
            <w:tcW w:w="1420" w:type="dxa"/>
            <w:vAlign w:val="bottom"/>
            <w:tcBorders>
              <w:bottom w:val="single" w:sz="8" w:color="CCEEFF"/>
            </w:tcBorders>
          </w:tcPr>
          <w:p>
            <w:pPr>
              <w:jc w:val="center"/>
              <w:ind w:left="51"/>
              <w:spacing w:after="0"/>
              <w:rPr>
                <w:sz w:val="20"/>
                <w:szCs w:val="20"/>
                <w:color w:val="auto"/>
              </w:rPr>
            </w:pPr>
            <w:r>
              <w:rPr>
                <w:rFonts w:ascii="Arial" w:cs="Arial" w:eastAsia="Arial" w:hAnsi="Arial"/>
                <w:sz w:val="18"/>
                <w:szCs w:val="18"/>
                <w:color w:val="auto"/>
                <w:w w:val="99"/>
              </w:rPr>
              <w:t>(17)</w:t>
            </w:r>
          </w:p>
        </w:tc>
      </w:tr>
      <w:tr>
        <w:trPr>
          <w:trHeight w:val="230"/>
        </w:trPr>
        <w:tc>
          <w:tcPr>
            <w:tcW w:w="4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3,161.4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2,579.3</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5,740.6</w:t>
            </w: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5,476.6</w:t>
            </w:r>
          </w:p>
        </w:tc>
        <w:tc>
          <w:tcPr>
            <w:tcW w:w="1420" w:type="dxa"/>
            <w:vAlign w:val="bottom"/>
            <w:tcBorders>
              <w:bottom w:val="single" w:sz="8" w:color="CCEEFF"/>
            </w:tcBorders>
            <w:shd w:val="clear" w:color="auto" w:fill="CCEEFF"/>
          </w:tcPr>
          <w:p>
            <w:pPr>
              <w:jc w:val="center"/>
              <w:ind w:left="31"/>
              <w:spacing w:after="0"/>
              <w:rPr>
                <w:sz w:val="20"/>
                <w:szCs w:val="20"/>
                <w:color w:val="auto"/>
              </w:rPr>
            </w:pPr>
            <w:r>
              <w:rPr>
                <w:rFonts w:ascii="Arial" w:cs="Arial" w:eastAsia="Arial" w:hAnsi="Arial"/>
                <w:sz w:val="18"/>
                <w:szCs w:val="18"/>
                <w:color w:val="auto"/>
                <w:w w:val="99"/>
              </w:rPr>
              <w:t>5</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09" w:lineRule="exact"/>
        <w:rPr>
          <w:sz w:val="20"/>
          <w:szCs w:val="20"/>
          <w:color w:val="auto"/>
        </w:rPr>
      </w:pPr>
    </w:p>
    <w:p>
      <w:pPr>
        <w:ind w:left="140" w:hanging="132"/>
        <w:spacing w:after="0"/>
        <w:tabs>
          <w:tab w:leader="none" w:pos="140" w:val="left"/>
        </w:tabs>
        <w:numPr>
          <w:ilvl w:val="0"/>
          <w:numId w:val="24"/>
        </w:numPr>
        <w:rPr>
          <w:rFonts w:ascii="Arial" w:cs="Arial" w:eastAsia="Arial" w:hAnsi="Arial"/>
          <w:sz w:val="16"/>
          <w:szCs w:val="16"/>
          <w:color w:val="auto"/>
          <w:vertAlign w:val="superscript"/>
        </w:rPr>
      </w:pPr>
      <w:r>
        <w:rPr>
          <w:rFonts w:ascii="Arial" w:cs="Arial" w:eastAsia="Arial" w:hAnsi="Arial"/>
          <w:sz w:val="12"/>
          <w:szCs w:val="12"/>
          <w:color w:val="auto"/>
        </w:rPr>
        <w:t>U.S. revenue includes revenue in Puerto Rico.</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4"/>
        </w:numPr>
        <w:rPr>
          <w:rFonts w:ascii="Arial" w:cs="Arial" w:eastAsia="Arial" w:hAnsi="Arial"/>
          <w:sz w:val="16"/>
          <w:szCs w:val="16"/>
          <w:color w:val="auto"/>
          <w:vertAlign w:val="superscript"/>
        </w:rPr>
      </w:pPr>
      <w:r>
        <w:rPr>
          <w:rFonts w:ascii="Arial" w:cs="Arial" w:eastAsia="Arial" w:hAnsi="Arial"/>
          <w:sz w:val="12"/>
          <w:szCs w:val="12"/>
          <w:color w:val="auto"/>
        </w:rPr>
        <w:t>Humalog revenue includes insulin lispro.</w:t>
      </w:r>
    </w:p>
    <w:p>
      <w:pPr>
        <w:spacing w:after="0" w:line="83"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4"/>
        </w:numPr>
        <w:rPr>
          <w:rFonts w:ascii="Arial" w:cs="Arial" w:eastAsia="Arial" w:hAnsi="Arial"/>
          <w:sz w:val="16"/>
          <w:szCs w:val="16"/>
          <w:color w:val="auto"/>
          <w:vertAlign w:val="superscript"/>
        </w:rPr>
      </w:pPr>
      <w:r>
        <w:rPr>
          <w:rFonts w:ascii="Arial" w:cs="Arial" w:eastAsia="Arial" w:hAnsi="Arial"/>
          <w:sz w:val="12"/>
          <w:szCs w:val="12"/>
          <w:color w:val="auto"/>
        </w:rPr>
        <w:t>Jardiance revenue includes Glyxambi</w:t>
      </w:r>
      <w:r>
        <w:rPr>
          <w:rFonts w:ascii="Arial" w:cs="Arial" w:eastAsia="Arial" w:hAnsi="Arial"/>
          <w:sz w:val="15"/>
          <w:szCs w:val="15"/>
          <w:color w:val="auto"/>
          <w:vertAlign w:val="superscript"/>
        </w:rPr>
        <w:t>®</w:t>
      </w:r>
      <w:r>
        <w:rPr>
          <w:rFonts w:ascii="Arial" w:cs="Arial" w:eastAsia="Arial" w:hAnsi="Arial"/>
          <w:sz w:val="12"/>
          <w:szCs w:val="12"/>
          <w:color w:val="auto"/>
        </w:rPr>
        <w:t>, Synjardy</w:t>
      </w:r>
      <w:r>
        <w:rPr>
          <w:rFonts w:ascii="Arial" w:cs="Arial" w:eastAsia="Arial" w:hAnsi="Arial"/>
          <w:sz w:val="15"/>
          <w:szCs w:val="15"/>
          <w:color w:val="auto"/>
          <w:vertAlign w:val="superscript"/>
        </w:rPr>
        <w:t>®</w:t>
      </w:r>
      <w:r>
        <w:rPr>
          <w:rFonts w:ascii="Arial" w:cs="Arial" w:eastAsia="Arial" w:hAnsi="Arial"/>
          <w:sz w:val="12"/>
          <w:szCs w:val="12"/>
          <w:color w:val="auto"/>
        </w:rPr>
        <w:t>, and Trijardy</w:t>
      </w:r>
      <w:r>
        <w:rPr>
          <w:rFonts w:ascii="Arial" w:cs="Arial" w:eastAsia="Arial" w:hAnsi="Arial"/>
          <w:sz w:val="15"/>
          <w:szCs w:val="15"/>
          <w:color w:val="auto"/>
          <w:vertAlign w:val="superscript"/>
        </w:rPr>
        <w:t>®</w:t>
      </w:r>
      <w:r>
        <w:rPr>
          <w:rFonts w:ascii="Arial" w:cs="Arial" w:eastAsia="Arial" w:hAnsi="Arial"/>
          <w:sz w:val="12"/>
          <w:szCs w:val="12"/>
          <w:color w:val="auto"/>
        </w:rPr>
        <w:t xml:space="preserve"> XR.</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4"/>
        </w:numPr>
        <w:rPr>
          <w:rFonts w:ascii="Arial" w:cs="Arial" w:eastAsia="Arial" w:hAnsi="Arial"/>
          <w:sz w:val="16"/>
          <w:szCs w:val="16"/>
          <w:color w:val="auto"/>
          <w:vertAlign w:val="superscript"/>
        </w:rPr>
      </w:pPr>
      <w:r>
        <w:rPr>
          <w:rFonts w:ascii="Arial" w:cs="Arial" w:eastAsia="Arial" w:hAnsi="Arial"/>
          <w:sz w:val="12"/>
          <w:szCs w:val="12"/>
          <w:color w:val="auto"/>
        </w:rPr>
        <w:t>Trajenta revenue includes Jentadueto</w:t>
      </w:r>
      <w:r>
        <w:rPr>
          <w:rFonts w:ascii="Arial" w:cs="Arial" w:eastAsia="Arial" w:hAnsi="Arial"/>
          <w:sz w:val="15"/>
          <w:szCs w:val="15"/>
          <w:color w:val="auto"/>
          <w:vertAlign w:val="superscript"/>
        </w:rPr>
        <w:t>®</w:t>
      </w:r>
      <w:r>
        <w:rPr>
          <w:rFonts w:ascii="Arial" w:cs="Arial" w:eastAsia="Arial" w:hAnsi="Arial"/>
          <w:sz w:val="12"/>
          <w:szCs w:val="12"/>
          <w:color w:val="auto"/>
        </w:rPr>
        <w:t>.</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45" w:right="39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The following table summarizes our revenue activity by product for the nine months ended September 30, 2020 and 2019:</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20" w:type="dxa"/>
            <w:vAlign w:val="bottom"/>
          </w:tcPr>
          <w:p>
            <w:pPr>
              <w:spacing w:after="0"/>
              <w:rPr>
                <w:sz w:val="16"/>
                <w:szCs w:val="16"/>
                <w:color w:val="auto"/>
              </w:rPr>
            </w:pPr>
          </w:p>
        </w:tc>
      </w:tr>
      <w:tr>
        <w:trPr>
          <w:trHeight w:val="196"/>
        </w:trPr>
        <w:tc>
          <w:tcPr>
            <w:tcW w:w="4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420" w:type="dxa"/>
            <w:vAlign w:val="bottom"/>
          </w:tcPr>
          <w:p>
            <w:pPr>
              <w:spacing w:after="0"/>
              <w:rPr>
                <w:sz w:val="17"/>
                <w:szCs w:val="17"/>
                <w:color w:val="auto"/>
              </w:rPr>
            </w:pPr>
          </w:p>
        </w:tc>
      </w:tr>
      <w:tr>
        <w:trPr>
          <w:trHeight w:val="358"/>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8"/>
                <w:szCs w:val="18"/>
                <w:b w:val="1"/>
                <w:bCs w:val="1"/>
                <w:color w:val="auto"/>
                <w:vertAlign w:val="superscript"/>
              </w:rPr>
              <w:t>(1)</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Outside U.S.</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142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b w:val="1"/>
                <w:bCs w:val="1"/>
                <w:color w:val="auto"/>
              </w:rPr>
              <w:t>Percent Change</w:t>
            </w:r>
          </w:p>
        </w:tc>
      </w:tr>
      <w:tr>
        <w:trPr>
          <w:trHeight w:val="223"/>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Trulicity</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2,673.2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892.5</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3,565.7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2,919.7</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22</w:t>
            </w:r>
          </w:p>
        </w:tc>
      </w:tr>
      <w:tr>
        <w:trPr>
          <w:trHeight w:val="229"/>
        </w:trPr>
        <w:tc>
          <w:tcPr>
            <w:tcW w:w="41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Humalog </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1,070.4</w:t>
            </w:r>
          </w:p>
        </w:tc>
        <w:tc>
          <w:tcPr>
            <w:tcW w:w="24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837.4</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1,907.8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2,057.3</w:t>
            </w:r>
          </w:p>
        </w:tc>
        <w:tc>
          <w:tcPr>
            <w:tcW w:w="1420" w:type="dxa"/>
            <w:vAlign w:val="bottom"/>
          </w:tcPr>
          <w:p>
            <w:pPr>
              <w:jc w:val="center"/>
              <w:ind w:left="31"/>
              <w:spacing w:after="0"/>
              <w:rPr>
                <w:sz w:val="20"/>
                <w:szCs w:val="20"/>
                <w:color w:val="auto"/>
              </w:rPr>
            </w:pPr>
            <w:r>
              <w:rPr>
                <w:rFonts w:ascii="Arial" w:cs="Arial" w:eastAsia="Arial" w:hAnsi="Arial"/>
                <w:sz w:val="18"/>
                <w:szCs w:val="18"/>
                <w:color w:val="auto"/>
                <w:w w:val="99"/>
              </w:rPr>
              <w:t>(7)</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Alimta</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933.4</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743.8</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1,585.1</w:t>
            </w:r>
          </w:p>
        </w:tc>
        <w:tc>
          <w:tcPr>
            <w:tcW w:w="14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6</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Taltz</w:t>
            </w:r>
          </w:p>
        </w:tc>
        <w:tc>
          <w:tcPr>
            <w:tcW w:w="28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942.9</w:t>
            </w:r>
          </w:p>
        </w:tc>
        <w:tc>
          <w:tcPr>
            <w:tcW w:w="24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350.3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1,293.2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946.3</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37</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Humulin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642.5</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292.7</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942.1</w:t>
            </w:r>
          </w:p>
        </w:tc>
        <w:tc>
          <w:tcPr>
            <w:tcW w:w="14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(1)</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Basaglar</w:t>
            </w:r>
          </w:p>
        </w:tc>
        <w:tc>
          <w:tcPr>
            <w:tcW w:w="28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638.7</w:t>
            </w:r>
          </w:p>
        </w:tc>
        <w:tc>
          <w:tcPr>
            <w:tcW w:w="24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203.7</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842.3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805.4</w:t>
            </w:r>
          </w:p>
        </w:tc>
        <w:tc>
          <w:tcPr>
            <w:tcW w:w="1420" w:type="dxa"/>
            <w:vAlign w:val="bottom"/>
          </w:tcPr>
          <w:p>
            <w:pPr>
              <w:jc w:val="center"/>
              <w:ind w:left="31"/>
              <w:spacing w:after="0"/>
              <w:rPr>
                <w:sz w:val="20"/>
                <w:szCs w:val="20"/>
                <w:color w:val="auto"/>
              </w:rPr>
            </w:pPr>
            <w:r>
              <w:rPr>
                <w:rFonts w:ascii="Arial" w:cs="Arial" w:eastAsia="Arial" w:hAnsi="Arial"/>
                <w:sz w:val="18"/>
                <w:szCs w:val="18"/>
                <w:color w:val="auto"/>
                <w:w w:val="99"/>
              </w:rPr>
              <w:t>5</w:t>
            </w:r>
          </w:p>
        </w:tc>
      </w:tr>
      <w:tr>
        <w:trPr>
          <w:trHeight w:val="229"/>
        </w:trPr>
        <w:tc>
          <w:tcPr>
            <w:tcW w:w="4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Jardiance </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453.0</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387.3</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676.2</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24</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Forteo</w:t>
            </w:r>
          </w:p>
        </w:tc>
        <w:tc>
          <w:tcPr>
            <w:tcW w:w="28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386.7</w:t>
            </w:r>
          </w:p>
        </w:tc>
        <w:tc>
          <w:tcPr>
            <w:tcW w:w="24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405.2</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791.9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1,044.4</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(24)</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Cyramza</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277.6</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470.8</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10</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Verzenio</w:t>
            </w:r>
          </w:p>
        </w:tc>
        <w:tc>
          <w:tcPr>
            <w:tcW w:w="28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430.0</w:t>
            </w:r>
          </w:p>
        </w:tc>
        <w:tc>
          <w:tcPr>
            <w:tcW w:w="24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631.1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400.6</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58</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Cymbalta</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30.5</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546.5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14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9</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Cialis</w:t>
            </w:r>
          </w:p>
        </w:tc>
        <w:tc>
          <w:tcPr>
            <w:tcW w:w="28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64.6</w:t>
            </w:r>
          </w:p>
        </w:tc>
        <w:tc>
          <w:tcPr>
            <w:tcW w:w="24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421.6</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486.2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692.7</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(30)</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Olumiant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39.0</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407.7</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49</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Erbitux</w:t>
            </w:r>
          </w:p>
        </w:tc>
        <w:tc>
          <w:tcPr>
            <w:tcW w:w="28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356.1</w:t>
            </w:r>
          </w:p>
        </w:tc>
        <w:tc>
          <w:tcPr>
            <w:tcW w:w="24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40.6</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396.7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406.4</w:t>
            </w:r>
          </w:p>
        </w:tc>
        <w:tc>
          <w:tcPr>
            <w:tcW w:w="1420" w:type="dxa"/>
            <w:vAlign w:val="bottom"/>
          </w:tcPr>
          <w:p>
            <w:pPr>
              <w:jc w:val="center"/>
              <w:ind w:left="31"/>
              <w:spacing w:after="0"/>
              <w:rPr>
                <w:sz w:val="20"/>
                <w:szCs w:val="20"/>
                <w:color w:val="auto"/>
              </w:rPr>
            </w:pPr>
            <w:r>
              <w:rPr>
                <w:rFonts w:ascii="Arial" w:cs="Arial" w:eastAsia="Arial" w:hAnsi="Arial"/>
                <w:sz w:val="18"/>
                <w:szCs w:val="18"/>
                <w:color w:val="auto"/>
                <w:w w:val="99"/>
              </w:rPr>
              <w:t>(2)</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Zyprexa</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41.5</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266.2</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4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(3)</w:t>
            </w:r>
          </w:p>
        </w:tc>
      </w:tr>
      <w:tr>
        <w:trPr>
          <w:trHeight w:val="230"/>
        </w:trPr>
        <w:tc>
          <w:tcPr>
            <w:tcW w:w="41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Trajenta </w:t>
            </w:r>
            <w:r>
              <w:rPr>
                <w:rFonts w:ascii="Arial" w:cs="Arial" w:eastAsia="Arial" w:hAnsi="Arial"/>
                <w:sz w:val="23"/>
                <w:szCs w:val="23"/>
                <w:color w:val="auto"/>
                <w:vertAlign w:val="superscript"/>
              </w:rPr>
              <w:t>(4)</w:t>
            </w:r>
          </w:p>
        </w:tc>
        <w:tc>
          <w:tcPr>
            <w:tcW w:w="28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64.5</w:t>
            </w:r>
          </w:p>
        </w:tc>
        <w:tc>
          <w:tcPr>
            <w:tcW w:w="24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197.2</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261.7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441.4</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(41)</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Emgality</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229.3</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23.6</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NM</w:t>
            </w:r>
          </w:p>
        </w:tc>
      </w:tr>
      <w:tr>
        <w:trPr>
          <w:trHeight w:val="229"/>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products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357.5</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780.4</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1,137.9</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1,365.6</w:t>
            </w:r>
          </w:p>
        </w:tc>
        <w:tc>
          <w:tcPr>
            <w:tcW w:w="1420" w:type="dxa"/>
            <w:vAlign w:val="bottom"/>
            <w:tcBorders>
              <w:bottom w:val="single" w:sz="8" w:color="CCEEFF"/>
            </w:tcBorders>
          </w:tcPr>
          <w:p>
            <w:pPr>
              <w:jc w:val="center"/>
              <w:ind w:left="51"/>
              <w:spacing w:after="0"/>
              <w:rPr>
                <w:sz w:val="20"/>
                <w:szCs w:val="20"/>
                <w:color w:val="auto"/>
              </w:rPr>
            </w:pPr>
            <w:r>
              <w:rPr>
                <w:rFonts w:ascii="Arial" w:cs="Arial" w:eastAsia="Arial" w:hAnsi="Arial"/>
                <w:sz w:val="18"/>
                <w:szCs w:val="18"/>
                <w:color w:val="auto"/>
                <w:w w:val="99"/>
              </w:rPr>
              <w:t>(17)</w:t>
            </w:r>
          </w:p>
        </w:tc>
      </w:tr>
      <w:tr>
        <w:trPr>
          <w:trHeight w:val="230"/>
        </w:trPr>
        <w:tc>
          <w:tcPr>
            <w:tcW w:w="4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9,631.4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7,468.5</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17,099.8</w:t>
            </w: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16,205.5</w:t>
            </w:r>
          </w:p>
        </w:tc>
        <w:tc>
          <w:tcPr>
            <w:tcW w:w="1420" w:type="dxa"/>
            <w:vAlign w:val="bottom"/>
            <w:tcBorders>
              <w:bottom w:val="single" w:sz="8" w:color="CCEEFF"/>
            </w:tcBorders>
            <w:shd w:val="clear" w:color="auto" w:fill="CCEEFF"/>
          </w:tcPr>
          <w:p>
            <w:pPr>
              <w:jc w:val="center"/>
              <w:ind w:left="31"/>
              <w:spacing w:after="0"/>
              <w:rPr>
                <w:sz w:val="20"/>
                <w:szCs w:val="20"/>
                <w:color w:val="auto"/>
              </w:rPr>
            </w:pPr>
            <w:r>
              <w:rPr>
                <w:rFonts w:ascii="Arial" w:cs="Arial" w:eastAsia="Arial" w:hAnsi="Arial"/>
                <w:sz w:val="18"/>
                <w:szCs w:val="18"/>
                <w:color w:val="auto"/>
                <w:w w:val="99"/>
              </w:rPr>
              <w:t>6</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55" w:lineRule="exact"/>
        <w:rPr>
          <w:sz w:val="20"/>
          <w:szCs w:val="20"/>
          <w:color w:val="auto"/>
        </w:rPr>
      </w:pPr>
    </w:p>
    <w:p>
      <w:pPr>
        <w:ind w:left="140" w:hanging="132"/>
        <w:spacing w:after="0"/>
        <w:tabs>
          <w:tab w:leader="none" w:pos="140" w:val="left"/>
        </w:tabs>
        <w:numPr>
          <w:ilvl w:val="0"/>
          <w:numId w:val="25"/>
        </w:numPr>
        <w:rPr>
          <w:rFonts w:ascii="Arial" w:cs="Arial" w:eastAsia="Arial" w:hAnsi="Arial"/>
          <w:sz w:val="16"/>
          <w:szCs w:val="16"/>
          <w:color w:val="auto"/>
          <w:vertAlign w:val="superscript"/>
        </w:rPr>
      </w:pPr>
      <w:r>
        <w:rPr>
          <w:rFonts w:ascii="Arial" w:cs="Arial" w:eastAsia="Arial" w:hAnsi="Arial"/>
          <w:sz w:val="12"/>
          <w:szCs w:val="12"/>
          <w:color w:val="auto"/>
        </w:rPr>
        <w:t>U.S. revenue includes revenue in Puerto Rico.</w:t>
      </w:r>
    </w:p>
    <w:p>
      <w:pPr>
        <w:spacing w:after="0" w:line="50" w:lineRule="exact"/>
        <w:rPr>
          <w:rFonts w:ascii="Arial" w:cs="Arial" w:eastAsia="Arial" w:hAnsi="Arial"/>
          <w:sz w:val="16"/>
          <w:szCs w:val="16"/>
          <w:color w:val="auto"/>
          <w:vertAlign w:val="superscript"/>
        </w:rPr>
      </w:pPr>
    </w:p>
    <w:p>
      <w:pPr>
        <w:ind w:left="140" w:hanging="132"/>
        <w:spacing w:after="0" w:line="229" w:lineRule="auto"/>
        <w:tabs>
          <w:tab w:leader="none" w:pos="140" w:val="left"/>
        </w:tabs>
        <w:numPr>
          <w:ilvl w:val="0"/>
          <w:numId w:val="25"/>
        </w:numPr>
        <w:rPr>
          <w:rFonts w:ascii="Arial" w:cs="Arial" w:eastAsia="Arial" w:hAnsi="Arial"/>
          <w:sz w:val="16"/>
          <w:szCs w:val="16"/>
          <w:color w:val="auto"/>
          <w:vertAlign w:val="superscript"/>
        </w:rPr>
      </w:pPr>
      <w:r>
        <w:rPr>
          <w:rFonts w:ascii="Arial" w:cs="Arial" w:eastAsia="Arial" w:hAnsi="Arial"/>
          <w:sz w:val="12"/>
          <w:szCs w:val="12"/>
          <w:color w:val="auto"/>
        </w:rPr>
        <w:t>Humalog revenue includes insulin lispro.</w:t>
      </w:r>
    </w:p>
    <w:p>
      <w:pPr>
        <w:spacing w:after="0" w:line="40" w:lineRule="exact"/>
        <w:rPr>
          <w:rFonts w:ascii="Arial" w:cs="Arial" w:eastAsia="Arial" w:hAnsi="Arial"/>
          <w:sz w:val="16"/>
          <w:szCs w:val="16"/>
          <w:color w:val="auto"/>
          <w:vertAlign w:val="superscript"/>
        </w:rPr>
      </w:pPr>
    </w:p>
    <w:p>
      <w:pPr>
        <w:ind w:left="140" w:hanging="132"/>
        <w:spacing w:after="0" w:line="229" w:lineRule="auto"/>
        <w:tabs>
          <w:tab w:leader="none" w:pos="140" w:val="left"/>
        </w:tabs>
        <w:numPr>
          <w:ilvl w:val="0"/>
          <w:numId w:val="25"/>
        </w:numPr>
        <w:rPr>
          <w:rFonts w:ascii="Arial" w:cs="Arial" w:eastAsia="Arial" w:hAnsi="Arial"/>
          <w:sz w:val="16"/>
          <w:szCs w:val="16"/>
          <w:color w:val="auto"/>
          <w:vertAlign w:val="superscript"/>
        </w:rPr>
      </w:pPr>
      <w:r>
        <w:rPr>
          <w:rFonts w:ascii="Arial" w:cs="Arial" w:eastAsia="Arial" w:hAnsi="Arial"/>
          <w:sz w:val="12"/>
          <w:szCs w:val="12"/>
          <w:color w:val="auto"/>
        </w:rPr>
        <w:t>Jardiance revenue includes Glyxambi, Synjardy, and Trijardy XR.</w:t>
      </w:r>
    </w:p>
    <w:p>
      <w:pPr>
        <w:spacing w:after="0" w:line="40" w:lineRule="exact"/>
        <w:rPr>
          <w:rFonts w:ascii="Arial" w:cs="Arial" w:eastAsia="Arial" w:hAnsi="Arial"/>
          <w:sz w:val="16"/>
          <w:szCs w:val="16"/>
          <w:color w:val="auto"/>
          <w:vertAlign w:val="superscript"/>
        </w:rPr>
      </w:pPr>
    </w:p>
    <w:p>
      <w:pPr>
        <w:ind w:left="140" w:hanging="132"/>
        <w:spacing w:after="0" w:line="229" w:lineRule="auto"/>
        <w:tabs>
          <w:tab w:leader="none" w:pos="140" w:val="left"/>
        </w:tabs>
        <w:numPr>
          <w:ilvl w:val="0"/>
          <w:numId w:val="25"/>
        </w:numPr>
        <w:rPr>
          <w:rFonts w:ascii="Arial" w:cs="Arial" w:eastAsia="Arial" w:hAnsi="Arial"/>
          <w:sz w:val="16"/>
          <w:szCs w:val="16"/>
          <w:color w:val="auto"/>
          <w:vertAlign w:val="superscript"/>
        </w:rPr>
      </w:pPr>
      <w:r>
        <w:rPr>
          <w:rFonts w:ascii="Arial" w:cs="Arial" w:eastAsia="Arial" w:hAnsi="Arial"/>
          <w:sz w:val="12"/>
          <w:szCs w:val="12"/>
          <w:color w:val="auto"/>
        </w:rPr>
        <w:t>Trajenta revenue includes Jentadueto.</w:t>
      </w:r>
    </w:p>
    <w:p>
      <w:pPr>
        <w:spacing w:after="0" w:line="6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Revenue of Trulicity, a treatment for type 2 diabetes and to reduce the risk of major adverse cardiovascular events in adult patients with type 2 diabetes and established cardiovascular disease, increased 5 percent and 21 percent in the U.S. during the three and nine months ended September 30, 2020, respectively, driven by increased demand, partially offset by lower realized prices. Trulicity's lower realized prices in the U.S. during the three months ended September 30, 2020 were primarily due to changes to estimates for rebates and discounts, higher contracted rebates and changes to segment mix, partially offset by modest list price increases. Trulicity's lower realized prices in the U.S. during the nine months ended September 30, 2020 were primarily due to changes to segment mix and higher contracted rebates, partially offset by modest list price increases. Revenue outside the U.S. increased 23 percent and 26 percent during the three and nine months ended September 30, 2020, respectively, driven primarily by increased volume, partially offset by lower realized prices.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4" w:right="359" w:bottom="1440" w:gutter="0" w:footer="0" w:header="0"/>
        </w:sectPr>
      </w:pPr>
    </w:p>
    <w:bookmarkStart w:id="46" w:name="page47"/>
    <w:bookmarkEnd w:id="46"/>
    <w:p>
      <w:pPr>
        <w:spacing w:after="0" w:line="254" w:lineRule="auto"/>
        <w:rPr>
          <w:sz w:val="20"/>
          <w:szCs w:val="20"/>
          <w:color w:val="auto"/>
        </w:rPr>
      </w:pPr>
      <w:r>
        <w:rPr>
          <w:rFonts w:ascii="Arial" w:cs="Arial" w:eastAsia="Arial" w:hAnsi="Arial"/>
          <w:sz w:val="18"/>
          <w:szCs w:val="18"/>
          <w:color w:val="auto"/>
        </w:rPr>
        <w:t>Revenue of Humalog, an injectable human insulin analog for the treatment of diabetes, increased 10 percent in the U.S. during the three months ended September 30, 2020, driven primarily by higher demand. Revenue decreased 11 percent in the U.S. during the nine months ended September 30, 2020, driven by lower realized prices due to changes in estimates for rebates and discounts, reflecting both a favorable adjustment in the Medicaid segment in the second quarter of 2019 and an unfavorable adjustment in the commercial segment in the second quarter of 2020, partially offset by an increase in demand. Revenue outside the U.S. decreased 9 percent during the three months ended September 30, 2020, primarily driven by decreased volume. Revenue outside the U.S. decreased 2 percent during the nine months ended September 30, 2020, driven primarily by the unfavorable impact of foreign exchange rates. Included in the revenue of Humalog in the U.S. are our own insulin lispro authorized generics, which began launching in the second quarter of 2019 in order to lower out-of-pocket costs for patients. While it is difficult to estimate the severity of the impact of similar insulin lispro products entering the market, we do not expect and have not experienced a rapid and severe decline in revenue. Due to the impact of competition and due to pricing pressure in the U.S. and some international markets, we expect some price decline and loss of market share to continue over time.</w:t>
      </w:r>
    </w:p>
    <w:p>
      <w:pPr>
        <w:spacing w:after="0" w:line="74"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Revenue of Alimta, a treatment for various cancers, increased 3 percent in the U.S. during the three months ended September 30, 2020, driven by increased volume and, to a lesser extent, higher realized prices. Revenue increased 3 percent in the U.S. during the nine months ended September 30, 2020, primarily driven by higher realized prices. Revenue outside the U.S. increased 27 percent and 9 percent during the three and nine months ended September 30, 2020, respectively, primarily driven by increased volume in Germany and China, partially offset by lower realized prices. We have faced and remain exposed to generic entry in multiple countries, which has eroded revenue and is likely to continue to erode revenue in those countries from current levels.</w:t>
      </w:r>
    </w:p>
    <w:p>
      <w:pPr>
        <w:spacing w:after="0" w:line="69"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Revenue of Taltz, a treatment for moderate-to-severe plaque psoriasis, active psoriatic arthritis, ankylosing spondylitis, and active non-radiographic axial spondyloarthritis, increased 30 percent and 35 percent in the U.S. during the three and nine months ended September 30, 2020, respectively, driven by increased demand and, to a lesser extent, higher realized prices. Revenue outside the U.S. increased 44 percent during the three months ended September 30, 2020, primarily driven by increased volume. Revenue outside the U.S. increased 42 percent during the nine months ended September 30, 2020, driven primarily by increased volume, partially offset by lower realized prices.</w:t>
      </w:r>
    </w:p>
    <w:p>
      <w:pPr>
        <w:spacing w:after="0" w:line="6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Revenue of Humulin, an injectable human insulin for the treatment of diabetes, decreased 2 percent in the U.S. during the three months ended September 30, 2020, driven by lower realized prices and lower volume. Revenue remained essentially flat in the U.S. during the nine months ended September 30, 2020, as increased volume was largely offset by lower realized prices. Revenue outside the U.S. decreased 11 percent driven primarily by decreased volume, partially offset by higher realized prices. Revenue outside the U.S. decreased 3 percent during the nine months ended September 30, 2020, due to the unfavorable impact of foreign exchange rates and decreased volume, partially offset by higher realized prices.</w:t>
      </w:r>
    </w:p>
    <w:p>
      <w:pPr>
        <w:spacing w:after="0" w:line="6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Revenue of Basaglar, a long-acting human insulin analog for the treatment of diabetes, decreased 12 percent in the U.S. during the three months ended September 30, 2020, driven by lower realized prices and, to a lesser extent, decreased demand caused by competitive pressures. Revenue in the U.S. increased 1 percent during nine months ended September 30, 2020, primarily driven by increased demand, partially offset by lower realized prices. Revenue outside the U.S. increased 15 percent and 18 percent during the three and nine months ended September 30, 2020, respectively, driven by increased volume, partially offset by lower realized prices. See Note 4 to the consolidated condensed financial statements for information regarding our collaboration with Boehringer Ingelheim involving Basaglar.</w:t>
      </w:r>
    </w:p>
    <w:p>
      <w:pPr>
        <w:spacing w:after="0" w:line="69"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Revenue of Jardiance, a treatment for type 2 diabetes and to reduce the risk of cardiovascular death in adult patients with type 2 diabetes and established cardiovascular disease, increased 16 percent and 11 percent in the U.S. during the three and nine months ended September 30, 2020, respectively, driven by increased demand. Revenue outside the U.S. increased 47 percent and 45 percent during the three and nine months ended September 30, 2020, respectively, driven by increased volume and, to a lesser extent, the favorable impact of foreign exchange rates. See Note 4 to the consolidated condensed financial statements for information regarding our collaboration with Boehringer Ingelheim involving Jardiance.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47" w:name="page48"/>
    <w:bookmarkEnd w:id="47"/>
    <w:p>
      <w:pPr>
        <w:spacing w:after="0" w:line="256" w:lineRule="auto"/>
        <w:rPr>
          <w:sz w:val="20"/>
          <w:szCs w:val="20"/>
          <w:color w:val="auto"/>
        </w:rPr>
      </w:pPr>
      <w:r>
        <w:rPr>
          <w:rFonts w:ascii="Arial" w:cs="Arial" w:eastAsia="Arial" w:hAnsi="Arial"/>
          <w:sz w:val="18"/>
          <w:szCs w:val="18"/>
          <w:color w:val="auto"/>
        </w:rPr>
        <w:t>Revenue of Forteo, an injectable treatment for osteoporosis in postmenopausal women and men at high risk for fracture and for glucocorticoid-induced osteoporosis in men and postmenopausal women, decreased 17 percent in the U.S. during the three months ended September 30, 2020, driven by lower demand, partially offset by higher realized prices. Revenue in the U.S. decreased 18 percent in the U.S. during the nine months ended September 30, 2020, driven primarily by lower demand. Revenue outside the U.S. decreased 37 percent and 29 percent during the three and nine months ended September 30, 2020, respectively, primarily driven by decreased volume and lower realized prices. We expect further volume decline as a result of the anticipated entry of generic and biosimilar competition following the loss of patent exclusivity in the third quarter of 2019 in the U.S., Japan, and major European markets. See "Executive Overview - Other Matters - Patent Matters" for more information.</w:t>
      </w:r>
    </w:p>
    <w:p>
      <w:pPr>
        <w:spacing w:after="0" w:line="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Revenue of Cyramza, a treatment for various cancers, increased 14 percent and 12 percent in the U.S. during the three and nine months ended September 30, 2020, respectively, driven by increased demand and higher realized prices. Revenue outside the U.S. was relatively flat for the three months ended September 30, 2020. Revenue outside the U.S. for the nine months ended September 30, 2020 increased 9 percent, driven by increased volume, partially offset by lower realized prices.</w:t>
      </w:r>
    </w:p>
    <w:p>
      <w:pPr>
        <w:spacing w:after="0" w:line="6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Revenue of Verzenio, a treatment for a certain type of metastatic breast cancer, increased 27 percent and 33 percent in the U.S. during the three and nine months ended September 30, 2020, respectively, driven by increased demand, and, to a lesser extent, higher realized prices. Revenue outside the U.S. increased $43.1 million and $124.0 million during the three and nine months ended September 30, 2020, respectively, primarily driven by increased volume.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94" w:right="41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25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Gross margin as a percent of revenue decreased 1.6 percentage points to 76.9 percent and 0.8 percentage points to 78.0 percent for the three and nine months ended September 30, 2020, respectively. The decrease in gross margin percent for the three months ended September 30, 2020 was primarily due to the unfavorable effect of foreign exchange rates on international inventories sold, higher intangibles amortization expense related to the launch of Retevmo in the second quarter of 2020, and lower realized prices on revenue, partially offset by greater manufacturing efficiencies and favorable product mix. The decrease for the nine months ended September 30, 2020 was primarily due to lower realized prices on revenue, the unfavorable effect of foreign exchange rates on international inventories sold, and higher intangibles amortization expense related to Retevmo, partially offset by favorable product mix, the charges in 2019 resulting from the withdrawal of Lartruvo</w:t>
      </w:r>
      <w:r>
        <w:rPr>
          <w:rFonts w:ascii="Arial" w:cs="Arial" w:eastAsia="Arial" w:hAnsi="Arial"/>
          <w:sz w:val="23"/>
          <w:szCs w:val="23"/>
          <w:color w:val="auto"/>
          <w:vertAlign w:val="superscript"/>
        </w:rPr>
        <w:t>®</w:t>
      </w:r>
      <w:r>
        <w:rPr>
          <w:rFonts w:ascii="Arial" w:cs="Arial" w:eastAsia="Arial" w:hAnsi="Arial"/>
          <w:sz w:val="18"/>
          <w:szCs w:val="18"/>
          <w:color w:val="auto"/>
        </w:rPr>
        <w:t>, and greater manufacturing efficiencies.</w:t>
      </w:r>
    </w:p>
    <w:p>
      <w:pPr>
        <w:spacing w:after="0" w:line="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Research and development expenses increased 6 percent to $1.47 billion and to $4.25 billion for the three and nine months ended September 30, 2020, respectively. The increase in research and development expenses for the three and nine months ended September 30, 2020 was driven primarily by approximately $125 million of higher development expenses for COVID-19 antibody therapies and baricitinib in the third quarter of 2020. In addition, the increase in research and development expenses for the three months ended September 30, 2020 was partially offset by lower development expenses for late-stage assets.</w:t>
      </w:r>
    </w:p>
    <w:p>
      <w:pPr>
        <w:spacing w:after="0" w:line="6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Marketing, selling, and administrative expenses increased 11 percent to $1.57 billion and 1 percent to $ 4.57 billion for the three and nine months ended September 30, 2020, respectively. The increase in marketing, selling, and administrative expenses for the three months ended September 30, 2020, was primarily due to higher marketing expense, reflecting increased promotion to physicians and consumers in connection with increases in healthcare utilization around the world.</w:t>
      </w:r>
    </w:p>
    <w:p>
      <w:pPr>
        <w:spacing w:after="0" w:line="6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We recognized $294.1 million of acquired IPR&amp;D charges for the nine months ended September 30, 2020. The charges for the nine months ended September 30, 2020 were related to the acquisition of a pre-clinical stage company as well as collaborations with Sitryx, AbCellera, Evox Therapeutics Ltd and Junshi Biosciences. We recognized $77.7 million and $239.6 million of acquired IPR&amp;D charges for the three and nine months ended September 30, 2019, respectively. The charge for the three months ended September 30, 2019 related to the collaborations with Centrexion and AC Immune. The nine months ended September 30, 2019 also included charges related to the collaborations with ImmuNext and Avidity. See Note 3 to the consolidated condensed financial statements for additional information.</w:t>
      </w:r>
    </w:p>
    <w:p>
      <w:pPr>
        <w:spacing w:after="0" w:line="6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recognized asset impairment, restructuring, and other special charges of $101.4 million and $161.3 million for the three and nine months ended September 30, 2020, respectively. The charges for the three months ended September 30, 2020 primarily related to severance costs incurred as a result of actions taken worldwide to reduce our cost structure. The charges for the nine months ended September 30, 2020 also included acquisition and integration costs as part of the closing of the acquisition of Dermira. We recognized asset impairment, restructuring, and other special charges of $423.9 million during the nine months ended September 30, 2019, which included $400.7 million related to the acquisition of Loxo, substantially all of which was associated with the accelerated vesting of Loxo employee equity awards.</w:t>
      </w:r>
    </w:p>
    <w:p>
      <w:pPr>
        <w:spacing w:after="0" w:line="69"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Other–net, (income) expense was income of $ 158.9 million and $ 694.9 million for the three and nine months ended September 30, 2020, respectively, compared with expense of $24.9 million and income of $28.7 million for the three and nine months ended September 30, 2019, respectively. The increase in other income was driven by higher net gains on investment securities.</w:t>
      </w:r>
    </w:p>
    <w:p>
      <w:pPr>
        <w:spacing w:after="0" w:line="55"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effective tax rate was 15.9 percent for the three months ended September 30, 2020, compared with 10.8 percent for the three months ended September 30, 2019. The effective tax rate was 14.4 percent for the nine months ended September 30, 2020, compared with 12.8 percent for the nine months ended September 30, 2019. The higher effective tax rates for the three and nine months ended September 30, 2020 were driven primarily by a mix of earnings in higher tax jurisdictions and a lower net discrete tax benefit compared to the same period in 2019.</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173"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Cash and cash equivalents increased to $3.60 billion as of September 30, 2020, compared with $2.34 billion as of December 31, 2019. Net cash provided by operating activities for the nine months ended September 30, 2019 included approximately $360 million of cash paid to settle the accelerated vesting of Loxo employee equity awards (see Note 6 to the consolidated condensed financial statements). Refer to the consolidated condensed statements of cash flows for additional information on the significant sources and uses of cash for the nine months ended September 30, 2020 and 2019.</w:t>
      </w:r>
    </w:p>
    <w:p>
      <w:pPr>
        <w:spacing w:after="0" w:line="67" w:lineRule="exact"/>
        <w:rPr>
          <w:sz w:val="20"/>
          <w:szCs w:val="20"/>
          <w:color w:val="auto"/>
        </w:rPr>
      </w:pPr>
    </w:p>
    <w:p>
      <w:pPr>
        <w:ind w:right="540"/>
        <w:spacing w:after="0" w:line="292" w:lineRule="auto"/>
        <w:rPr>
          <w:sz w:val="20"/>
          <w:szCs w:val="20"/>
          <w:color w:val="auto"/>
        </w:rPr>
      </w:pPr>
      <w:r>
        <w:rPr>
          <w:rFonts w:ascii="Arial" w:cs="Arial" w:eastAsia="Arial" w:hAnsi="Arial"/>
          <w:sz w:val="18"/>
          <w:szCs w:val="18"/>
          <w:color w:val="auto"/>
        </w:rPr>
        <w:t>In addition to our cash and cash equivalents, we held total investments of $2.51 billion and $2.06 billion as of September 30, 2020 and December 31, 2019, respectively. See Note 7 to the consolidated condensed financial statements for additional information.</w:t>
      </w:r>
    </w:p>
    <w:p>
      <w:pPr>
        <w:spacing w:after="0" w:line="36"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Total debt increased to $16.92 billion as of September 30, 2020, compared with $15.32 billion as of December 31, 2019. The increase primarily related to the net proceeds from the issuance of $ 1.00 billion of 2.25 percent fixed-rate notes in May 2020, as well as the net proceeds from the issuance of an additional $ 250.0 million of 2.25 percent fixed-rate notes and the issuance of $850.0 million of 2.50 percent fixed-rate notes in August 2020. We used the net proceeds from the sale of these notes for general corporate purposes, which included the repayment of outstanding commercial paper used to fund a portion of the purchase price for our acquisition of Dermira. See Note 7 to the consolidated condensed financial statements for additional information.</w:t>
      </w:r>
    </w:p>
    <w:p>
      <w:pPr>
        <w:spacing w:after="0" w:line="69"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As of September 30, 2020, we had a total of $5.21 billion of committed bank credit facilities, $ 5.00 billion of which is available to support our commercial paper program. We believe that amounts accessible through existing commercial paper markets should be adequate to fund short-term borrowing needs.</w:t>
      </w:r>
    </w:p>
    <w:p>
      <w:pPr>
        <w:spacing w:after="0" w:line="55" w:lineRule="exact"/>
        <w:rPr>
          <w:sz w:val="20"/>
          <w:szCs w:val="20"/>
          <w:color w:val="auto"/>
        </w:rPr>
      </w:pPr>
    </w:p>
    <w:p>
      <w:pPr>
        <w:ind w:right="500"/>
        <w:spacing w:after="0" w:line="292" w:lineRule="auto"/>
        <w:rPr>
          <w:sz w:val="20"/>
          <w:szCs w:val="20"/>
          <w:color w:val="auto"/>
        </w:rPr>
      </w:pPr>
      <w:r>
        <w:rPr>
          <w:rFonts w:ascii="Arial" w:cs="Arial" w:eastAsia="Arial" w:hAnsi="Arial"/>
          <w:sz w:val="18"/>
          <w:szCs w:val="18"/>
          <w:color w:val="auto"/>
        </w:rPr>
        <w:t>During the nine months ended September 30, 2020, we repurchased $500.0 million of shares under our $8.00 billion share repurchase program authorized in June 2018. As of September 30, 2020, we had $1.00 billion remaining under this program.</w:t>
      </w:r>
    </w:p>
    <w:p>
      <w:pPr>
        <w:spacing w:after="0" w:line="36"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We believe that cash generated from operations, along with available cash and cash equivalents, will be sufficient to fund our normal operating needs, including installment payments of the one-time repatriation transition tax under the U.S. Tax Cuts and Jobs Act of 2017 (also known as the Toll Tax), dividends paid to shareholders, share repurchases under our share repurchase program, and capital expenditures.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See "Executive Overview - Other Matters - Patent Matters" for information regarding recent and upcoming losses of patent protection.</w:t>
      </w:r>
    </w:p>
    <w:p>
      <w:pPr>
        <w:spacing w:after="0" w:line="11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Both domestically and abroad, we continue to monitor the potential impacts of the economic environment; the creditworthiness of our wholesalers and other customers, including foreign government-backed agencies and suppliers; the uncertain impact of health care legislation; various international government funding levels; and changes in foreign currency exchange rates (see "Executive Overview - Other Matters -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4"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auto"/>
        </w:rPr>
        <w:t>Financial Expectations</w:t>
      </w:r>
    </w:p>
    <w:p>
      <w:pPr>
        <w:spacing w:after="0" w:line="173"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We have updated certain elements of our 2020 financial guidance to reflect management's current expectations for underlying business performance.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for 2020 are now expected to be in the range of $6.20 to $6.40.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Key management assumptions related to the COVID-19 pandemic that support our 2020 guidance include:</w:t>
      </w:r>
    </w:p>
    <w:p>
      <w:pPr>
        <w:spacing w:after="0" w:line="117" w:lineRule="exact"/>
        <w:rPr>
          <w:sz w:val="20"/>
          <w:szCs w:val="20"/>
          <w:color w:val="auto"/>
        </w:rPr>
      </w:pPr>
    </w:p>
    <w:p>
      <w:pPr>
        <w:ind w:left="660" w:right="420" w:hanging="328"/>
        <w:spacing w:after="0" w:line="292"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Healthcare activity will continue the positive trends seen in the third quarter of 2020, returning to historical levels as health care providers utilize telehealth or in-person visits to see patients despite additional COVID-19 outbreaks;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New patient prescriptions will continue to improve in the U.S.;</w:t>
      </w:r>
    </w:p>
    <w:p>
      <w:pPr>
        <w:spacing w:after="0" w:line="117" w:lineRule="exact"/>
        <w:rPr>
          <w:rFonts w:ascii="Arial" w:cs="Arial" w:eastAsia="Arial" w:hAnsi="Arial"/>
          <w:sz w:val="18"/>
          <w:szCs w:val="18"/>
          <w:color w:val="auto"/>
        </w:rPr>
      </w:pPr>
    </w:p>
    <w:p>
      <w:pPr>
        <w:ind w:left="660" w:right="300" w:hanging="328"/>
        <w:spacing w:after="0" w:line="292"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Pricing headwinds from increased utilization of patient affordability programs and changes in segment mix due to increased U.S. unemployment will continue to be modest; and</w:t>
      </w:r>
    </w:p>
    <w:p>
      <w:pPr>
        <w:spacing w:after="0" w:line="36" w:lineRule="exact"/>
        <w:rPr>
          <w:rFonts w:ascii="Arial" w:cs="Arial" w:eastAsia="Arial" w:hAnsi="Arial"/>
          <w:sz w:val="18"/>
          <w:szCs w:val="18"/>
          <w:color w:val="auto"/>
        </w:rPr>
      </w:pPr>
    </w:p>
    <w:p>
      <w:pPr>
        <w:ind w:left="660" w:right="40" w:hanging="328"/>
        <w:spacing w:after="0" w:line="292"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Promotional spend will constitute a mix of in-person customer interactions, direct-to-consumer advertising and investments in digital promotion.</w:t>
      </w:r>
    </w:p>
    <w:p>
      <w:pPr>
        <w:spacing w:after="0" w:line="3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still expect 2020 revenue between $23.7 billion and $24.2 billion. Achieving the higher end of the range would likely require the inclusion of moderate revenue from potential COVID-19 treatments, which is possible but not certain at this point. Revenue growth is still expected to be driven by volume from Trulicity, Taltz, Basaglar, Jardiance, Verzenio, Cyramza, Olumiant, Emgality, Baqsimi, Tyvyt, and Retevmo.</w:t>
      </w:r>
    </w:p>
    <w:p>
      <w:pPr>
        <w:spacing w:after="0" w:line="2" w:lineRule="exact"/>
        <w:rPr>
          <w:sz w:val="20"/>
          <w:szCs w:val="20"/>
          <w:color w:val="auto"/>
        </w:rPr>
      </w:pPr>
    </w:p>
    <w:p>
      <w:pPr>
        <w:ind w:right="340"/>
        <w:spacing w:after="0" w:line="280" w:lineRule="auto"/>
        <w:rPr>
          <w:sz w:val="20"/>
          <w:szCs w:val="20"/>
          <w:color w:val="auto"/>
        </w:rPr>
      </w:pPr>
      <w:r>
        <w:rPr>
          <w:rFonts w:ascii="Arial" w:cs="Arial" w:eastAsia="Arial" w:hAnsi="Arial"/>
          <w:sz w:val="17"/>
          <w:szCs w:val="17"/>
          <w:color w:val="auto"/>
        </w:rPr>
        <w:t>Revenue growth is expected to be partially offset by lower revenue for products that have lost patent exclusivity. Revenue growth is also expected to be partially offset by a mid-single digit net price decline in the U.S. (driven primarily by rebates and legislated increases to Medicare Part D cost sharing, and patient affordability programs), as well as net price declines in China, Japan and Europe.</w:t>
      </w:r>
    </w:p>
    <w:p>
      <w:pPr>
        <w:spacing w:after="0" w:line="5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Gross margin as a percent of revenue is still expected to be approximately 78 percent. Marketing, selling, and administrative expenses are now expected to be in the range of $6.0 billion to $6.1 billion, reflecting additional savings from reduced travel, meetings, and promotional activities. Research and development expenses are now expected to be in the range of $5.8 billion to $5.9 billion, with current expectations trending towards the higher end of the range, reflecting additional COVID-19 investments. We anticipate our full-year 2020 COVID-19 research and development expenses to be approximately $400 million. Other—net, (income) expense is now expected to be in the range of $450 million to $600 million of income, reflecting additional gains on investment securities in the third quarter of 2020.</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2020 effective tax rate is still expected to be approximately 14 percent.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 on our Website</w:t>
      </w:r>
    </w:p>
    <w:p>
      <w:pPr>
        <w:spacing w:after="0" w:line="17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make available through our company website, free of charge, our company filings with the Securities and Exchange Commission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spacing w:after="0" w:line="59"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color w:val="auto"/>
        </w:rPr>
        <w:t xml:space="preserve">The website link to our SEC filings is </w:t>
      </w:r>
      <w:r>
        <w:rPr>
          <w:rFonts w:ascii="Arial" w:cs="Arial" w:eastAsia="Arial" w:hAnsi="Arial"/>
          <w:sz w:val="18"/>
          <w:szCs w:val="18"/>
          <w:b w:val="1"/>
          <w:bCs w:val="1"/>
          <w:color w:val="auto"/>
        </w:rPr>
        <w:t>http://investor.lilly.com/sec.cfm</w:t>
      </w:r>
      <w:r>
        <w:rPr>
          <w:rFonts w:ascii="Arial" w:cs="Arial" w:eastAsia="Arial" w:hAnsi="Arial"/>
          <w:sz w:val="18"/>
          <w:szCs w:val="18"/>
          <w:color w:val="auto"/>
        </w:rPr>
        <w:t>. The information contained in, or that can be accessed through, our website is not a part of, or incorporated by reference in, this quarterly report.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84" w:right="4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71" w:lineRule="exact"/>
        <w:rPr>
          <w:sz w:val="20"/>
          <w:szCs w:val="20"/>
          <w:color w:val="auto"/>
        </w:rPr>
      </w:pPr>
    </w:p>
    <w:p>
      <w:pPr>
        <w:ind w:left="660" w:hanging="652"/>
        <w:spacing w:after="0" w:line="260" w:lineRule="auto"/>
        <w:tabs>
          <w:tab w:leader="none" w:pos="65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Under applicable SEC regulations, management of a reporting company,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Form 10-Q) is recorded, processed, summarized, and reported on a timely basis.</w:t>
      </w:r>
    </w:p>
    <w:p>
      <w:pPr>
        <w:spacing w:after="0" w:line="66" w:lineRule="exact"/>
        <w:rPr>
          <w:rFonts w:ascii="Arial" w:cs="Arial" w:eastAsia="Arial" w:hAnsi="Arial"/>
          <w:sz w:val="18"/>
          <w:szCs w:val="18"/>
          <w:color w:val="auto"/>
        </w:rPr>
      </w:pPr>
    </w:p>
    <w:p>
      <w:pPr>
        <w:jc w:val="both"/>
        <w:ind w:left="660" w:right="240"/>
        <w:spacing w:after="0" w:line="271" w:lineRule="auto"/>
        <w:rPr>
          <w:rFonts w:ascii="Arial" w:cs="Arial" w:eastAsia="Arial" w:hAnsi="Arial"/>
          <w:sz w:val="18"/>
          <w:szCs w:val="18"/>
          <w:color w:val="auto"/>
        </w:rPr>
      </w:pPr>
      <w:r>
        <w:rPr>
          <w:rFonts w:ascii="Arial" w:cs="Arial" w:eastAsia="Arial" w:hAnsi="Arial"/>
          <w:sz w:val="18"/>
          <w:szCs w:val="18"/>
          <w:color w:val="auto"/>
        </w:rPr>
        <w:t>Our management, with the participation of David A. Ricks, chairman, president, and chief executive officer, and Joshua L. Smiley, senior vice president and chief financial officer, evaluated our disclosure controls and procedures as of September 30, 2020, and concluded that they were effective.</w:t>
      </w:r>
    </w:p>
    <w:p>
      <w:pPr>
        <w:spacing w:after="0" w:line="54" w:lineRule="exact"/>
        <w:rPr>
          <w:rFonts w:ascii="Arial" w:cs="Arial" w:eastAsia="Arial" w:hAnsi="Arial"/>
          <w:sz w:val="18"/>
          <w:szCs w:val="18"/>
          <w:color w:val="auto"/>
        </w:rPr>
      </w:pPr>
    </w:p>
    <w:p>
      <w:pPr>
        <w:ind w:left="660" w:right="100" w:hanging="652"/>
        <w:spacing w:after="0" w:line="292" w:lineRule="auto"/>
        <w:tabs>
          <w:tab w:leader="none" w:pos="65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Changes in Internal Controls</w:t>
      </w:r>
      <w:r>
        <w:rPr>
          <w:rFonts w:ascii="Arial" w:cs="Arial" w:eastAsia="Arial" w:hAnsi="Arial"/>
          <w:sz w:val="18"/>
          <w:szCs w:val="18"/>
          <w:color w:val="auto"/>
        </w:rPr>
        <w:t>. During the third quarter of 2020, there were no changes in our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86" w:right="419" w:bottom="1440" w:gutter="0" w:footer="0" w:header="0"/>
        </w:sectPr>
      </w:pPr>
    </w:p>
    <w:bookmarkStart w:id="52" w:name="page53"/>
    <w:bookmarkEnd w:id="52"/>
    <w:p>
      <w:pPr>
        <w:spacing w:after="0"/>
        <w:rPr>
          <w:sz w:val="20"/>
          <w:szCs w:val="20"/>
          <w:color w:val="auto"/>
        </w:rPr>
      </w:pPr>
      <w:r>
        <w:rPr>
          <w:rFonts w:ascii="Arial" w:cs="Arial" w:eastAsia="Arial" w:hAnsi="Arial"/>
          <w:sz w:val="29"/>
          <w:szCs w:val="29"/>
          <w:u w:val="single" w:color="auto"/>
          <w:color w:val="auto"/>
        </w:rPr>
        <w:t>PART II.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See Note 10 to the consolidated condensed financial statements for information on various legal proceedings, including but not limited to:</w:t>
      </w:r>
    </w:p>
    <w:p>
      <w:pPr>
        <w:spacing w:after="0" w:line="63"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patent litigation and administrative proceedings involving Alimta, Jardiance, Taltz, and Emgality;</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litigation related to the Cosmopolis facility in Brazil; and</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Pricing litigation, investigations, and inquiries.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That information is incorporated into this Item by reference.</w:t>
      </w:r>
    </w:p>
    <w:p>
      <w:pPr>
        <w:spacing w:after="0" w:line="117" w:lineRule="exact"/>
        <w:rPr>
          <w:sz w:val="20"/>
          <w:szCs w:val="20"/>
          <w:color w:val="auto"/>
        </w:rPr>
      </w:pPr>
    </w:p>
    <w:p>
      <w:pPr>
        <w:ind w:right="40"/>
        <w:spacing w:after="0" w:line="271" w:lineRule="auto"/>
        <w:rPr>
          <w:rFonts w:ascii="Arial" w:cs="Arial" w:eastAsia="Arial" w:hAnsi="Arial"/>
          <w:sz w:val="18"/>
          <w:szCs w:val="18"/>
          <w:color w:val="auto"/>
        </w:rPr>
      </w:pPr>
      <w:r>
        <w:rPr>
          <w:rFonts w:ascii="Arial" w:cs="Arial" w:eastAsia="Arial" w:hAnsi="Arial"/>
          <w:sz w:val="18"/>
          <w:szCs w:val="18"/>
          <w:color w:val="auto"/>
        </w:rPr>
        <w:t xml:space="preserve">This Item should be read in conjunction with the Legal Proceedings disclosures in our Annual Report on </w:t>
      </w:r>
      <w:hyperlink r:id="rId16">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2019 (Part I, Item 3) and our Quarterly Reports on Form 10-Q for the quarters ended </w:t>
      </w:r>
      <w:hyperlink r:id="rId72">
        <w:r>
          <w:rPr>
            <w:rFonts w:ascii="Arial" w:cs="Arial" w:eastAsia="Arial" w:hAnsi="Arial"/>
            <w:sz w:val="18"/>
            <w:szCs w:val="18"/>
            <w:u w:val="single" w:color="auto"/>
            <w:color w:val="0000FF"/>
          </w:rPr>
          <w:t>March 31,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5">
        <w:r>
          <w:rPr>
            <w:rFonts w:ascii="Arial" w:cs="Arial" w:eastAsia="Arial" w:hAnsi="Arial"/>
            <w:sz w:val="18"/>
            <w:szCs w:val="18"/>
            <w:u w:val="single" w:color="auto"/>
            <w:color w:val="0000FF"/>
          </w:rPr>
          <w:t>June 30,</w:t>
        </w:r>
        <w:r>
          <w:rPr>
            <w:rFonts w:ascii="Arial" w:cs="Arial" w:eastAsia="Arial" w:hAnsi="Arial"/>
            <w:sz w:val="18"/>
            <w:szCs w:val="18"/>
            <w:u w:val="single" w:color="auto"/>
            <w:color w:val="auto"/>
          </w:rPr>
          <w:t xml:space="preserve"> </w:t>
        </w:r>
        <w:r>
          <w:rPr>
            <w:rFonts w:ascii="Arial" w:cs="Arial" w:eastAsia="Arial" w:hAnsi="Arial"/>
            <w:sz w:val="18"/>
            <w:szCs w:val="18"/>
            <w:u w:val="single" w:color="auto"/>
            <w:color w:val="0000FF"/>
          </w:rPr>
          <w:t>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(Part II, Item 1).</w:t>
      </w:r>
    </w:p>
    <w:p>
      <w:pPr>
        <w:spacing w:after="0" w:line="10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19" w:lineRule="exact"/>
        <w:rPr>
          <w:rFonts w:ascii="Arial" w:cs="Arial" w:eastAsia="Arial" w:hAnsi="Arial"/>
          <w:sz w:val="18"/>
          <w:szCs w:val="18"/>
          <w:color w:val="auto"/>
        </w:rPr>
      </w:pPr>
    </w:p>
    <w:p>
      <w:pPr>
        <w:ind w:right="140"/>
        <w:spacing w:after="0" w:line="245" w:lineRule="auto"/>
        <w:rPr>
          <w:sz w:val="20"/>
          <w:szCs w:val="20"/>
          <w:color w:val="auto"/>
        </w:rPr>
      </w:pPr>
      <w:r>
        <w:rPr>
          <w:rFonts w:ascii="Arial" w:cs="Arial" w:eastAsia="Arial" w:hAnsi="Arial"/>
          <w:sz w:val="18"/>
          <w:szCs w:val="18"/>
          <w:color w:val="auto"/>
        </w:rPr>
        <w:t>We and Boehringer Ingelheim Pharmaceuticals, Inc., a subsidiary of Boehringer Ingelheim (BI), are named as a defendant in approximately 90 product liability lawsuits in the U.S., mostly in Stamford Superior Court in Connecticut, alleging that Jardiance caused or contributed to plaintiffs’ Fournier’s gangrene. We believe these lawsuits are without merit and are defending against them vigorously. Our agreement with BI calls for BI to defend and indemnify us against any damages, costs, expenses, and certain other losses with respect to product liability claims in accordance with the terms of the agreement.</w:t>
      </w:r>
    </w:p>
    <w:p>
      <w:pPr>
        <w:spacing w:after="0" w:line="199" w:lineRule="exact"/>
        <w:rPr>
          <w:rFonts w:ascii="Arial" w:cs="Arial" w:eastAsia="Arial" w:hAnsi="Arial"/>
          <w:sz w:val="18"/>
          <w:szCs w:val="18"/>
          <w:color w:val="auto"/>
        </w:rPr>
      </w:pPr>
    </w:p>
    <w:p>
      <w:pPr>
        <w:ind w:right="80"/>
        <w:spacing w:after="0" w:line="292" w:lineRule="auto"/>
        <w:rPr>
          <w:sz w:val="20"/>
          <w:szCs w:val="20"/>
          <w:color w:val="auto"/>
        </w:rPr>
      </w:pPr>
      <w:r>
        <w:rPr>
          <w:rFonts w:ascii="Arial" w:cs="Arial" w:eastAsia="Arial" w:hAnsi="Arial"/>
          <w:sz w:val="18"/>
          <w:szCs w:val="18"/>
          <w:color w:val="auto"/>
        </w:rPr>
        <w:t>We are also a defendant in other litigation and investigations, including relating to product liability, patent, employment, and premises liability matters, of a character we regard as normal to our business.</w:t>
      </w:r>
    </w:p>
    <w:p>
      <w:pPr>
        <w:spacing w:after="0" w:line="17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71" w:lineRule="exact"/>
        <w:rPr>
          <w:rFonts w:ascii="Arial" w:cs="Arial" w:eastAsia="Arial" w:hAnsi="Arial"/>
          <w:sz w:val="18"/>
          <w:szCs w:val="18"/>
          <w:color w:val="auto"/>
        </w:rPr>
      </w:pPr>
    </w:p>
    <w:p>
      <w:pPr>
        <w:ind w:right="180"/>
        <w:spacing w:after="0" w:line="271" w:lineRule="auto"/>
        <w:rPr>
          <w:rFonts w:ascii="Arial" w:cs="Arial" w:eastAsia="Arial" w:hAnsi="Arial"/>
          <w:sz w:val="18"/>
          <w:szCs w:val="18"/>
          <w:color w:val="auto"/>
        </w:rPr>
      </w:pPr>
      <w:r>
        <w:rPr>
          <w:rFonts w:ascii="Arial" w:cs="Arial" w:eastAsia="Arial" w:hAnsi="Arial"/>
          <w:sz w:val="18"/>
          <w:szCs w:val="18"/>
          <w:color w:val="auto"/>
        </w:rPr>
        <w:t xml:space="preserve">Our material risk factors are disclosed in Item 1A of our Annual Report on </w:t>
      </w:r>
      <w:hyperlink r:id="rId73">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The following represents a change in our risk factors from those listed in Part I, Item 1A of our Annual Report on Form 10-K for the year ended December 31, 2019.</w:t>
      </w:r>
    </w:p>
    <w:p>
      <w:pPr>
        <w:spacing w:after="0" w:line="55" w:lineRule="exact"/>
        <w:rPr>
          <w:rFonts w:ascii="Arial" w:cs="Arial" w:eastAsia="Arial" w:hAnsi="Arial"/>
          <w:sz w:val="18"/>
          <w:szCs w:val="18"/>
          <w:color w:val="auto"/>
        </w:rPr>
      </w:pPr>
    </w:p>
    <w:p>
      <w:pPr>
        <w:ind w:right="240"/>
        <w:spacing w:after="0" w:line="301" w:lineRule="auto"/>
        <w:rPr>
          <w:sz w:val="20"/>
          <w:szCs w:val="20"/>
          <w:color w:val="auto"/>
        </w:rPr>
      </w:pPr>
      <w:r>
        <w:rPr>
          <w:rFonts w:ascii="Arial" w:cs="Arial" w:eastAsia="Arial" w:hAnsi="Arial"/>
          <w:sz w:val="18"/>
          <w:szCs w:val="18"/>
          <w:b w:val="1"/>
          <w:bCs w:val="1"/>
          <w:i w:val="1"/>
          <w:iCs w:val="1"/>
          <w:color w:val="auto"/>
        </w:rPr>
        <w:t>The novel coronavirus (COVID-19) pandemic and efforts to reduce its spread has impacted, and may in future periods negatively impact, our business and operations.</w:t>
      </w:r>
    </w:p>
    <w:p>
      <w:pPr>
        <w:spacing w:after="0" w:line="21" w:lineRule="exact"/>
        <w:rPr>
          <w:rFonts w:ascii="Arial" w:cs="Arial" w:eastAsia="Arial" w:hAnsi="Arial"/>
          <w:sz w:val="18"/>
          <w:szCs w:val="18"/>
          <w:color w:val="auto"/>
        </w:rPr>
      </w:pPr>
    </w:p>
    <w:p>
      <w:pPr>
        <w:spacing w:after="0" w:line="253" w:lineRule="auto"/>
        <w:rPr>
          <w:sz w:val="20"/>
          <w:szCs w:val="20"/>
          <w:color w:val="auto"/>
        </w:rPr>
      </w:pPr>
      <w:r>
        <w:rPr>
          <w:rFonts w:ascii="Arial" w:cs="Arial" w:eastAsia="Arial" w:hAnsi="Arial"/>
          <w:sz w:val="18"/>
          <w:szCs w:val="18"/>
          <w:color w:val="auto"/>
        </w:rPr>
        <w:t>The COVID-19 pandemic has substantially burdened healthcare systems worldwide. Progression of clinical trials and required inspections and reviews by regulatory agencies may be delayed due to the focus of resources on COVID-19 as well as travel and other restrictions. Significant delays in the timing of our clinical trials and in regulatory reviews could adversely affect our ability to commercialize some assets in our product pipeline. Lack of normal access by patients to the healthcare system, along with concern about the continued supply of medications, also resulted in changes in buying patterns throughout the supply chain, including by patients, which could increase or decrease demand for our products. Similarly, where COVID-19 outbreaks continue, we temporarily halt in-person interactions by our employees with healthcare providers and resume such activity when it is safe to do so. This may decrease demand for our products. COVID-19 could also have an adverse impact on our manufacturing operations, supply chain and distribution systems, which could impact our ability to produce and distribute our products and the ability of third parties on which we rely to fulfill their obligations to us, and could increase our expenses. Therapeutics that we may develop to address COVID-19 will be subject to risks in addition to those normally associated with pharmaceutical research, development, and commercialization, such as higher risk of technical failure; lower and transient opportunities for revenue; higher manufacturing costs, including take or pay contracts with contract manufacturing organizations; product safety or efficacy risks related to an expedited research and development timeline; and novel liability theories. These risks may affect our ability to commercialize these therapeutics for COVID-19 or any other current or future indication. In addition, the conditions created by the pandemic may intensify other risks inherent in our business, including, among other things, risks related to drug pricing and access, intellectual property protection, product safety and efficacy concerns, product liability and other litigation, and the impact of adverse global and local economic conditions.</w:t>
      </w:r>
    </w:p>
    <w:p>
      <w:pPr>
        <w:spacing w:after="0" w:line="71" w:lineRule="exact"/>
        <w:rPr>
          <w:rFonts w:ascii="Arial" w:cs="Arial" w:eastAsia="Arial" w:hAnsi="Arial"/>
          <w:sz w:val="18"/>
          <w:szCs w:val="18"/>
          <w:color w:val="auto"/>
        </w:rPr>
      </w:pPr>
    </w:p>
    <w:p>
      <w:pPr>
        <w:spacing w:after="0" w:line="264" w:lineRule="auto"/>
        <w:rPr>
          <w:sz w:val="20"/>
          <w:szCs w:val="20"/>
          <w:color w:val="auto"/>
        </w:rPr>
      </w:pPr>
      <w:r>
        <w:rPr>
          <w:rFonts w:ascii="Arial" w:cs="Arial" w:eastAsia="Arial" w:hAnsi="Arial"/>
          <w:sz w:val="18"/>
          <w:szCs w:val="18"/>
          <w:color w:val="auto"/>
        </w:rPr>
        <w:t>As a result, while the financial impact on us has not been material to date, given the rapid and evolving nature of the virus, the COVID-19 pandemic could negatively affect our results of operations, financial condition, liquidity and cash flows in future periods, perhaps materially. The degree to which the COVID-19 pandemic affects us will depend on developments that are highly uncertain and beyond our knowledge or control, including, but not limited</w:t>
      </w:r>
    </w:p>
    <w:p>
      <w:pPr>
        <w:sectPr>
          <w:pgSz w:w="11900" w:h="16838" w:orient="portrait"/>
          <w:cols w:equalWidth="0" w:num="1">
            <w:col w:w="11220"/>
          </w:cols>
          <w:pgMar w:left="320" w:top="867" w:right="359" w:bottom="1440" w:gutter="0" w:footer="0" w:header="0"/>
        </w:sect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3"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67" w:right="359" w:bottom="1440" w:gutter="0" w:footer="0" w:header="0"/>
          <w:type w:val="continuous"/>
        </w:sectPr>
      </w:pPr>
    </w:p>
    <w:bookmarkStart w:id="53" w:name="page54"/>
    <w:bookmarkEnd w:id="53"/>
    <w:p>
      <w:pPr>
        <w:ind w:right="140"/>
        <w:spacing w:after="0" w:line="264" w:lineRule="auto"/>
        <w:rPr>
          <w:sz w:val="20"/>
          <w:szCs w:val="20"/>
          <w:color w:val="auto"/>
        </w:rPr>
      </w:pPr>
      <w:r>
        <w:rPr>
          <w:rFonts w:ascii="Arial" w:cs="Arial" w:eastAsia="Arial" w:hAnsi="Arial"/>
          <w:sz w:val="18"/>
          <w:szCs w:val="18"/>
          <w:color w:val="auto"/>
        </w:rPr>
        <w:t>to, the duration and severity of the pandemic, the actions taken to reduce its transmission, and the speed with which, and extent to which, more stable economic and operating conditions resume. Should the COVID-19 pandemic and any associated recession or depression continue for a prolonged period, our results of operations, financial condition, liquidity, and cash flows could be materially impacted by lower revenues and profitability and a lower likelihood of effectively and efficiently developing and launching new medicines.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71" w:lineRule="exact"/>
        <w:rPr>
          <w:sz w:val="20"/>
          <w:szCs w:val="20"/>
          <w:color w:val="auto"/>
        </w:rPr>
      </w:pPr>
    </w:p>
    <w:p>
      <w:pPr>
        <w:ind w:right="380"/>
        <w:spacing w:after="0" w:line="292" w:lineRule="auto"/>
        <w:rPr>
          <w:sz w:val="20"/>
          <w:szCs w:val="20"/>
          <w:color w:val="auto"/>
        </w:rPr>
      </w:pPr>
      <w:r>
        <w:rPr>
          <w:rFonts w:ascii="Arial" w:cs="Arial" w:eastAsia="Arial" w:hAnsi="Arial"/>
          <w:sz w:val="18"/>
          <w:szCs w:val="18"/>
          <w:color w:val="auto"/>
        </w:rPr>
        <w:t>The following table summarizes the activity related to repurchases of our equity securities during the three months ended September 30, 2020:</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tcPr>
          <w:p>
            <w:pPr>
              <w:jc w:val="center"/>
              <w:ind w:left="228"/>
              <w:spacing w:after="0"/>
              <w:rPr>
                <w:sz w:val="20"/>
                <w:szCs w:val="20"/>
                <w:color w:val="auto"/>
              </w:rPr>
            </w:pPr>
            <w:r>
              <w:rPr>
                <w:rFonts w:ascii="Arial" w:cs="Arial" w:eastAsia="Arial" w:hAnsi="Arial"/>
                <w:sz w:val="14"/>
                <w:szCs w:val="14"/>
                <w:b w:val="1"/>
                <w:bCs w:val="1"/>
                <w:color w:val="auto"/>
              </w:rPr>
              <w:t>Total Number of Shares</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tcPr>
          <w:p>
            <w:pPr>
              <w:jc w:val="center"/>
              <w:ind w:right="141"/>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1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0" w:type="dxa"/>
            <w:vAlign w:val="bottom"/>
          </w:tcPr>
          <w:p>
            <w:pPr>
              <w:jc w:val="center"/>
              <w:ind w:left="248"/>
              <w:spacing w:after="0" w:line="135" w:lineRule="exact"/>
              <w:rPr>
                <w:sz w:val="20"/>
                <w:szCs w:val="20"/>
                <w:color w:val="auto"/>
              </w:rPr>
            </w:pPr>
            <w:r>
              <w:rPr>
                <w:rFonts w:ascii="Arial" w:cs="Arial" w:eastAsia="Arial" w:hAnsi="Arial"/>
                <w:sz w:val="14"/>
                <w:szCs w:val="14"/>
                <w:b w:val="1"/>
                <w:bCs w:val="1"/>
                <w:color w:val="auto"/>
              </w:rPr>
              <w:t>Purchased as Part of</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60" w:type="dxa"/>
            <w:vAlign w:val="bottom"/>
          </w:tcPr>
          <w:p>
            <w:pPr>
              <w:jc w:val="center"/>
              <w:ind w:right="161"/>
              <w:spacing w:after="0" w:line="135"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1640" w:type="dxa"/>
            <w:vAlign w:val="bottom"/>
            <w:vMerge w:val="restart"/>
          </w:tcPr>
          <w:p>
            <w:pPr>
              <w:jc w:val="center"/>
              <w:ind w:left="262"/>
              <w:spacing w:after="0"/>
              <w:rPr>
                <w:sz w:val="20"/>
                <w:szCs w:val="20"/>
                <w:color w:val="auto"/>
              </w:rPr>
            </w:pPr>
            <w:r>
              <w:rPr>
                <w:rFonts w:ascii="Arial" w:cs="Arial" w:eastAsia="Arial" w:hAnsi="Arial"/>
                <w:sz w:val="14"/>
                <w:szCs w:val="14"/>
                <w:b w:val="1"/>
                <w:bCs w:val="1"/>
                <w:color w:val="auto"/>
              </w:rPr>
              <w:t>Average Price Paid</w:t>
            </w:r>
          </w:p>
        </w:tc>
        <w:tc>
          <w:tcPr>
            <w:tcW w:w="360" w:type="dxa"/>
            <w:vAlign w:val="bottom"/>
          </w:tcPr>
          <w:p>
            <w:pPr>
              <w:spacing w:after="0"/>
              <w:rPr>
                <w:sz w:val="11"/>
                <w:szCs w:val="11"/>
                <w:color w:val="auto"/>
              </w:rPr>
            </w:pPr>
          </w:p>
        </w:tc>
        <w:tc>
          <w:tcPr>
            <w:tcW w:w="200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rPr>
              <w:t>Publicly Announced</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60" w:type="dxa"/>
            <w:vAlign w:val="bottom"/>
          </w:tcPr>
          <w:p>
            <w:pPr>
              <w:jc w:val="center"/>
              <w:ind w:right="161"/>
              <w:spacing w:after="0" w:line="135"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35"/>
        </w:trPr>
        <w:tc>
          <w:tcPr>
            <w:tcW w:w="2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Shares Purchased</w:t>
            </w:r>
          </w:p>
        </w:tc>
        <w:tc>
          <w:tcPr>
            <w:tcW w:w="16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2000" w:type="dxa"/>
            <w:vAlign w:val="bottom"/>
          </w:tcPr>
          <w:p>
            <w:pPr>
              <w:jc w:val="center"/>
              <w:ind w:left="248"/>
              <w:spacing w:after="0" w:line="135" w:lineRule="exact"/>
              <w:rPr>
                <w:sz w:val="20"/>
                <w:szCs w:val="20"/>
                <w:color w:val="auto"/>
              </w:rPr>
            </w:pPr>
            <w:r>
              <w:rPr>
                <w:rFonts w:ascii="Arial" w:cs="Arial" w:eastAsia="Arial" w:hAnsi="Arial"/>
                <w:sz w:val="14"/>
                <w:szCs w:val="14"/>
                <w:b w:val="1"/>
                <w:bCs w:val="1"/>
                <w:color w:val="auto"/>
              </w:rPr>
              <w:t>Plans or Programs</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60" w:type="dxa"/>
            <w:vAlign w:val="bottom"/>
          </w:tcPr>
          <w:p>
            <w:pPr>
              <w:jc w:val="center"/>
              <w:ind w:right="121"/>
              <w:spacing w:after="0" w:line="135" w:lineRule="exact"/>
              <w:rPr>
                <w:sz w:val="20"/>
                <w:szCs w:val="20"/>
                <w:color w:val="auto"/>
              </w:rPr>
            </w:pPr>
            <w:r>
              <w:rPr>
                <w:rFonts w:ascii="Arial" w:cs="Arial" w:eastAsia="Arial" w:hAnsi="Arial"/>
                <w:sz w:val="14"/>
                <w:szCs w:val="14"/>
                <w:b w:val="1"/>
                <w:bCs w:val="1"/>
                <w:color w:val="auto"/>
              </w:rPr>
              <w:t>Plans or Programs</w:t>
            </w:r>
          </w:p>
        </w:tc>
        <w:tc>
          <w:tcPr>
            <w:tcW w:w="0" w:type="dxa"/>
            <w:vAlign w:val="bottom"/>
          </w:tcPr>
          <w:p>
            <w:pPr>
              <w:spacing w:after="0"/>
              <w:rPr>
                <w:sz w:val="1"/>
                <w:szCs w:val="1"/>
                <w:color w:val="auto"/>
              </w:rPr>
            </w:pPr>
          </w:p>
        </w:tc>
      </w:tr>
      <w:tr>
        <w:trPr>
          <w:trHeight w:val="176"/>
        </w:trPr>
        <w:tc>
          <w:tcPr>
            <w:tcW w:w="2700" w:type="dxa"/>
            <w:vAlign w:val="bottom"/>
            <w:tcBorders>
              <w:bottom w:val="single" w:sz="8" w:color="auto"/>
            </w:tcBorders>
            <w:vMerge w:val="continue"/>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tcBorders>
              <w:bottom w:val="single" w:sz="8" w:color="auto"/>
            </w:tcBorders>
          </w:tcPr>
          <w:p>
            <w:pPr>
              <w:jc w:val="center"/>
              <w:ind w:left="302"/>
              <w:spacing w:after="0"/>
              <w:rPr>
                <w:sz w:val="20"/>
                <w:szCs w:val="20"/>
                <w:color w:val="auto"/>
              </w:rPr>
            </w:pPr>
            <w:r>
              <w:rPr>
                <w:rFonts w:ascii="Arial" w:cs="Arial" w:eastAsia="Arial" w:hAnsi="Arial"/>
                <w:sz w:val="14"/>
                <w:szCs w:val="14"/>
                <w:b w:val="1"/>
                <w:bCs w:val="1"/>
                <w:color w:val="auto"/>
              </w:rPr>
              <w:t>per Share</w:t>
            </w:r>
          </w:p>
        </w:tc>
        <w:tc>
          <w:tcPr>
            <w:tcW w:w="3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2020</w:t>
            </w:r>
          </w:p>
        </w:tc>
        <w:tc>
          <w:tcPr>
            <w:tcW w:w="17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322"/>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21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August 2020</w:t>
            </w:r>
          </w:p>
        </w:tc>
        <w:tc>
          <w:tcPr>
            <w:tcW w:w="1740" w:type="dxa"/>
            <w:vAlign w:val="bottom"/>
          </w:tcPr>
          <w:p>
            <w:pPr>
              <w:ind w:left="150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 2020</w:t>
            </w:r>
          </w:p>
        </w:tc>
        <w:tc>
          <w:tcPr>
            <w:tcW w:w="1740" w:type="dxa"/>
            <w:vAlign w:val="bottom"/>
            <w:tcBorders>
              <w:bottom w:val="single" w:sz="8" w:color="auto"/>
            </w:tcBorders>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During the three months ended September 30, 2020, we did not repurchase any shares under our $8.00 billion share repurchase program authorized in June 2018.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exhibits to this Report:</w:t>
      </w:r>
    </w:p>
    <w:p>
      <w:pPr>
        <w:sectPr>
          <w:pgSz w:w="11900" w:h="16838" w:orient="portrait"/>
          <w:cols w:equalWidth="0" w:num="1">
            <w:col w:w="11220"/>
          </w:cols>
          <w:pgMar w:left="320" w:top="994" w:right="359" w:bottom="1440" w:gutter="0" w:footer="0" w:header="0"/>
        </w:sect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EXHIBIT 3.1</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Amended Articles of Incorporation</w:t>
      </w:r>
    </w:p>
    <w:p>
      <w:pPr>
        <w:spacing w:after="0" w:line="200" w:lineRule="exact"/>
        <w:rPr>
          <w:sz w:val="20"/>
          <w:szCs w:val="20"/>
          <w:color w:val="auto"/>
        </w:rPr>
      </w:pPr>
    </w:p>
    <w:p>
      <w:pPr>
        <w:sectPr>
          <w:pgSz w:w="11900" w:h="16838" w:orient="portrait"/>
          <w:cols w:equalWidth="0" w:num="2">
            <w:col w:w="1840" w:space="720"/>
            <w:col w:w="8660"/>
          </w:cols>
          <w:pgMar w:left="320" w:top="994" w:right="359" w:bottom="1440" w:gutter="0" w:footer="0" w:header="0"/>
          <w:type w:val="continuous"/>
        </w:sectPr>
      </w:pPr>
    </w:p>
    <w:p>
      <w:pPr>
        <w:spacing w:after="0" w:line="79"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EXHIBIT 3.2</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Bylaws, as amended</w:t>
      </w:r>
    </w:p>
    <w:p>
      <w:pPr>
        <w:spacing w:after="0" w:line="200" w:lineRule="exact"/>
        <w:rPr>
          <w:sz w:val="20"/>
          <w:szCs w:val="20"/>
          <w:color w:val="auto"/>
        </w:rPr>
      </w:pPr>
    </w:p>
    <w:p>
      <w:pPr>
        <w:sectPr>
          <w:pgSz w:w="11900" w:h="16838" w:orient="portrait"/>
          <w:cols w:equalWidth="0" w:num="2">
            <w:col w:w="1840" w:space="720"/>
            <w:col w:w="8660"/>
          </w:cols>
          <w:pgMar w:left="320" w:top="994" w:right="359" w:bottom="1440" w:gutter="0" w:footer="0" w:header="0"/>
          <w:type w:val="continuous"/>
        </w:sectPr>
      </w:pPr>
    </w:p>
    <w:p>
      <w:pPr>
        <w:spacing w:after="0" w:line="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EXHIBIT 18.1</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Preferability Letter from Independent Registered Public Accounting Firm Regarding Change in Accounting Principle</w:t>
      </w:r>
    </w:p>
    <w:p>
      <w:pPr>
        <w:spacing w:after="0" w:line="200" w:lineRule="exact"/>
        <w:rPr>
          <w:sz w:val="20"/>
          <w:szCs w:val="20"/>
          <w:color w:val="auto"/>
        </w:rPr>
      </w:pPr>
    </w:p>
    <w:p>
      <w:pPr>
        <w:sectPr>
          <w:pgSz w:w="11900" w:h="16838" w:orient="portrait"/>
          <w:cols w:equalWidth="0" w:num="2">
            <w:col w:w="1840" w:space="720"/>
            <w:col w:w="8660"/>
          </w:cols>
          <w:pgMar w:left="320" w:top="994" w:right="359" w:bottom="1440" w:gutter="0" w:footer="0" w:header="0"/>
          <w:type w:val="continuous"/>
        </w:sectPr>
      </w:pPr>
    </w:p>
    <w:p>
      <w:pPr>
        <w:spacing w:after="0" w:line="39"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EXHIBIT 31.1</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Rule 13a-14(a) Certification of David A. Ricks, Chairman, President, and Chief Executive Officer</w:t>
      </w:r>
    </w:p>
    <w:p>
      <w:pPr>
        <w:spacing w:after="0" w:line="200" w:lineRule="exact"/>
        <w:rPr>
          <w:sz w:val="20"/>
          <w:szCs w:val="20"/>
          <w:color w:val="auto"/>
        </w:rPr>
      </w:pPr>
    </w:p>
    <w:p>
      <w:pPr>
        <w:sectPr>
          <w:pgSz w:w="11900" w:h="16838" w:orient="portrait"/>
          <w:cols w:equalWidth="0" w:num="2">
            <w:col w:w="1840" w:space="720"/>
            <w:col w:w="8660"/>
          </w:cols>
          <w:pgMar w:left="320" w:top="994" w:right="359" w:bottom="1440" w:gutter="0" w:footer="0" w:header="0"/>
          <w:type w:val="continuous"/>
        </w:sectPr>
      </w:pPr>
    </w:p>
    <w:p>
      <w:pPr>
        <w:spacing w:after="0" w:line="104"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EXHIBIT 31.2</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Rule 13a-14(a) Certification of Joshua L. Smiley, Senior Vice President and Chief Financial Officer</w:t>
      </w:r>
    </w:p>
    <w:p>
      <w:pPr>
        <w:spacing w:after="0" w:line="200" w:lineRule="exact"/>
        <w:rPr>
          <w:sz w:val="20"/>
          <w:szCs w:val="20"/>
          <w:color w:val="auto"/>
        </w:rPr>
      </w:pPr>
    </w:p>
    <w:p>
      <w:pPr>
        <w:sectPr>
          <w:pgSz w:w="11900" w:h="16838" w:orient="portrait"/>
          <w:cols w:equalWidth="0" w:num="2">
            <w:col w:w="1840" w:space="720"/>
            <w:col w:w="8660"/>
          </w:cols>
          <w:pgMar w:left="320" w:top="994" w:right="359" w:bottom="1440" w:gutter="0" w:footer="0" w:header="0"/>
          <w:type w:val="continuous"/>
        </w:sectPr>
      </w:pPr>
    </w:p>
    <w:p>
      <w:pPr>
        <w:spacing w:after="0" w:line="104"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EXHIBIT 32.</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w:t>
      </w:r>
    </w:p>
    <w:p>
      <w:pPr>
        <w:spacing w:after="0" w:line="200" w:lineRule="exact"/>
        <w:rPr>
          <w:sz w:val="20"/>
          <w:szCs w:val="20"/>
          <w:color w:val="auto"/>
        </w:rPr>
      </w:pPr>
    </w:p>
    <w:p>
      <w:pPr>
        <w:sectPr>
          <w:pgSz w:w="11900" w:h="16838" w:orient="portrait"/>
          <w:cols w:equalWidth="0" w:num="2">
            <w:col w:w="1840" w:space="720"/>
            <w:col w:w="8660"/>
          </w:cols>
          <w:pgMar w:left="320" w:top="994" w:right="359" w:bottom="1440" w:gutter="0" w:footer="0" w:header="0"/>
          <w:type w:val="continuous"/>
        </w:sectPr>
      </w:pPr>
    </w:p>
    <w:p>
      <w:pPr>
        <w:spacing w:after="0" w:line="93"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EXHIBIT 101.</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Interactive Data Files</w:t>
      </w:r>
    </w:p>
    <w:p>
      <w:pPr>
        <w:spacing w:after="0" w:line="200" w:lineRule="exact"/>
        <w:rPr>
          <w:sz w:val="20"/>
          <w:szCs w:val="20"/>
          <w:color w:val="auto"/>
        </w:rPr>
      </w:pPr>
    </w:p>
    <w:p>
      <w:pPr>
        <w:sectPr>
          <w:pgSz w:w="11900" w:h="16838" w:orient="portrait"/>
          <w:cols w:equalWidth="0" w:num="2">
            <w:col w:w="1840" w:space="720"/>
            <w:col w:w="8660"/>
          </w:cols>
          <w:pgMar w:left="320" w:top="994" w:right="359" w:bottom="1440" w:gutter="0" w:footer="0" w:header="0"/>
          <w:type w:val="continuous"/>
        </w:sectPr>
      </w:pPr>
    </w:p>
    <w:p>
      <w:pPr>
        <w:spacing w:after="0" w:line="79"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EXHIBIT 104.</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Cover Page Interactive Data File</w:t>
      </w:r>
    </w:p>
    <w:p>
      <w:pPr>
        <w:spacing w:after="0" w:line="200" w:lineRule="exact"/>
        <w:rPr>
          <w:sz w:val="20"/>
          <w:szCs w:val="20"/>
          <w:color w:val="auto"/>
        </w:rPr>
      </w:pPr>
    </w:p>
    <w:p>
      <w:pPr>
        <w:sectPr>
          <w:pgSz w:w="11900" w:h="16838" w:orient="portrait"/>
          <w:cols w:equalWidth="0" w:num="2">
            <w:col w:w="1840" w:space="720"/>
            <w:col w:w="8660"/>
          </w:cols>
          <w:pgMar w:left="320" w:top="994" w:right="359" w:bottom="1440" w:gutter="0" w:footer="0" w:header="0"/>
          <w:type w:val="continuous"/>
        </w:sectPr>
      </w:pPr>
    </w:p>
    <w:p>
      <w:pPr>
        <w:spacing w:after="0" w:line="131" w:lineRule="exact"/>
        <w:rPr>
          <w:sz w:val="20"/>
          <w:szCs w:val="20"/>
          <w:color w:val="auto"/>
        </w:rPr>
      </w:pPr>
    </w:p>
    <w:p>
      <w:pPr>
        <w:ind w:firstLine="8"/>
        <w:spacing w:after="0" w:line="276" w:lineRule="auto"/>
        <w:tabs>
          <w:tab w:leader="none" w:pos="21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Long-term debt instruments under which the total amount of securities authorized does not exceed 10% of our consolidated assets are not filed as exhibits to this report. We will furnish a copy of these agreements to the SEC upon request.</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4" w:right="35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Index to Exhibits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Report:</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4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40" w:type="dxa"/>
            <w:vAlign w:val="bottom"/>
            <w:gridSpan w:val="2"/>
          </w:tcPr>
          <w:p>
            <w:pPr>
              <w:spacing w:after="0"/>
              <w:rPr>
                <w:sz w:val="20"/>
                <w:szCs w:val="20"/>
                <w:color w:val="auto"/>
              </w:rPr>
            </w:pPr>
            <w:r>
              <w:rPr>
                <w:rFonts w:ascii="Arial" w:cs="Arial" w:eastAsia="Arial" w:hAnsi="Arial"/>
                <w:sz w:val="18"/>
                <w:szCs w:val="18"/>
                <w:color w:val="auto"/>
              </w:rPr>
              <w:t>EXHIBIT 3.1</w:t>
            </w:r>
          </w:p>
        </w:tc>
        <w:tc>
          <w:tcPr>
            <w:tcW w:w="8520" w:type="dxa"/>
            <w:vAlign w:val="bottom"/>
            <w:gridSpan w:val="7"/>
          </w:tcPr>
          <w:p>
            <w:pPr>
              <w:spacing w:after="0"/>
              <w:rPr>
                <w:rFonts w:ascii="Arial" w:cs="Arial" w:eastAsia="Arial" w:hAnsi="Arial"/>
                <w:sz w:val="18"/>
                <w:szCs w:val="18"/>
                <w:color w:val="0000FF"/>
              </w:rPr>
            </w:pPr>
            <w:hyperlink r:id="rId76">
              <w:r>
                <w:rPr>
                  <w:rFonts w:ascii="Arial" w:cs="Arial" w:eastAsia="Arial" w:hAnsi="Arial"/>
                  <w:sz w:val="18"/>
                  <w:szCs w:val="18"/>
                  <w:color w:val="0000FF"/>
                </w:rPr>
                <w:t>Amended Articles of Incorporation are incorporated by reference to Exhibit 3.1 to the Company's Report on</w:t>
              </w:r>
            </w:hyperlink>
          </w:p>
        </w:tc>
        <w:tc>
          <w:tcPr>
            <w:tcW w:w="0" w:type="dxa"/>
            <w:vAlign w:val="bottom"/>
          </w:tcPr>
          <w:p>
            <w:pPr>
              <w:spacing w:after="0"/>
              <w:rPr>
                <w:sz w:val="1"/>
                <w:szCs w:val="1"/>
                <w:color w:val="auto"/>
              </w:rPr>
            </w:pPr>
          </w:p>
        </w:tc>
      </w:tr>
      <w:tr>
        <w:trPr>
          <w:trHeight w:val="155"/>
        </w:trPr>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50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76">
              <w:r>
                <w:rPr>
                  <w:rFonts w:ascii="Arial" w:cs="Arial" w:eastAsia="Arial" w:hAnsi="Arial"/>
                  <w:sz w:val="18"/>
                  <w:szCs w:val="18"/>
                  <w:color w:val="0000FF"/>
                </w:rPr>
                <w:t>Form 10-K for the year ended December 31, 2013</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40" w:type="dxa"/>
            <w:vAlign w:val="bottom"/>
            <w:gridSpan w:val="2"/>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440" w:type="dxa"/>
            <w:vAlign w:val="bottom"/>
            <w:gridSpan w:val="2"/>
          </w:tcPr>
          <w:p>
            <w:pPr>
              <w:spacing w:after="0"/>
              <w:rPr>
                <w:sz w:val="20"/>
                <w:szCs w:val="20"/>
                <w:color w:val="auto"/>
              </w:rPr>
            </w:pPr>
            <w:r>
              <w:rPr>
                <w:rFonts w:ascii="Arial" w:cs="Arial" w:eastAsia="Arial" w:hAnsi="Arial"/>
                <w:sz w:val="18"/>
                <w:szCs w:val="18"/>
                <w:color w:val="auto"/>
              </w:rPr>
              <w:t>EXHIBIT 3.2</w:t>
            </w:r>
          </w:p>
        </w:tc>
        <w:tc>
          <w:tcPr>
            <w:tcW w:w="8520" w:type="dxa"/>
            <w:vAlign w:val="bottom"/>
            <w:gridSpan w:val="7"/>
          </w:tcPr>
          <w:p>
            <w:pPr>
              <w:spacing w:after="0"/>
              <w:rPr>
                <w:rFonts w:ascii="Arial" w:cs="Arial" w:eastAsia="Arial" w:hAnsi="Arial"/>
                <w:sz w:val="18"/>
                <w:szCs w:val="18"/>
                <w:color w:val="0000FF"/>
              </w:rPr>
            </w:pPr>
            <w:hyperlink r:id="rId77">
              <w:r>
                <w:rPr>
                  <w:rFonts w:ascii="Arial" w:cs="Arial" w:eastAsia="Arial" w:hAnsi="Arial"/>
                  <w:sz w:val="18"/>
                  <w:szCs w:val="18"/>
                  <w:color w:val="0000FF"/>
                </w:rPr>
                <w:t>Bylaws, as amended, are incorporated by reference to Exhibit 99.1 to the Company's Report on Form 8-K</w:t>
              </w:r>
            </w:hyperlink>
          </w:p>
        </w:tc>
        <w:tc>
          <w:tcPr>
            <w:tcW w:w="0" w:type="dxa"/>
            <w:vAlign w:val="bottom"/>
          </w:tcPr>
          <w:p>
            <w:pPr>
              <w:spacing w:after="0"/>
              <w:rPr>
                <w:sz w:val="1"/>
                <w:szCs w:val="1"/>
                <w:color w:val="auto"/>
              </w:rPr>
            </w:pPr>
          </w:p>
        </w:tc>
      </w:tr>
      <w:tr>
        <w:trPr>
          <w:trHeight w:val="155"/>
        </w:trPr>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40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r:id="rId77">
              <w:r>
                <w:rPr>
                  <w:rFonts w:ascii="Arial" w:cs="Arial" w:eastAsia="Arial" w:hAnsi="Arial"/>
                  <w:sz w:val="18"/>
                  <w:szCs w:val="18"/>
                  <w:color w:val="0000FF"/>
                </w:rPr>
                <w:t>dated on December 20, 2019</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440" w:type="dxa"/>
            <w:vAlign w:val="bottom"/>
            <w:gridSpan w:val="2"/>
            <w:vMerge w:val="restart"/>
          </w:tcPr>
          <w:p>
            <w:pPr>
              <w:spacing w:after="0"/>
              <w:rPr>
                <w:sz w:val="20"/>
                <w:szCs w:val="20"/>
                <w:color w:val="auto"/>
              </w:rPr>
            </w:pPr>
            <w:r>
              <w:rPr>
                <w:rFonts w:ascii="Arial" w:cs="Arial" w:eastAsia="Arial" w:hAnsi="Arial"/>
                <w:sz w:val="18"/>
                <w:szCs w:val="18"/>
                <w:color w:val="auto"/>
              </w:rPr>
              <w:t>EXHIBIT 18.1</w:t>
            </w:r>
          </w:p>
        </w:tc>
        <w:tc>
          <w:tcPr>
            <w:tcW w:w="8520" w:type="dxa"/>
            <w:vAlign w:val="bottom"/>
            <w:gridSpan w:val="7"/>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Preferability Letter from Independent Registered Public Accounting Firm Regarding Change in Accounting</w:t>
              </w:r>
            </w:hyperlink>
          </w:p>
        </w:tc>
        <w:tc>
          <w:tcPr>
            <w:tcW w:w="0" w:type="dxa"/>
            <w:vAlign w:val="bottom"/>
          </w:tcPr>
          <w:p>
            <w:pPr>
              <w:spacing w:after="0"/>
              <w:rPr>
                <w:sz w:val="1"/>
                <w:szCs w:val="1"/>
                <w:color w:val="auto"/>
              </w:rPr>
            </w:pPr>
          </w:p>
        </w:tc>
      </w:tr>
      <w:tr>
        <w:trPr>
          <w:trHeight w:val="155"/>
        </w:trPr>
        <w:tc>
          <w:tcPr>
            <w:tcW w:w="2440" w:type="dxa"/>
            <w:vAlign w:val="bottom"/>
            <w:gridSpan w:val="2"/>
            <w:vMerge w:val="continue"/>
          </w:tcPr>
          <w:p>
            <w:pPr>
              <w:spacing w:after="0"/>
              <w:rPr>
                <w:sz w:val="13"/>
                <w:szCs w:val="13"/>
                <w:color w:val="auto"/>
              </w:rPr>
            </w:pPr>
          </w:p>
        </w:tc>
        <w:tc>
          <w:tcPr>
            <w:tcW w:w="842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56">
              <w:r>
                <w:rPr>
                  <w:rFonts w:ascii="Arial" w:cs="Arial" w:eastAsia="Arial" w:hAnsi="Arial"/>
                  <w:sz w:val="18"/>
                  <w:szCs w:val="18"/>
                  <w:color w:val="0000FF"/>
                </w:rPr>
                <w:t>Principle</w:t>
              </w:r>
            </w:hyperlink>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40" w:type="dxa"/>
            <w:vAlign w:val="bottom"/>
            <w:gridSpan w:val="2"/>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8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2440" w:type="dxa"/>
            <w:vAlign w:val="bottom"/>
            <w:gridSpan w:val="2"/>
          </w:tcPr>
          <w:p>
            <w:pPr>
              <w:spacing w:after="0"/>
              <w:rPr>
                <w:sz w:val="20"/>
                <w:szCs w:val="20"/>
                <w:color w:val="auto"/>
              </w:rPr>
            </w:pPr>
            <w:r>
              <w:rPr>
                <w:rFonts w:ascii="Arial" w:cs="Arial" w:eastAsia="Arial" w:hAnsi="Arial"/>
                <w:sz w:val="18"/>
                <w:szCs w:val="18"/>
                <w:color w:val="auto"/>
              </w:rPr>
              <w:t>EXHIBIT 31.1</w:t>
            </w:r>
          </w:p>
        </w:tc>
        <w:tc>
          <w:tcPr>
            <w:tcW w:w="8520" w:type="dxa"/>
            <w:vAlign w:val="bottom"/>
            <w:gridSpan w:val="7"/>
          </w:tcPr>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Rule 13a-14(a) Certification of David A. Ricks, Chairman, President, and Chief Executive Officer</w:t>
              </w:r>
            </w:hyperlink>
          </w:p>
        </w:tc>
        <w:tc>
          <w:tcPr>
            <w:tcW w:w="0" w:type="dxa"/>
            <w:vAlign w:val="bottom"/>
          </w:tcPr>
          <w:p>
            <w:pPr>
              <w:spacing w:after="0"/>
              <w:rPr>
                <w:sz w:val="1"/>
                <w:szCs w:val="1"/>
                <w:color w:val="auto"/>
              </w:rPr>
            </w:pPr>
          </w:p>
        </w:tc>
      </w:tr>
      <w:tr>
        <w:trPr>
          <w:trHeight w:val="500"/>
        </w:trPr>
        <w:tc>
          <w:tcPr>
            <w:tcW w:w="2440" w:type="dxa"/>
            <w:vAlign w:val="bottom"/>
            <w:gridSpan w:val="2"/>
          </w:tcPr>
          <w:p>
            <w:pPr>
              <w:spacing w:after="0"/>
              <w:rPr>
                <w:sz w:val="20"/>
                <w:szCs w:val="20"/>
                <w:color w:val="auto"/>
              </w:rPr>
            </w:pPr>
            <w:r>
              <w:rPr>
                <w:rFonts w:ascii="Arial" w:cs="Arial" w:eastAsia="Arial" w:hAnsi="Arial"/>
                <w:sz w:val="18"/>
                <w:szCs w:val="18"/>
                <w:color w:val="auto"/>
              </w:rPr>
              <w:t>EXHIBIT 31.2</w:t>
            </w:r>
          </w:p>
        </w:tc>
        <w:tc>
          <w:tcPr>
            <w:tcW w:w="8520" w:type="dxa"/>
            <w:vAlign w:val="bottom"/>
            <w:gridSpan w:val="7"/>
          </w:tcPr>
          <w:p>
            <w:pPr>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Rule 13a-14(a) Certification of Joshua L. Smiley, Senior Vice President and Chief Financial Officer</w:t>
              </w:r>
            </w:hyperlink>
          </w:p>
        </w:tc>
        <w:tc>
          <w:tcPr>
            <w:tcW w:w="0" w:type="dxa"/>
            <w:vAlign w:val="bottom"/>
          </w:tcPr>
          <w:p>
            <w:pPr>
              <w:spacing w:after="0"/>
              <w:rPr>
                <w:sz w:val="1"/>
                <w:szCs w:val="1"/>
                <w:color w:val="auto"/>
              </w:rPr>
            </w:pPr>
          </w:p>
        </w:tc>
      </w:tr>
      <w:tr>
        <w:trPr>
          <w:trHeight w:val="499"/>
        </w:trPr>
        <w:tc>
          <w:tcPr>
            <w:tcW w:w="2440" w:type="dxa"/>
            <w:vAlign w:val="bottom"/>
            <w:gridSpan w:val="2"/>
          </w:tcPr>
          <w:p>
            <w:pPr>
              <w:spacing w:after="0"/>
              <w:rPr>
                <w:sz w:val="20"/>
                <w:szCs w:val="20"/>
                <w:color w:val="auto"/>
              </w:rPr>
            </w:pPr>
            <w:r>
              <w:rPr>
                <w:rFonts w:ascii="Arial" w:cs="Arial" w:eastAsia="Arial" w:hAnsi="Arial"/>
                <w:sz w:val="18"/>
                <w:szCs w:val="18"/>
                <w:color w:val="auto"/>
              </w:rPr>
              <w:t>EXHIBIT 32.</w:t>
            </w:r>
          </w:p>
        </w:tc>
        <w:tc>
          <w:tcPr>
            <w:tcW w:w="8520" w:type="dxa"/>
            <w:vAlign w:val="bottom"/>
            <w:gridSpan w:val="7"/>
          </w:tcPr>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Section 1350 Certification</w:t>
              </w:r>
            </w:hyperlink>
          </w:p>
        </w:tc>
        <w:tc>
          <w:tcPr>
            <w:tcW w:w="0" w:type="dxa"/>
            <w:vAlign w:val="bottom"/>
          </w:tcPr>
          <w:p>
            <w:pPr>
              <w:spacing w:after="0"/>
              <w:rPr>
                <w:sz w:val="1"/>
                <w:szCs w:val="1"/>
                <w:color w:val="auto"/>
              </w:rPr>
            </w:pPr>
          </w:p>
        </w:tc>
      </w:tr>
      <w:tr>
        <w:trPr>
          <w:trHeight w:val="499"/>
        </w:trPr>
        <w:tc>
          <w:tcPr>
            <w:tcW w:w="2440" w:type="dxa"/>
            <w:vAlign w:val="bottom"/>
            <w:gridSpan w:val="2"/>
          </w:tcPr>
          <w:p>
            <w:pPr>
              <w:spacing w:after="0"/>
              <w:rPr>
                <w:sz w:val="20"/>
                <w:szCs w:val="20"/>
                <w:color w:val="auto"/>
              </w:rPr>
            </w:pPr>
            <w:r>
              <w:rPr>
                <w:rFonts w:ascii="Arial" w:cs="Arial" w:eastAsia="Arial" w:hAnsi="Arial"/>
                <w:sz w:val="18"/>
                <w:szCs w:val="18"/>
                <w:color w:val="auto"/>
              </w:rPr>
              <w:t>EXHIBIT 101.</w:t>
            </w:r>
          </w:p>
        </w:tc>
        <w:tc>
          <w:tcPr>
            <w:tcW w:w="8520" w:type="dxa"/>
            <w:vAlign w:val="bottom"/>
            <w:gridSpan w:val="7"/>
          </w:tcPr>
          <w:p>
            <w:pPr>
              <w:spacing w:after="0"/>
              <w:rPr>
                <w:sz w:val="20"/>
                <w:szCs w:val="20"/>
                <w:color w:val="auto"/>
              </w:rPr>
            </w:pPr>
            <w:r>
              <w:rPr>
                <w:rFonts w:ascii="Arial" w:cs="Arial" w:eastAsia="Arial" w:hAnsi="Arial"/>
                <w:sz w:val="18"/>
                <w:szCs w:val="18"/>
                <w:color w:val="auto"/>
              </w:rPr>
              <w:t>Interactive Data Files (embedded within the Inline XBRL document)</w:t>
            </w:r>
          </w:p>
        </w:tc>
        <w:tc>
          <w:tcPr>
            <w:tcW w:w="0" w:type="dxa"/>
            <w:vAlign w:val="bottom"/>
          </w:tcPr>
          <w:p>
            <w:pPr>
              <w:spacing w:after="0"/>
              <w:rPr>
                <w:sz w:val="1"/>
                <w:szCs w:val="1"/>
                <w:color w:val="auto"/>
              </w:rPr>
            </w:pPr>
          </w:p>
        </w:tc>
      </w:tr>
      <w:tr>
        <w:trPr>
          <w:trHeight w:val="500"/>
        </w:trPr>
        <w:tc>
          <w:tcPr>
            <w:tcW w:w="2440" w:type="dxa"/>
            <w:vAlign w:val="bottom"/>
            <w:gridSpan w:val="2"/>
          </w:tcPr>
          <w:p>
            <w:pPr>
              <w:spacing w:after="0"/>
              <w:rPr>
                <w:sz w:val="20"/>
                <w:szCs w:val="20"/>
                <w:color w:val="auto"/>
              </w:rPr>
            </w:pPr>
            <w:r>
              <w:rPr>
                <w:rFonts w:ascii="Arial" w:cs="Arial" w:eastAsia="Arial" w:hAnsi="Arial"/>
                <w:sz w:val="18"/>
                <w:szCs w:val="18"/>
                <w:color w:val="auto"/>
              </w:rPr>
              <w:t>EXHIBIT 104.</w:t>
            </w:r>
          </w:p>
        </w:tc>
        <w:tc>
          <w:tcPr>
            <w:tcW w:w="8520" w:type="dxa"/>
            <w:vAlign w:val="bottom"/>
            <w:gridSpan w:val="7"/>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3"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720" w:type="dxa"/>
            <w:vAlign w:val="bottom"/>
            <w:gridSpan w:val="2"/>
          </w:tcPr>
          <w:p>
            <w:pPr>
              <w:ind w:left="20"/>
              <w:spacing w:after="0"/>
              <w:rPr>
                <w:sz w:val="20"/>
                <w:szCs w:val="20"/>
                <w:color w:val="auto"/>
              </w:rPr>
            </w:pPr>
            <w:r>
              <w:rPr>
                <w:rFonts w:ascii="Arial" w:cs="Arial" w:eastAsia="Arial" w:hAnsi="Arial"/>
                <w:sz w:val="18"/>
                <w:szCs w:val="18"/>
                <w:color w:val="auto"/>
              </w:rPr>
              <w:t>ELI LILLY AND COMPANY</w:t>
            </w:r>
          </w:p>
        </w:tc>
      </w:tr>
      <w:tr>
        <w:trPr>
          <w:trHeight w:val="254"/>
        </w:trPr>
        <w:tc>
          <w:tcPr>
            <w:tcW w:w="5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(Registrant)</w:t>
            </w:r>
          </w:p>
        </w:tc>
        <w:tc>
          <w:tcPr>
            <w:tcW w:w="6560" w:type="dxa"/>
            <w:vAlign w:val="bottom"/>
          </w:tcPr>
          <w:p>
            <w:pPr>
              <w:spacing w:after="0"/>
              <w:rPr>
                <w:sz w:val="22"/>
                <w:szCs w:val="22"/>
                <w:color w:val="auto"/>
              </w:rPr>
            </w:pPr>
          </w:p>
        </w:tc>
      </w:tr>
      <w:tr>
        <w:trPr>
          <w:trHeight w:val="495"/>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1940" w:type="dxa"/>
            <w:vAlign w:val="bottom"/>
          </w:tcPr>
          <w:p>
            <w:pPr>
              <w:ind w:left="120"/>
              <w:spacing w:after="0"/>
              <w:rPr>
                <w:sz w:val="20"/>
                <w:szCs w:val="20"/>
                <w:color w:val="auto"/>
              </w:rPr>
            </w:pPr>
            <w:r>
              <w:rPr>
                <w:rFonts w:ascii="Arial" w:cs="Arial" w:eastAsia="Arial" w:hAnsi="Arial"/>
                <w:sz w:val="18"/>
                <w:szCs w:val="18"/>
                <w:color w:val="auto"/>
              </w:rPr>
              <w:t>October 28, 2020</w:t>
            </w:r>
          </w:p>
        </w:tc>
        <w:tc>
          <w:tcPr>
            <w:tcW w:w="8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/s/Joshua L. Smiley</w:t>
            </w:r>
          </w:p>
        </w:tc>
      </w:tr>
      <w:tr>
        <w:trPr>
          <w:trHeight w:val="214"/>
        </w:trPr>
        <w:tc>
          <w:tcPr>
            <w:tcW w:w="5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720" w:type="dxa"/>
            <w:vAlign w:val="bottom"/>
            <w:gridSpan w:val="2"/>
          </w:tcPr>
          <w:p>
            <w:pPr>
              <w:ind w:left="20"/>
              <w:spacing w:after="0"/>
              <w:rPr>
                <w:sz w:val="20"/>
                <w:szCs w:val="20"/>
                <w:color w:val="auto"/>
              </w:rPr>
            </w:pPr>
            <w:r>
              <w:rPr>
                <w:rFonts w:ascii="Arial" w:cs="Arial" w:eastAsia="Arial" w:hAnsi="Arial"/>
                <w:sz w:val="18"/>
                <w:szCs w:val="18"/>
                <w:color w:val="auto"/>
              </w:rPr>
              <w:t>Joshua L. Smiley</w:t>
            </w:r>
          </w:p>
        </w:tc>
      </w:tr>
      <w:tr>
        <w:trPr>
          <w:trHeight w:val="230"/>
        </w:trPr>
        <w:tc>
          <w:tcPr>
            <w:tcW w:w="5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720" w:type="dxa"/>
            <w:vAlign w:val="bottom"/>
            <w:gridSpan w:val="2"/>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39"/>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1940" w:type="dxa"/>
            <w:vAlign w:val="bottom"/>
          </w:tcPr>
          <w:p>
            <w:pPr>
              <w:ind w:left="120"/>
              <w:spacing w:after="0"/>
              <w:rPr>
                <w:sz w:val="20"/>
                <w:szCs w:val="20"/>
                <w:color w:val="auto"/>
              </w:rPr>
            </w:pPr>
            <w:r>
              <w:rPr>
                <w:rFonts w:ascii="Arial" w:cs="Arial" w:eastAsia="Arial" w:hAnsi="Arial"/>
                <w:sz w:val="18"/>
                <w:szCs w:val="18"/>
                <w:color w:val="auto"/>
              </w:rPr>
              <w:t>October 28, 2020</w:t>
            </w:r>
          </w:p>
        </w:tc>
        <w:tc>
          <w:tcPr>
            <w:tcW w:w="8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/s/Donald A. Zakrowski</w:t>
            </w:r>
          </w:p>
        </w:tc>
      </w:tr>
      <w:tr>
        <w:trPr>
          <w:trHeight w:val="214"/>
        </w:trPr>
        <w:tc>
          <w:tcPr>
            <w:tcW w:w="5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720" w:type="dxa"/>
            <w:vAlign w:val="bottom"/>
            <w:gridSpan w:val="2"/>
          </w:tcPr>
          <w:p>
            <w:pPr>
              <w:ind w:left="20"/>
              <w:spacing w:after="0"/>
              <w:rPr>
                <w:sz w:val="20"/>
                <w:szCs w:val="20"/>
                <w:color w:val="auto"/>
              </w:rPr>
            </w:pPr>
            <w:r>
              <w:rPr>
                <w:rFonts w:ascii="Arial" w:cs="Arial" w:eastAsia="Arial" w:hAnsi="Arial"/>
                <w:sz w:val="18"/>
                <w:szCs w:val="18"/>
                <w:color w:val="auto"/>
              </w:rPr>
              <w:t>Donald A. Zakrowski</w:t>
            </w:r>
          </w:p>
        </w:tc>
      </w:tr>
      <w:tr>
        <w:trPr>
          <w:trHeight w:val="243"/>
        </w:trPr>
        <w:tc>
          <w:tcPr>
            <w:tcW w:w="5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8720" w:type="dxa"/>
            <w:vAlign w:val="bottom"/>
            <w:gridSpan w:val="2"/>
          </w:tcPr>
          <w:p>
            <w:pPr>
              <w:ind w:left="20"/>
              <w:spacing w:after="0"/>
              <w:rPr>
                <w:sz w:val="20"/>
                <w:szCs w:val="20"/>
                <w:color w:val="auto"/>
              </w:rPr>
            </w:pPr>
            <w:r>
              <w:rPr>
                <w:rFonts w:ascii="Arial" w:cs="Arial" w:eastAsia="Arial" w:hAnsi="Arial"/>
                <w:sz w:val="18"/>
                <w:szCs w:val="18"/>
                <w:color w:val="auto"/>
              </w:rPr>
              <w:t>Vice President, Finance and Chief Accounting Officer</w:t>
            </w:r>
          </w:p>
        </w:tc>
      </w:tr>
      <w:tr>
        <w:trPr>
          <w:trHeight w:val="864"/>
        </w:trPr>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720" w:type="dxa"/>
            <w:vAlign w:val="bottom"/>
            <w:gridSpan w:val="2"/>
          </w:tcPr>
          <w:p>
            <w:pPr>
              <w:ind w:left="3020"/>
              <w:spacing w:after="0"/>
              <w:rPr>
                <w:sz w:val="20"/>
                <w:szCs w:val="20"/>
                <w:color w:val="auto"/>
              </w:rPr>
            </w:pPr>
            <w:r>
              <w:rPr>
                <w:rFonts w:ascii="Arial" w:cs="Arial" w:eastAsia="Arial" w:hAnsi="Arial"/>
                <w:sz w:val="18"/>
                <w:szCs w:val="18"/>
                <w:color w:val="auto"/>
              </w:rPr>
              <w:t>55</w:t>
            </w:r>
          </w:p>
        </w:tc>
      </w:tr>
    </w:tbl>
    <w:p>
      <w:pPr>
        <w:sectPr>
          <w:pgSz w:w="11900" w:h="16838" w:orient="portrait"/>
          <w:cols w:equalWidth="0" w:num="1">
            <w:col w:w="11220"/>
          </w:cols>
          <w:pgMar w:left="320" w:top="884"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EXHIBIT 18.1 Preferability Letter from Independent Registered Public Accounting Firm Regarding Change in Accounting Principle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October 28, 2020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 of the Board of Directors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Eli Lilly and Company</w:t>
      </w:r>
    </w:p>
    <w:p>
      <w:pPr>
        <w:spacing w:after="0" w:line="234" w:lineRule="auto"/>
        <w:rPr>
          <w:sz w:val="20"/>
          <w:szCs w:val="20"/>
          <w:color w:val="auto"/>
        </w:rPr>
      </w:pPr>
      <w:r>
        <w:rPr>
          <w:rFonts w:ascii="Arial" w:cs="Arial" w:eastAsia="Arial" w:hAnsi="Arial"/>
          <w:sz w:val="18"/>
          <w:szCs w:val="18"/>
          <w:color w:val="auto"/>
        </w:rPr>
        <w:t>Lilly Corporate Center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 46285</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Note 9 of the Notes to the Consolidated Condensed Financial Statements of Eli Lilly and Company and subsidiaries (the Company) included in its Quarterly Report on Form 10-Q for the three- and nine-month periods ended September 30, 2020 describes a change in the method of accounting for the computation of expected returns on U.S. Dollar denominated investment grade debt securities and derivatives in certain of the Company’s retirement benefit plans from a calculated value that includes changes in the fair values over a period of five years to actual fair value. There are no authoritative criteria for determining a 'preferable' method of accounting for calculating the expected returns on plan assets based on the particular circumstances; however, we conclude that such a change in method of accounting is to an acceptable alternative method which, based on your business judgment to make this change and for the stated reason, is preferable in your circumstances. We have not conducted an audit in accordance with the standards of the Public Company Accounting Oversight Board (United States) of any financial statements of the Company as of any date or for any period subsequent to December 31, 2019, and therefore we do not express any opinion on any financial statements of the Company subsequent to that date.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ectPr>
          <w:pgSz w:w="11900" w:h="16838" w:orient="portrait"/>
          <w:cols w:equalWidth="0" w:num="1">
            <w:col w:w="11240"/>
          </w:cols>
          <w:pgMar w:left="320" w:top="1413"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EXHIBIT 31.1 Rule 13a-14(a) Certification of David A. Ricks, Chairman, President, and Chief Executive Officer</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 David A. Ricks, certify that:</w:t>
      </w:r>
    </w:p>
    <w:p>
      <w:pPr>
        <w:spacing w:after="0" w:line="171"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60" w:hanging="332"/>
        <w:spacing w:after="0" w:line="271"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340" w:right="140" w:hanging="332"/>
        <w:spacing w:after="0" w:line="323" w:lineRule="auto"/>
        <w:tabs>
          <w:tab w:leader="none" w:pos="328"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Arial" w:cs="Arial" w:eastAsia="Arial" w:hAnsi="Arial"/>
          <w:sz w:val="17"/>
          <w:szCs w:val="17"/>
          <w:color w:val="auto"/>
        </w:rPr>
      </w:pPr>
    </w:p>
    <w:p>
      <w:pPr>
        <w:ind w:left="340" w:right="120" w:hanging="332"/>
        <w:spacing w:after="0" w:line="278" w:lineRule="auto"/>
        <w:tabs>
          <w:tab w:leader="none" w:pos="328"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49" w:lineRule="exact"/>
        <w:rPr>
          <w:rFonts w:ascii="Arial" w:cs="Arial" w:eastAsia="Arial" w:hAnsi="Arial"/>
          <w:sz w:val="17"/>
          <w:szCs w:val="17"/>
          <w:color w:val="auto"/>
        </w:rPr>
      </w:pPr>
    </w:p>
    <w:p>
      <w:pPr>
        <w:ind w:left="980" w:hanging="324"/>
        <w:spacing w:after="0" w:line="271" w:lineRule="auto"/>
        <w:tabs>
          <w:tab w:leader="none" w:pos="97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980" w:right="300" w:hanging="324"/>
        <w:spacing w:after="0" w:line="271" w:lineRule="auto"/>
        <w:tabs>
          <w:tab w:leader="none" w:pos="97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jc w:val="both"/>
        <w:ind w:left="980" w:right="240" w:hanging="324"/>
        <w:spacing w:after="0" w:line="271" w:lineRule="auto"/>
        <w:tabs>
          <w:tab w:leader="none" w:pos="968"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ind w:left="980" w:right="40" w:hanging="324"/>
        <w:spacing w:after="0" w:line="271" w:lineRule="auto"/>
        <w:tabs>
          <w:tab w:leader="none" w:pos="97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08" w:lineRule="exact"/>
        <w:rPr>
          <w:rFonts w:ascii="Arial" w:cs="Arial" w:eastAsia="Arial" w:hAnsi="Arial"/>
          <w:sz w:val="18"/>
          <w:szCs w:val="18"/>
          <w:color w:val="auto"/>
        </w:rPr>
      </w:pPr>
    </w:p>
    <w:p>
      <w:pPr>
        <w:ind w:left="340" w:right="80" w:hanging="332"/>
        <w:spacing w:after="0" w:line="271"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Arial" w:cs="Arial" w:eastAsia="Arial" w:hAnsi="Arial"/>
          <w:sz w:val="18"/>
          <w:szCs w:val="18"/>
          <w:color w:val="auto"/>
        </w:rPr>
      </w:pPr>
    </w:p>
    <w:p>
      <w:pPr>
        <w:jc w:val="both"/>
        <w:ind w:left="980" w:right="240" w:hanging="324"/>
        <w:spacing w:after="0" w:line="271" w:lineRule="auto"/>
        <w:tabs>
          <w:tab w:leader="none" w:pos="97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8"/>
          <w:szCs w:val="18"/>
          <w:color w:val="auto"/>
        </w:rPr>
      </w:pPr>
    </w:p>
    <w:p>
      <w:pPr>
        <w:ind w:left="980" w:right="160" w:hanging="324"/>
        <w:spacing w:after="0" w:line="292" w:lineRule="auto"/>
        <w:tabs>
          <w:tab w:leader="none" w:pos="97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6"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w:t>
        <w:tab/>
        <w:t>October 28, 2020</w:t>
      </w:r>
    </w:p>
    <w:p>
      <w:pPr>
        <w:spacing w:after="0" w:line="320"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28575</wp:posOffset>
            </wp:positionV>
            <wp:extent cx="36861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David A. Ricks</w:t>
      </w:r>
    </w:p>
    <w:p>
      <w:pPr>
        <w:spacing w:after="0" w:line="5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220"/>
          </w:cols>
          <w:pgMar w:left="320" w:top="1143"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EXHIBIT 31.2 Rule 13a-14(a) Certification of Joshua L. Smiley, Senior Vice President and Chief Financial Officer</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 Joshua L. Smiley, certify that:</w:t>
      </w:r>
    </w:p>
    <w:p>
      <w:pPr>
        <w:spacing w:after="0" w:line="171"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60" w:hanging="332"/>
        <w:spacing w:after="0" w:line="271" w:lineRule="auto"/>
        <w:tabs>
          <w:tab w:leader="none" w:pos="3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340" w:right="140" w:hanging="332"/>
        <w:spacing w:after="0" w:line="323" w:lineRule="auto"/>
        <w:tabs>
          <w:tab w:leader="none" w:pos="328"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Arial" w:cs="Arial" w:eastAsia="Arial" w:hAnsi="Arial"/>
          <w:sz w:val="17"/>
          <w:szCs w:val="17"/>
          <w:color w:val="auto"/>
        </w:rPr>
      </w:pPr>
    </w:p>
    <w:p>
      <w:pPr>
        <w:ind w:left="340" w:right="120" w:hanging="332"/>
        <w:spacing w:after="0" w:line="278" w:lineRule="auto"/>
        <w:tabs>
          <w:tab w:leader="none" w:pos="328"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49" w:lineRule="exact"/>
        <w:rPr>
          <w:rFonts w:ascii="Arial" w:cs="Arial" w:eastAsia="Arial" w:hAnsi="Arial"/>
          <w:sz w:val="17"/>
          <w:szCs w:val="17"/>
          <w:color w:val="auto"/>
        </w:rPr>
      </w:pPr>
    </w:p>
    <w:p>
      <w:pPr>
        <w:ind w:left="980" w:hanging="324"/>
        <w:spacing w:after="0" w:line="271" w:lineRule="auto"/>
        <w:tabs>
          <w:tab w:leader="none" w:pos="97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980" w:right="300" w:hanging="324"/>
        <w:spacing w:after="0" w:line="271" w:lineRule="auto"/>
        <w:tabs>
          <w:tab w:leader="none" w:pos="97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jc w:val="both"/>
        <w:ind w:left="980" w:right="240" w:hanging="324"/>
        <w:spacing w:after="0" w:line="271" w:lineRule="auto"/>
        <w:tabs>
          <w:tab w:leader="none" w:pos="968"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ind w:left="980" w:right="40" w:hanging="324"/>
        <w:spacing w:after="0" w:line="271" w:lineRule="auto"/>
        <w:tabs>
          <w:tab w:leader="none" w:pos="97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08" w:lineRule="exact"/>
        <w:rPr>
          <w:rFonts w:ascii="Arial" w:cs="Arial" w:eastAsia="Arial" w:hAnsi="Arial"/>
          <w:sz w:val="18"/>
          <w:szCs w:val="18"/>
          <w:color w:val="auto"/>
        </w:rPr>
      </w:pPr>
    </w:p>
    <w:p>
      <w:pPr>
        <w:ind w:left="340" w:right="80" w:hanging="332"/>
        <w:spacing w:after="0" w:line="271" w:lineRule="auto"/>
        <w:tabs>
          <w:tab w:leader="none" w:pos="3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Arial" w:cs="Arial" w:eastAsia="Arial" w:hAnsi="Arial"/>
          <w:sz w:val="18"/>
          <w:szCs w:val="18"/>
          <w:color w:val="auto"/>
        </w:rPr>
      </w:pPr>
    </w:p>
    <w:p>
      <w:pPr>
        <w:jc w:val="both"/>
        <w:ind w:left="980" w:right="240" w:hanging="324"/>
        <w:spacing w:after="0" w:line="271" w:lineRule="auto"/>
        <w:tabs>
          <w:tab w:leader="none" w:pos="97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8"/>
          <w:szCs w:val="18"/>
          <w:color w:val="auto"/>
        </w:rPr>
      </w:pPr>
    </w:p>
    <w:p>
      <w:pPr>
        <w:ind w:left="980" w:right="160" w:hanging="324"/>
        <w:spacing w:after="0" w:line="292" w:lineRule="auto"/>
        <w:tabs>
          <w:tab w:leader="none" w:pos="97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6"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w:t>
        <w:tab/>
        <w:t>October 28, 2020</w:t>
      </w:r>
    </w:p>
    <w:p>
      <w:pPr>
        <w:spacing w:after="0" w:line="320"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/s/Joshua L. Smiley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28575</wp:posOffset>
            </wp:positionV>
            <wp:extent cx="36861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Joshua L. Smiley</w:t>
      </w:r>
    </w:p>
    <w:p>
      <w:pPr>
        <w:spacing w:after="0" w:line="5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20"/>
          </w:cols>
          <w:pgMar w:left="320" w:top="1143"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EXHIBIT 32. Section 1350 Certification</w:t>
      </w:r>
    </w:p>
    <w:p>
      <w:pPr>
        <w:spacing w:after="0" w:line="171" w:lineRule="exact"/>
        <w:rPr>
          <w:sz w:val="20"/>
          <w:szCs w:val="20"/>
          <w:color w:val="auto"/>
        </w:rPr>
      </w:pPr>
    </w:p>
    <w:p>
      <w:pPr>
        <w:jc w:val="both"/>
        <w:ind w:right="220"/>
        <w:spacing w:after="0" w:line="271"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0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Quarterly Report on Form 10-Q for the quarter ended September 30, 2020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84" w:lineRule="exact"/>
        <w:rPr>
          <w:sz w:val="20"/>
          <w:szCs w:val="20"/>
          <w:color w:val="auto"/>
        </w:rPr>
      </w:pPr>
    </w:p>
    <w:p>
      <w:pPr>
        <w:ind w:left="20"/>
        <w:spacing w:after="0"/>
        <w:tabs>
          <w:tab w:leader="none" w:pos="660" w:val="left"/>
          <w:tab w:leader="none" w:pos="5820" w:val="left"/>
        </w:tabs>
        <w:rPr>
          <w:sz w:val="20"/>
          <w:szCs w:val="20"/>
          <w:color w:val="auto"/>
        </w:rPr>
      </w:pPr>
      <w:r>
        <w:rPr>
          <w:rFonts w:ascii="Arial" w:cs="Arial" w:eastAsia="Arial" w:hAnsi="Arial"/>
          <w:sz w:val="18"/>
          <w:szCs w:val="18"/>
          <w:color w:val="auto"/>
        </w:rPr>
        <w:t>Date:</w:t>
        <w:tab/>
        <w:t>October 28, 2020</w:t>
      </w:r>
      <w:r>
        <w:rPr>
          <w:sz w:val="20"/>
          <w:szCs w:val="20"/>
          <w:color w:val="auto"/>
        </w:rPr>
        <w:tab/>
      </w:r>
      <w:r>
        <w:rPr>
          <w:rFonts w:ascii="Arial" w:cs="Arial" w:eastAsia="Arial" w:hAnsi="Arial"/>
          <w:sz w:val="17"/>
          <w:szCs w:val="17"/>
          <w:color w:val="auto"/>
        </w:rPr>
        <w:t>/s/David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28575</wp:posOffset>
            </wp:positionV>
            <wp:extent cx="3566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David A. Ricks</w:t>
      </w:r>
    </w:p>
    <w:p>
      <w:pPr>
        <w:spacing w:after="0" w:line="5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660" w:val="left"/>
          <w:tab w:leader="none" w:pos="5820" w:val="left"/>
        </w:tabs>
        <w:rPr>
          <w:sz w:val="20"/>
          <w:szCs w:val="20"/>
          <w:color w:val="auto"/>
        </w:rPr>
      </w:pPr>
      <w:r>
        <w:rPr>
          <w:rFonts w:ascii="Arial" w:cs="Arial" w:eastAsia="Arial" w:hAnsi="Arial"/>
          <w:sz w:val="18"/>
          <w:szCs w:val="18"/>
          <w:color w:val="auto"/>
        </w:rPr>
        <w:t>Date:</w:t>
        <w:tab/>
        <w:t>October 28, 2020</w:t>
      </w:r>
      <w:r>
        <w:rPr>
          <w:sz w:val="20"/>
          <w:szCs w:val="20"/>
          <w:color w:val="auto"/>
        </w:rPr>
        <w:tab/>
      </w:r>
      <w:r>
        <w:rPr>
          <w:rFonts w:ascii="Arial" w:cs="Arial" w:eastAsia="Arial" w:hAnsi="Arial"/>
          <w:sz w:val="17"/>
          <w:szCs w:val="17"/>
          <w:color w:val="auto"/>
        </w:rPr>
        <w:t>/s/Joshua L. Smiley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28575</wp:posOffset>
            </wp:positionV>
            <wp:extent cx="3566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Joshua L. Smiley</w:t>
      </w:r>
    </w:p>
    <w:p>
      <w:pPr>
        <w:spacing w:after="0" w:line="5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120"/>
      </w:cols>
      <w:pgMar w:left="320" w:top="104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4"/>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lowerRoman"/>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14" Type="http://schemas.openxmlformats.org/officeDocument/2006/relationships/hyperlink" Target="https://www.sec.gov/Archives/edgar/data/59478/000005947820000104/lly-3312020x10q.htm" TargetMode="External"/><Relationship Id="rId15" Type="http://schemas.openxmlformats.org/officeDocument/2006/relationships/hyperlink" Target="https://www.sec.gov/Archives/edgar/data/59478/000005947820000131/lly-20200630.htm" TargetMode="External"/><Relationship Id="rId16" Type="http://schemas.openxmlformats.org/officeDocument/2006/relationships/hyperlink" Target="http://www.sec.gov/Archives/edgar/data/59478/000005947820000057/lly-20191231x10xk.htm" TargetMode="External"/><Relationship Id="rId72" Type="http://schemas.openxmlformats.org/officeDocument/2006/relationships/hyperlink" Target="http://www.sec.gov/Archives/edgar/data/59478/000005947820000104/lly-3312020x10q.htm" TargetMode="External"/><Relationship Id="rId73" Type="http://schemas.openxmlformats.org/officeDocument/2006/relationships/hyperlink" Target="https://www.sec.gov/Archives/edgar/data/59478/000005947820000057/lly-20191231x10xk.htm" TargetMode="External"/><Relationship Id="rId76" Type="http://schemas.openxmlformats.org/officeDocument/2006/relationships/hyperlink" Target="http://www.sec.gov/Archives/edgar/data/59478/000005947814000078/lly-20131231x10kexhibit31.htm" TargetMode="External"/><Relationship Id="rId77" Type="http://schemas.openxmlformats.org/officeDocument/2006/relationships/hyperlink" Target="http://www.sec.gov/Archives/edgar/data/59478/000005947819000335/elilillyandcompanyby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2020-10-28T10:00:08Z</dcterms:created>
  <dcterms:modified xsi:type="dcterms:W3CDTF">2020-10-28T10:00:08Z</dcterms:modified>
</cp:coreProperties>
</file>