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79"/>
        <w:spacing w:after="0" w:line="222"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253365</wp:posOffset>
            </wp:positionV>
            <wp:extent cx="2442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224790</wp:posOffset>
            </wp:positionV>
            <wp:extent cx="2442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6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201930</wp:posOffset>
            </wp:positionV>
            <wp:extent cx="24428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43"/>
          <w:szCs w:val="43"/>
          <w:b w:val="1"/>
          <w:bCs w:val="1"/>
          <w:color w:val="auto"/>
        </w:rPr>
        <w:t>ELI LILLY AND COMPANY</w:t>
      </w:r>
    </w:p>
    <w:p>
      <w:pPr>
        <w:spacing w:after="0" w:line="8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208280</wp:posOffset>
            </wp:positionV>
            <wp:extent cx="2442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960" w:type="dxa"/>
        <w:tblCellMar>
          <w:top w:w="0" w:type="dxa"/>
          <w:left w:w="0" w:type="dxa"/>
          <w:bottom w:w="0" w:type="dxa"/>
          <w:right w:w="0" w:type="dxa"/>
        </w:tblCellMar>
      </w:tblPr>
      <w:tr>
        <w:trPr>
          <w:trHeight w:val="236"/>
        </w:trPr>
        <w:tc>
          <w:tcPr>
            <w:tcW w:w="3120" w:type="dxa"/>
            <w:vAlign w:val="bottom"/>
          </w:tcPr>
          <w:p>
            <w:pPr>
              <w:jc w:val="center"/>
              <w:ind w:right="1116"/>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3440" w:type="dxa"/>
            <w:vAlign w:val="bottom"/>
          </w:tcPr>
          <w:p>
            <w:pPr>
              <w:jc w:val="center"/>
              <w:ind w:right="56"/>
              <w:spacing w:after="0"/>
              <w:rPr>
                <w:sz w:val="20"/>
                <w:szCs w:val="20"/>
                <w:color w:val="auto"/>
              </w:rPr>
            </w:pPr>
            <w:r>
              <w:rPr>
                <w:rFonts w:ascii="Times New Roman" w:cs="Times New Roman" w:eastAsia="Times New Roman" w:hAnsi="Times New Roman"/>
                <w:sz w:val="18"/>
                <w:szCs w:val="18"/>
                <w:b w:val="1"/>
                <w:bCs w:val="1"/>
                <w:color w:val="auto"/>
                <w:w w:val="99"/>
              </w:rPr>
              <w:t>001-06351</w:t>
            </w:r>
          </w:p>
        </w:tc>
        <w:tc>
          <w:tcPr>
            <w:tcW w:w="2560" w:type="dxa"/>
            <w:vAlign w:val="bottom"/>
          </w:tcPr>
          <w:p>
            <w:pPr>
              <w:jc w:val="center"/>
              <w:ind w:left="1216"/>
              <w:spacing w:after="0"/>
              <w:rPr>
                <w:sz w:val="20"/>
                <w:szCs w:val="20"/>
                <w:color w:val="auto"/>
              </w:rPr>
            </w:pPr>
            <w:r>
              <w:rPr>
                <w:rFonts w:ascii="Times New Roman" w:cs="Times New Roman" w:eastAsia="Times New Roman" w:hAnsi="Times New Roman"/>
                <w:sz w:val="18"/>
                <w:szCs w:val="18"/>
                <w:b w:val="1"/>
                <w:bCs w:val="1"/>
                <w:color w:val="auto"/>
                <w:w w:val="98"/>
              </w:rPr>
              <w:t>35-0470950</w:t>
            </w:r>
          </w:p>
        </w:tc>
      </w:tr>
      <w:tr>
        <w:trPr>
          <w:trHeight w:val="164"/>
        </w:trPr>
        <w:tc>
          <w:tcPr>
            <w:tcW w:w="3120" w:type="dxa"/>
            <w:vAlign w:val="bottom"/>
          </w:tcPr>
          <w:p>
            <w:pPr>
              <w:jc w:val="center"/>
              <w:ind w:right="1116"/>
              <w:spacing w:after="0" w:line="165" w:lineRule="exact"/>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3440" w:type="dxa"/>
            <w:vAlign w:val="bottom"/>
          </w:tcPr>
          <w:p>
            <w:pPr>
              <w:jc w:val="center"/>
              <w:ind w:right="36"/>
              <w:spacing w:after="0" w:line="165" w:lineRule="exact"/>
              <w:rPr>
                <w:sz w:val="20"/>
                <w:szCs w:val="20"/>
                <w:color w:val="auto"/>
              </w:rPr>
            </w:pPr>
            <w:r>
              <w:rPr>
                <w:rFonts w:ascii="Times New Roman" w:cs="Times New Roman" w:eastAsia="Times New Roman" w:hAnsi="Times New Roman"/>
                <w:sz w:val="16"/>
                <w:szCs w:val="16"/>
                <w:b w:val="1"/>
                <w:bCs w:val="1"/>
                <w:color w:val="auto"/>
              </w:rPr>
              <w:t>(Commission</w:t>
            </w:r>
          </w:p>
        </w:tc>
        <w:tc>
          <w:tcPr>
            <w:tcW w:w="2560" w:type="dxa"/>
            <w:vAlign w:val="bottom"/>
          </w:tcPr>
          <w:p>
            <w:pPr>
              <w:jc w:val="center"/>
              <w:ind w:left="1216"/>
              <w:spacing w:after="0" w:line="165" w:lineRule="exact"/>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3120" w:type="dxa"/>
            <w:vAlign w:val="bottom"/>
          </w:tcPr>
          <w:p>
            <w:pPr>
              <w:jc w:val="center"/>
              <w:ind w:right="1116"/>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34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2560" w:type="dxa"/>
            <w:vAlign w:val="bottom"/>
          </w:tcPr>
          <w:p>
            <w:pPr>
              <w:jc w:val="center"/>
              <w:ind w:left="1216"/>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bl>
    <w:p>
      <w:pPr>
        <w:spacing w:after="0" w:line="200" w:lineRule="exact"/>
        <w:rPr>
          <w:sz w:val="24"/>
          <w:szCs w:val="24"/>
          <w:color w:val="auto"/>
        </w:rPr>
      </w:pPr>
    </w:p>
    <w:p>
      <w:pPr>
        <w:sectPr>
          <w:pgSz w:w="11900" w:h="16838" w:orient="portrait"/>
          <w:cols w:equalWidth="0" w:num="1">
            <w:col w:w="10740"/>
          </w:cols>
          <w:pgMar w:left="320" w:top="1342"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Lilly Corporate Center</w:t>
      </w:r>
    </w:p>
    <w:p>
      <w:pPr>
        <w:spacing w:after="0" w:line="3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Indianapolis, Indiana</w:t>
      </w:r>
    </w:p>
    <w:p>
      <w:pPr>
        <w:spacing w:after="0" w:line="23"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46285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95" w:lineRule="exact"/>
        <w:rPr>
          <w:sz w:val="24"/>
          <w:szCs w:val="24"/>
          <w:color w:val="auto"/>
        </w:rPr>
      </w:pPr>
    </w:p>
    <w:p>
      <w:pPr>
        <w:sectPr>
          <w:pgSz w:w="11900" w:h="16838" w:orient="portrait"/>
          <w:cols w:equalWidth="0" w:num="2">
            <w:col w:w="9180" w:space="720"/>
            <w:col w:w="840"/>
          </w:cols>
          <w:pgMar w:left="320" w:top="1342" w:right="839" w:bottom="1440" w:gutter="0" w:footer="0" w:header="0"/>
          <w:type w:val="continuous"/>
        </w:sect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(317) 276-2000</w:t>
      </w:r>
    </w:p>
    <w:p>
      <w:pPr>
        <w:spacing w:after="0" w:line="264"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0740"/>
          </w:cols>
          <w:pgMar w:left="320" w:top="1342" w:right="839" w:bottom="1440" w:gutter="0" w:footer="0" w:header="0"/>
          <w:type w:val="continuous"/>
        </w:sectPr>
      </w:pPr>
    </w:p>
    <w:p>
      <w:pPr>
        <w:spacing w:after="0" w:line="264"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w:t>
      </w:r>
    </w:p>
    <w:p>
      <w:pPr>
        <w:spacing w:after="0" w:line="67" w:lineRule="exact"/>
        <w:rPr>
          <w:sz w:val="24"/>
          <w:szCs w:val="24"/>
          <w:color w:val="auto"/>
        </w:rPr>
      </w:pPr>
    </w:p>
    <w:p>
      <w:pPr>
        <w:ind w:left="940" w:hanging="914"/>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920" w:hanging="874"/>
        <w:spacing w:after="0"/>
        <w:tabs>
          <w:tab w:leader="none" w:pos="9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920" w:hanging="881"/>
        <w:spacing w:after="0"/>
        <w:tabs>
          <w:tab w:leader="none" w:pos="9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847"/>
        <w:spacing w:after="0"/>
        <w:tabs>
          <w:tab w:leader="none" w:pos="9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342"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60" w:type="dxa"/>
            <w:vAlign w:val="bottom"/>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1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LLY</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0"/>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7 1/8% Notes due 2025</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LLY25</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9"/>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1.625% Notes due 2026</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LLY26</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9"/>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2.125% Notes due 2030</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LLY30</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0"/>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0.625% Notes due 2031</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LLY31</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9"/>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0.500% Notes due 2033</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LLY33</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0"/>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6.77% Notes due 2036</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LLY36</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9"/>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1.625% Notes due 2043</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LLY43</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9"/>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1.700% Notes due 2049</w:t>
            </w:r>
          </w:p>
        </w:tc>
        <w:tc>
          <w:tcPr>
            <w:tcW w:w="31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LLY49A</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0"/>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1.125% Notes due 2051</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LLY51</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1.375% Notes due 2061</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LLY61</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9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36"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ind w:right="2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14"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8"/>
          <w:szCs w:val="18"/>
          <w:color w:val="auto"/>
        </w:rPr>
        <w:t>On June 5, 2024, Eli Lilly and Company (the “Company”) announced that Anat Ashkenazi resigned as executive vice president and chief financial officer of the Company to pursue another career opportunity outside of the pharmaceutical industry. Effective July 15, 2024, Gordon Brooks, age 55, group vice</w:t>
      </w:r>
    </w:p>
    <w:p>
      <w:pPr>
        <w:spacing w:after="0"/>
        <w:rPr>
          <w:sz w:val="20"/>
          <w:szCs w:val="20"/>
          <w:color w:val="auto"/>
        </w:rPr>
      </w:pPr>
      <w:r>
        <w:rPr>
          <w:rFonts w:ascii="Times New Roman" w:cs="Times New Roman" w:eastAsia="Times New Roman" w:hAnsi="Times New Roman"/>
          <w:sz w:val="18"/>
          <w:szCs w:val="18"/>
          <w:color w:val="auto"/>
        </w:rPr>
        <w:t>president, controller and corporate strategy, of the Company, will assume the role of interim chief financial officer of the Company.</w:t>
      </w:r>
    </w:p>
    <w:p>
      <w:pPr>
        <w:spacing w:after="0" w:line="205"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During his 29-year career with the Company, Mr. Brooks has held various leadership roles across the Company’s finance organization, including as senior vice president, chief procurement officer, from February 2019 to March 2024, prior to becoming the group vice president, controller and corporate strategy. Previous finance leadership roles held by Mr. Brooks include chief financial officer for Lilly U.S. Bio-Medicines, chief financial officer of manufacturing and quality, leader of the Company’s corporate finance investment banking group, and general auditor.</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are no arrangements or understandings between Mr. Brooks and any person pursuant to which Mr. Brooks was selected as an officer. There is no family relationship between Mr. Brooks and any director or executive officer of the Company, and Mr. Brooks is not a party to any transaction subject to Item 404(a) of Regulation S-K involving the Company or any of its subsidiaries.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Ashkenazi will remain at the Company through the end of July 2024 to facilitate the transition of her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5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(Registrant)</w:t>
      </w:r>
    </w:p>
    <w:p>
      <w:pPr>
        <w:spacing w:after="0" w:line="252" w:lineRule="exact"/>
        <w:rPr>
          <w:sz w:val="20"/>
          <w:szCs w:val="20"/>
          <w:color w:val="auto"/>
        </w:rPr>
      </w:pPr>
    </w:p>
    <w:tbl>
      <w:tblPr>
        <w:tblLayout w:type="fixed"/>
        <w:tblInd w:w="5680" w:type="dxa"/>
        <w:tblCellMar>
          <w:top w:w="0" w:type="dxa"/>
          <w:left w:w="0" w:type="dxa"/>
          <w:bottom w:w="0" w:type="dxa"/>
          <w:right w:w="0" w:type="dxa"/>
        </w:tblCellMar>
      </w:tblPr>
      <w:tr>
        <w:trPr>
          <w:trHeight w:val="25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Anat Hakim</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Anat Hakim</w:t>
            </w:r>
          </w:p>
        </w:tc>
      </w:tr>
      <w:tr>
        <w:trPr>
          <w:trHeight w:val="22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 and</w:t>
            </w:r>
          </w:p>
        </w:tc>
      </w:tr>
      <w:tr>
        <w:trPr>
          <w:trHeight w:val="234"/>
        </w:trPr>
        <w:tc>
          <w:tcPr>
            <w:tcW w:w="10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10, 2024</w:t>
            </w:r>
          </w:p>
        </w:tc>
      </w:tr>
    </w:tbl>
    <w:p>
      <w:pPr>
        <w:spacing w:after="0" w:line="1" w:lineRule="exact"/>
        <w:rPr>
          <w:sz w:val="20"/>
          <w:szCs w:val="20"/>
          <w:color w:val="auto"/>
        </w:rPr>
      </w:pPr>
    </w:p>
    <w:sectPr>
      <w:pgSz w:w="11900" w:h="16838" w:orient="portrait"/>
      <w:cols w:equalWidth="0" w:num="1">
        <w:col w:w="11240"/>
      </w:cols>
      <w:pgMar w:left="320" w:top="12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2024-07-10T07:43:25Z</dcterms:created>
  <dcterms:modified xsi:type="dcterms:W3CDTF">2024-07-10T07:43:25Z</dcterms:modified>
</cp:coreProperties>
</file>