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ind w:left="3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13E-4</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ISSUER TENDER OFFER STATEMENT</w:t>
      </w:r>
    </w:p>
    <w:p>
      <w:pPr>
        <w:jc w:val="center"/>
        <w:ind w:right="1999"/>
        <w:spacing w:after="0" w:line="238" w:lineRule="auto"/>
        <w:rPr>
          <w:sz w:val="20"/>
          <w:szCs w:val="20"/>
          <w:color w:val="auto"/>
        </w:rPr>
      </w:pPr>
      <w:r>
        <w:rPr>
          <w:rFonts w:ascii="Courier New" w:cs="Courier New" w:eastAsia="Courier New" w:hAnsi="Courier New"/>
          <w:sz w:val="18"/>
          <w:szCs w:val="18"/>
          <w:color w:val="auto"/>
        </w:rPr>
        <w:t>(Pursuant to Section 13(e)(1) of the</w:t>
      </w:r>
    </w:p>
    <w:p>
      <w:pPr>
        <w:jc w:val="center"/>
        <w:ind w:right="1999"/>
        <w:spacing w:after="0"/>
        <w:rPr>
          <w:sz w:val="20"/>
          <w:szCs w:val="20"/>
          <w:color w:val="auto"/>
        </w:rPr>
      </w:pPr>
      <w:r>
        <w:rPr>
          <w:rFonts w:ascii="Courier New" w:cs="Courier New" w:eastAsia="Courier New" w:hAnsi="Courier New"/>
          <w:sz w:val="18"/>
          <w:szCs w:val="18"/>
          <w:color w:val="auto"/>
        </w:rPr>
        <w:t>Securities Exchange Act of 1934)</w:t>
      </w:r>
    </w:p>
    <w:p>
      <w:pPr>
        <w:jc w:val="center"/>
        <w:ind w:right="1879"/>
        <w:spacing w:after="0" w:line="237" w:lineRule="auto"/>
        <w:rPr>
          <w:sz w:val="20"/>
          <w:szCs w:val="20"/>
          <w:color w:val="auto"/>
        </w:rPr>
      </w:pPr>
      <w:r>
        <w:rPr>
          <w:rFonts w:ascii="Courier New" w:cs="Courier New" w:eastAsia="Courier New" w:hAnsi="Courier New"/>
          <w:sz w:val="18"/>
          <w:szCs w:val="18"/>
          <w:color w:val="auto"/>
        </w:rPr>
        <w:t>(AMENDMENT NO. 3)</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ELI LILLY AND COMPANY</w:t>
      </w:r>
    </w:p>
    <w:p>
      <w:pPr>
        <w:ind w:left="32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ELI LILLY AND COMPANY</w:t>
      </w:r>
    </w:p>
    <w:p>
      <w:pPr>
        <w:ind w:left="2220"/>
        <w:spacing w:after="0" w:line="238" w:lineRule="auto"/>
        <w:rPr>
          <w:sz w:val="20"/>
          <w:szCs w:val="20"/>
          <w:color w:val="auto"/>
        </w:rPr>
      </w:pPr>
      <w:r>
        <w:rPr>
          <w:rFonts w:ascii="Courier New" w:cs="Courier New" w:eastAsia="Courier New" w:hAnsi="Courier New"/>
          <w:sz w:val="18"/>
          <w:szCs w:val="18"/>
          <w:color w:val="auto"/>
        </w:rPr>
        <w:t>(Name of Person(s) Filing Statement)</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COMMON STOCK, without</w:t>
      </w:r>
    </w:p>
    <w:p>
      <w:pPr>
        <w:jc w:val="center"/>
        <w:ind w:right="1879"/>
        <w:spacing w:after="0" w:line="238" w:lineRule="auto"/>
        <w:rPr>
          <w:sz w:val="20"/>
          <w:szCs w:val="20"/>
          <w:color w:val="auto"/>
        </w:rPr>
      </w:pPr>
      <w:r>
        <w:rPr>
          <w:rFonts w:ascii="Courier New" w:cs="Courier New" w:eastAsia="Courier New" w:hAnsi="Courier New"/>
          <w:sz w:val="18"/>
          <w:szCs w:val="18"/>
          <w:color w:val="auto"/>
        </w:rPr>
        <w:t>par value</w:t>
      </w:r>
    </w:p>
    <w:p>
      <w:pPr>
        <w:jc w:val="center"/>
        <w:ind w:right="199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532457 10 8</w:t>
      </w:r>
    </w:p>
    <w:p>
      <w:pPr>
        <w:jc w:val="center"/>
        <w:ind w:right="18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Rebecca O. Goss</w:t>
      </w:r>
    </w:p>
    <w:p>
      <w:pPr>
        <w:ind w:left="3060"/>
        <w:spacing w:after="0" w:line="238" w:lineRule="auto"/>
        <w:rPr>
          <w:sz w:val="20"/>
          <w:szCs w:val="20"/>
          <w:color w:val="auto"/>
        </w:rPr>
      </w:pPr>
      <w:r>
        <w:rPr>
          <w:rFonts w:ascii="Courier New" w:cs="Courier New" w:eastAsia="Courier New" w:hAnsi="Courier New"/>
          <w:sz w:val="18"/>
          <w:szCs w:val="18"/>
          <w:color w:val="auto"/>
        </w:rPr>
        <w:t>ELI LILLY AND COMPANY</w:t>
      </w:r>
    </w:p>
    <w:p>
      <w:pPr>
        <w:ind w:left="2960"/>
        <w:spacing w:after="0"/>
        <w:rPr>
          <w:sz w:val="20"/>
          <w:szCs w:val="20"/>
          <w:color w:val="auto"/>
        </w:rPr>
      </w:pPr>
      <w:r>
        <w:rPr>
          <w:rFonts w:ascii="Courier New" w:cs="Courier New" w:eastAsia="Courier New" w:hAnsi="Courier New"/>
          <w:sz w:val="18"/>
          <w:szCs w:val="18"/>
          <w:color w:val="auto"/>
        </w:rPr>
        <w:t>Lilly Corporate Center</w:t>
      </w:r>
    </w:p>
    <w:p>
      <w:pPr>
        <w:ind w:left="2740"/>
        <w:spacing w:after="0" w:line="237" w:lineRule="auto"/>
        <w:rPr>
          <w:sz w:val="20"/>
          <w:szCs w:val="20"/>
          <w:color w:val="auto"/>
        </w:rPr>
      </w:pPr>
      <w:r>
        <w:rPr>
          <w:rFonts w:ascii="Courier New" w:cs="Courier New" w:eastAsia="Courier New" w:hAnsi="Courier New"/>
          <w:sz w:val="18"/>
          <w:szCs w:val="18"/>
          <w:color w:val="auto"/>
        </w:rPr>
        <w:t>Indianapolis, Indiana 46285</w:t>
      </w:r>
    </w:p>
    <w:p>
      <w:pPr>
        <w:spacing w:after="0" w:line="5" w:lineRule="exact"/>
        <w:rPr>
          <w:sz w:val="24"/>
          <w:szCs w:val="24"/>
          <w:color w:val="auto"/>
        </w:rPr>
      </w:pPr>
    </w:p>
    <w:p>
      <w:pPr>
        <w:ind w:left="3700" w:right="5359" w:hanging="321"/>
        <w:spacing w:after="0" w:line="536" w:lineRule="auto"/>
        <w:tabs>
          <w:tab w:leader="none" w:pos="401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276-2000 -Copy to-</w:t>
      </w:r>
    </w:p>
    <w:p>
      <w:pPr>
        <w:ind w:left="3380"/>
        <w:spacing w:after="0" w:line="234" w:lineRule="auto"/>
        <w:rPr>
          <w:sz w:val="20"/>
          <w:szCs w:val="20"/>
          <w:color w:val="auto"/>
        </w:rPr>
      </w:pPr>
      <w:r>
        <w:rPr>
          <w:rFonts w:ascii="Courier New" w:cs="Courier New" w:eastAsia="Courier New" w:hAnsi="Courier New"/>
          <w:sz w:val="18"/>
          <w:szCs w:val="18"/>
          <w:color w:val="auto"/>
        </w:rPr>
        <w:t>Bernard E. Kury</w:t>
      </w:r>
    </w:p>
    <w:p>
      <w:pPr>
        <w:ind w:left="3280"/>
        <w:spacing w:after="0" w:line="238" w:lineRule="auto"/>
        <w:rPr>
          <w:sz w:val="20"/>
          <w:szCs w:val="20"/>
          <w:color w:val="auto"/>
        </w:rPr>
      </w:pPr>
      <w:r>
        <w:rPr>
          <w:rFonts w:ascii="Courier New" w:cs="Courier New" w:eastAsia="Courier New" w:hAnsi="Courier New"/>
          <w:sz w:val="18"/>
          <w:szCs w:val="18"/>
          <w:color w:val="auto"/>
        </w:rPr>
        <w:t>Dewey Ballantine</w:t>
      </w:r>
    </w:p>
    <w:p>
      <w:pPr>
        <w:ind w:left="2740"/>
        <w:spacing w:after="0"/>
        <w:rPr>
          <w:sz w:val="20"/>
          <w:szCs w:val="20"/>
          <w:color w:val="auto"/>
        </w:rPr>
      </w:pPr>
      <w:r>
        <w:rPr>
          <w:rFonts w:ascii="Courier New" w:cs="Courier New" w:eastAsia="Courier New" w:hAnsi="Courier New"/>
          <w:sz w:val="18"/>
          <w:szCs w:val="18"/>
          <w:color w:val="auto"/>
        </w:rPr>
        <w:t>1301 Avenue of the Americas</w:t>
      </w:r>
    </w:p>
    <w:p>
      <w:pPr>
        <w:ind w:left="2640"/>
        <w:spacing w:after="0" w:line="237" w:lineRule="auto"/>
        <w:rPr>
          <w:sz w:val="20"/>
          <w:szCs w:val="20"/>
          <w:color w:val="auto"/>
        </w:rPr>
      </w:pPr>
      <w:r>
        <w:rPr>
          <w:rFonts w:ascii="Courier New" w:cs="Courier New" w:eastAsia="Courier New" w:hAnsi="Courier New"/>
          <w:sz w:val="18"/>
          <w:szCs w:val="18"/>
          <w:color w:val="auto"/>
        </w:rPr>
        <w:t>New York, New York 10019-6092</w:t>
      </w:r>
    </w:p>
    <w:p>
      <w:pPr>
        <w:ind w:left="3380"/>
        <w:spacing w:after="0"/>
        <w:rPr>
          <w:sz w:val="20"/>
          <w:szCs w:val="20"/>
          <w:color w:val="auto"/>
        </w:rPr>
      </w:pPr>
      <w:r>
        <w:rPr>
          <w:rFonts w:ascii="Courier New" w:cs="Courier New" w:eastAsia="Courier New" w:hAnsi="Courier New"/>
          <w:sz w:val="18"/>
          <w:szCs w:val="18"/>
          <w:color w:val="auto"/>
        </w:rPr>
        <w:t>(212) 259-8000</w:t>
      </w:r>
    </w:p>
    <w:p>
      <w:pPr>
        <w:spacing w:after="0" w:line="206" w:lineRule="exact"/>
        <w:rPr>
          <w:sz w:val="24"/>
          <w:szCs w:val="24"/>
          <w:color w:val="auto"/>
        </w:rPr>
      </w:pPr>
    </w:p>
    <w:p>
      <w:pPr>
        <w:jc w:val="center"/>
        <w:ind w:right="1879"/>
        <w:spacing w:after="0" w:line="236" w:lineRule="auto"/>
        <w:rPr>
          <w:sz w:val="20"/>
          <w:szCs w:val="20"/>
          <w:color w:val="auto"/>
        </w:rPr>
      </w:pPr>
      <w:r>
        <w:rPr>
          <w:rFonts w:ascii="Courier New" w:cs="Courier New" w:eastAsia="Courier New" w:hAnsi="Courier New"/>
          <w:sz w:val="18"/>
          <w:szCs w:val="18"/>
          <w:color w:val="auto"/>
        </w:rPr>
        <w:t>(Name, Address and Telephone Number of Person Authorized to Receive Notices and Communications on Behalf of Person(s) Filing Statement)</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August 21, 1995</w:t>
      </w:r>
    </w:p>
    <w:p>
      <w:pPr>
        <w:ind w:left="2000"/>
        <w:spacing w:after="0" w:line="238" w:lineRule="auto"/>
        <w:rPr>
          <w:sz w:val="20"/>
          <w:szCs w:val="20"/>
          <w:color w:val="auto"/>
        </w:rPr>
      </w:pPr>
      <w:r>
        <w:rPr>
          <w:rFonts w:ascii="Courier New" w:cs="Courier New" w:eastAsia="Courier New" w:hAnsi="Courier New"/>
          <w:sz w:val="18"/>
          <w:szCs w:val="18"/>
          <w:color w:val="auto"/>
        </w:rPr>
        <w:t>(Date Tender Offer First Published, Sent</w:t>
      </w:r>
    </w:p>
    <w:p>
      <w:pPr>
        <w:ind w:left="2540"/>
        <w:spacing w:after="0"/>
        <w:rPr>
          <w:sz w:val="20"/>
          <w:szCs w:val="20"/>
          <w:color w:val="auto"/>
        </w:rPr>
      </w:pPr>
      <w:r>
        <w:rPr>
          <w:rFonts w:ascii="Courier New" w:cs="Courier New" w:eastAsia="Courier New" w:hAnsi="Courier New"/>
          <w:sz w:val="18"/>
          <w:szCs w:val="18"/>
          <w:color w:val="auto"/>
        </w:rPr>
        <w:t>or Given to Security Holders)</w:t>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55" w:right="1440" w:bottom="1440" w:gutter="0" w:footer="0" w:header="0"/>
        </w:sectPr>
      </w:pPr>
    </w:p>
    <w:bookmarkStart w:id="1" w:name="page2"/>
    <w:bookmarkEnd w:id="1"/>
    <w:p>
      <w:pPr>
        <w:ind w:right="1779" w:firstLine="843"/>
        <w:spacing w:after="0" w:line="270" w:lineRule="auto"/>
        <w:rPr>
          <w:sz w:val="20"/>
          <w:szCs w:val="20"/>
          <w:color w:val="auto"/>
        </w:rPr>
      </w:pPr>
      <w:r>
        <w:rPr>
          <w:rFonts w:ascii="Courier New" w:cs="Courier New" w:eastAsia="Courier New" w:hAnsi="Courier New"/>
          <w:sz w:val="16"/>
          <w:szCs w:val="16"/>
          <w:color w:val="auto"/>
        </w:rPr>
        <w:t>This Amendment No. 3 amends and supplements the Issuer Tender Offer Statement on Schedule 13E-4, dated August 21, 1995, as amended, of Eli Lilly and Company, an Indiana corporation ("Lilly"), relating to the offer by Lilly to exchange 3.49 shares of common stock, without par value ("Guidant Common Stock"), of Guidant Corporation, an Indiana corporation ("Guidant"), of which Lilly owns 80.2% of the issued and outstanding shares, for each share of common stock of Lilly, without par value ("Lilly Common Stock"), upon the terms and subject to the conditions set forth in the Offering Circular - Prospectus dated August 21, 1995, as supplemented by an Offering Circular - Prospectus Supplement dated September 6, 1995 (together, the "Offering Circular - Prospectus") and the related Letter of Transmittal. Capitalized terms used but not defined herein have the meanings ascribed to them in the Offering Circular - Prospectus.</w:t>
      </w:r>
    </w:p>
    <w:p>
      <w:pPr>
        <w:spacing w:after="0" w:line="1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(a)(15)</w:t>
        <w:tab/>
        <w:t>Press Release dated September 25, 1995.</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879" w:firstLine="843"/>
        <w:spacing w:after="0" w:line="290" w:lineRule="auto"/>
        <w:rPr>
          <w:sz w:val="20"/>
          <w:szCs w:val="20"/>
          <w:color w:val="auto"/>
        </w:rPr>
      </w:pPr>
      <w:r>
        <w:rPr>
          <w:rFonts w:ascii="Courier New" w:cs="Courier New" w:eastAsia="Courier New" w:hAnsi="Courier New"/>
          <w:sz w:val="16"/>
          <w:szCs w:val="16"/>
          <w:color w:val="auto"/>
        </w:rPr>
        <w:t>After due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September 25, 1995</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ELI LILLY AND COMPANY</w:t>
      </w:r>
    </w:p>
    <w:p>
      <w:pPr>
        <w:spacing w:after="0" w:line="201" w:lineRule="exact"/>
        <w:rPr>
          <w:sz w:val="20"/>
          <w:szCs w:val="20"/>
          <w:color w:val="auto"/>
        </w:rPr>
      </w:pPr>
    </w:p>
    <w:p>
      <w:pPr>
        <w:ind w:left="5060"/>
        <w:spacing w:after="0"/>
        <w:tabs>
          <w:tab w:leader="none" w:pos="5580" w:val="left"/>
          <w:tab w:leader="none" w:pos="61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Edwin W. Miller</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5380"/>
        <w:spacing w:after="0"/>
        <w:tabs>
          <w:tab w:leader="none" w:pos="61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Edwin W. Miller</w:t>
      </w:r>
    </w:p>
    <w:p>
      <w:pPr>
        <w:ind w:left="5380"/>
        <w:spacing w:after="0" w:line="237" w:lineRule="auto"/>
        <w:rPr>
          <w:sz w:val="20"/>
          <w:szCs w:val="20"/>
          <w:color w:val="auto"/>
        </w:rPr>
      </w:pPr>
      <w:r>
        <w:rPr>
          <w:rFonts w:ascii="Courier New" w:cs="Courier New" w:eastAsia="Courier New" w:hAnsi="Courier New"/>
          <w:sz w:val="18"/>
          <w:szCs w:val="18"/>
          <w:color w:val="auto"/>
        </w:rPr>
        <w:t>Title: Vice President and</w:t>
      </w:r>
    </w:p>
    <w:p>
      <w:pPr>
        <w:ind w:left="6120"/>
        <w:spacing w:after="0" w:line="238" w:lineRule="auto"/>
        <w:rPr>
          <w:sz w:val="20"/>
          <w:szCs w:val="20"/>
          <w:color w:val="auto"/>
        </w:rPr>
      </w:pPr>
      <w:r>
        <w:rPr>
          <w:rFonts w:ascii="Courier New" w:cs="Courier New" w:eastAsia="Courier New" w:hAnsi="Courier New"/>
          <w:sz w:val="18"/>
          <w:szCs w:val="18"/>
          <w:color w:val="auto"/>
        </w:rPr>
        <w:t>Treasurer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No.</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660" w:space="720"/>
            <w:col w:w="2640" w:space="720"/>
            <w:col w:w="347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(a)(15)</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25, 1995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5</w:t>
      </w:r>
    </w:p>
    <w:p>
      <w:pPr>
        <w:spacing w:after="0" w:line="402" w:lineRule="exact"/>
        <w:rPr>
          <w:sz w:val="20"/>
          <w:szCs w:val="20"/>
          <w:color w:val="auto"/>
        </w:rPr>
      </w:pPr>
    </w:p>
    <w:p>
      <w:pPr>
        <w:sectPr>
          <w:pgSz w:w="11900" w:h="16838" w:orient="portrait"/>
          <w:cols w:equalWidth="0" w:num="3">
            <w:col w:w="2660" w:space="720"/>
            <w:col w:w="2960" w:space="720"/>
            <w:col w:w="3159"/>
          </w:cols>
          <w:pgMar w:left="240" w:top="723" w:right="1440" w:bottom="1440" w:gutter="0" w:footer="0" w:header="0"/>
          <w:type w:val="continuous"/>
        </w:sectPr>
      </w:pP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723"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(a)(15)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Lilly and Guidant Announce Final Proration Factor</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Guidant Exchange Offer</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Eli Lilly and Company (NYSE:LLY) and Guidant Corporation (NYSE:GDT) announced today a final proration factor of 33.617177 percent for the Exchange Offer by which Lilly shareholders were given the opportunity to exchange some, all or none of their shares of Lilly Common Stock for Guidant Common Stock. The Exchange Offer, which was oversubscribed, expired at midnight, New York City time, on Monday, Sept. 18, 1995.</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Based on the final count by the exchange agent, 47,348,675 shares of Lilly Common Stock were tendered for exchange, including 884,280 shares held by eligible odd-lot shareholders. In accordance with the terms of the Exchange Offer, Lilly today accepted 16,504,298 Lilly shares in exchange for the 57,600,000 shares of Guidant Common Stock that it owns including all shares tendered by eligible odd-lot shareholders. All other shares will be prorated at 33.617177 percent. This completes the separation of Guidant from Lilly's core pharmaceutical business.</w:t>
      </w:r>
    </w:p>
    <w:p>
      <w:pPr>
        <w:spacing w:after="0" w:line="212"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Certificates for shares of Guidant Common Stock, checks in lieu of fractional Guidant shares, and Lilly shares tendered but not accepted for exchange will be mailed on or about Oct. 2, 1995, as designated by the tendering shareholder.</w:t>
      </w:r>
    </w:p>
    <w:p>
      <w:pPr>
        <w:spacing w:after="0" w:line="17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Lilly is a global research-based pharmaceutical corporation headquartered in Indianapolis, Ind., that is dedicated to creating and delivering superior health care solutions--by combining pharmaceutical innovation, existing pharmaceutical technology, disease prevention and management, and</w:t>
      </w:r>
    </w:p>
    <w:p>
      <w:pPr>
        <w:sectPr>
          <w:pgSz w:w="11900" w:h="16838" w:orient="portrait"/>
          <w:cols w:equalWidth="0" w:num="1">
            <w:col w:w="10219"/>
          </w:cols>
          <w:pgMar w:left="240" w:top="541" w:right="1440" w:bottom="1440" w:gutter="0" w:footer="0" w:header="0"/>
        </w:sectPr>
      </w:pPr>
    </w:p>
    <w:bookmarkStart w:id="5" w:name="page6"/>
    <w:bookmarkEnd w:id="5"/>
    <w:p>
      <w:pPr>
        <w:ind w:right="1999"/>
        <w:spacing w:after="0" w:line="235" w:lineRule="auto"/>
        <w:rPr>
          <w:sz w:val="20"/>
          <w:szCs w:val="20"/>
          <w:color w:val="auto"/>
        </w:rPr>
      </w:pPr>
      <w:r>
        <w:rPr>
          <w:rFonts w:ascii="Courier New" w:cs="Courier New" w:eastAsia="Courier New" w:hAnsi="Courier New"/>
          <w:sz w:val="18"/>
          <w:szCs w:val="18"/>
          <w:color w:val="auto"/>
        </w:rPr>
        <w:t>information technologies--in order to provide customers worldwide with optimal clinical and economic outcomes.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leader in the medical device industry, Guidant Corporation provides innovative, cost-effective products and services to the global cardiology and minimally invasive surgery marketplaces. Guidant comprises Advanced Cardiovascular Systems, Inc. (ACS), Cardiac Pacemakers, Inc. (CPI), Devices for Vascular Intervention, Inc. (DVI), Heart Rhythm Technologies Incorporated (HRT), Origin Medsystems, Inc. and its international affiliates.</w:t>
      </w:r>
    </w:p>
    <w:p>
      <w:pPr>
        <w:spacing w:after="0" w:line="204" w:lineRule="exact"/>
        <w:rPr>
          <w:sz w:val="20"/>
          <w:szCs w:val="20"/>
          <w:color w:val="auto"/>
        </w:rPr>
      </w:pPr>
    </w:p>
    <w:p>
      <w:pPr>
        <w:ind w:left="3700"/>
        <w:spacing w:after="0"/>
        <w:tabs>
          <w:tab w:leader="none" w:pos="4100" w:val="left"/>
          <w:tab w:leader="none" w:pos="4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317"/>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2019-12-13T02:53:59Z</dcterms:created>
  <dcterms:modified xsi:type="dcterms:W3CDTF">2019-12-13T02:53:59Z</dcterms:modified>
</cp:coreProperties>
</file>