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1640" w:type="dxa"/>
        <w:tblCellMar>
          <w:top w:w="0" w:type="dxa"/>
          <w:left w:w="0" w:type="dxa"/>
          <w:bottom w:w="0" w:type="dxa"/>
          <w:right w:w="0" w:type="dxa"/>
        </w:tblCellMar>
      </w:tblPr>
      <w:tr>
        <w:trPr>
          <w:trHeight w:val="243"/>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9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66"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85"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jc w:val="both"/>
        <w:ind w:right="28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ectPr>
          <w:pgSz w:w="11900" w:h="16838" w:orient="portrait"/>
          <w:cols w:equalWidth="0" w:num="1">
            <w:col w:w="11420"/>
          </w:cols>
          <w:pgMar w:left="240" w:top="1131" w:right="239" w:bottom="1440" w:gutter="0" w:footer="0" w:header="0"/>
        </w:sectPr>
      </w:pPr>
    </w:p>
    <w:p>
      <w:pPr>
        <w:spacing w:after="0" w:line="85"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p>
    <w:p>
      <w:pPr>
        <w:spacing w:after="0" w:line="62" w:lineRule="exact"/>
        <w:rPr>
          <w:sz w:val="24"/>
          <w:szCs w:val="24"/>
          <w:color w:val="auto"/>
        </w:rPr>
      </w:pPr>
    </w:p>
    <w:p>
      <w:pPr>
        <w:sectPr>
          <w:pgSz w:w="11900" w:h="16838" w:orient="portrait"/>
          <w:cols w:equalWidth="0" w:num="2">
            <w:col w:w="9240" w:space="720"/>
            <w:col w:w="1460"/>
          </w:cols>
          <w:pgMar w:left="240" w:top="1131"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 xml:space="preserve">Non-accelerated filer </w:t>
      </w:r>
      <w:r>
        <w:rPr>
          <w:rFonts w:ascii="Times New Roman" w:cs="Times New Roman" w:eastAsia="Times New Roman" w:hAnsi="Times New Roman"/>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62" w:lineRule="exact"/>
        <w:rPr>
          <w:sz w:val="24"/>
          <w:szCs w:val="24"/>
          <w:color w:val="auto"/>
        </w:rPr>
      </w:pPr>
    </w:p>
    <w:p>
      <w:pPr>
        <w:sectPr>
          <w:pgSz w:w="11900" w:h="16838" w:orient="portrait"/>
          <w:cols w:equalWidth="0" w:num="3">
            <w:col w:w="2700" w:space="180"/>
            <w:col w:w="5500" w:space="720"/>
            <w:col w:w="2320"/>
          </w:cols>
          <w:pgMar w:left="240" w:top="1131"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 xml:space="preserve">Emerging growth company </w:t>
      </w:r>
      <w:r>
        <w:rPr>
          <w:rFonts w:ascii="Times New Roman" w:cs="Times New Roman" w:eastAsia="Times New Roman" w:hAnsi="Times New Roman"/>
          <w:sz w:val="17"/>
          <w:szCs w:val="17"/>
          <w:color w:val="auto"/>
        </w:rPr>
        <w:t>o</w:t>
      </w:r>
    </w:p>
    <w:p>
      <w:pPr>
        <w:sectPr>
          <w:pgSz w:w="11900" w:h="16838" w:orient="portrait"/>
          <w:cols w:equalWidth="0" w:num="1">
            <w:col w:w="11420"/>
          </w:cols>
          <w:pgMar w:left="240" w:top="1131" w:right="239" w:bottom="1440" w:gutter="0" w:footer="0" w:header="0"/>
          <w:type w:val="continuous"/>
        </w:sectPr>
      </w:pPr>
    </w:p>
    <w:p>
      <w:pPr>
        <w:spacing w:after="0" w:line="128" w:lineRule="exact"/>
        <w:rPr>
          <w:sz w:val="24"/>
          <w:szCs w:val="24"/>
          <w:color w:val="auto"/>
        </w:rPr>
      </w:pPr>
    </w:p>
    <w:p>
      <w:pPr>
        <w:spacing w:after="0" w:line="291"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7"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July 17, 2017:</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7"/>
                <w:szCs w:val="17"/>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5"/>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1,100,988,944</w:t>
            </w:r>
          </w:p>
        </w:tc>
      </w:tr>
      <w:tr>
        <w:trPr>
          <w:trHeight w:val="145"/>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1"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June 30, 2017</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497"/>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4"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2016, particularly under the captions “Forward-Looking Statements” and “Risk Factors.”</w:t>
      </w:r>
    </w:p>
    <w:p>
      <w:pPr>
        <w:spacing w:after="0" w:line="55"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0"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2"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9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June 30,</w:t>
            </w:r>
          </w:p>
        </w:tc>
      </w:tr>
      <w:tr>
        <w:trPr>
          <w:trHeight w:val="263"/>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7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7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60" w:hanging="535"/>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5,824.3   </w:t>
      </w:r>
      <w:r>
        <w:rPr>
          <w:rFonts w:ascii="Arial" w:cs="Arial" w:eastAsia="Arial" w:hAnsi="Arial"/>
          <w:sz w:val="18"/>
          <w:szCs w:val="18"/>
          <w:color w:val="auto"/>
        </w:rPr>
        <w:t xml:space="preserve">$5,404.8   </w:t>
      </w:r>
      <w:r>
        <w:rPr>
          <w:rFonts w:ascii="Arial" w:cs="Arial" w:eastAsia="Arial" w:hAnsi="Arial"/>
          <w:sz w:val="18"/>
          <w:szCs w:val="18"/>
          <w:b w:val="1"/>
          <w:bCs w:val="1"/>
          <w:color w:val="auto"/>
        </w:rPr>
        <w:t xml:space="preserve">$11,052.6   </w:t>
      </w:r>
      <w:r>
        <w:rPr>
          <w:rFonts w:ascii="Arial" w:cs="Arial" w:eastAsia="Arial" w:hAnsi="Arial"/>
          <w:sz w:val="18"/>
          <w:szCs w:val="18"/>
          <w:color w:val="auto"/>
        </w:rPr>
        <w:t>$    10,269.9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1,551.6</w:t>
            </w:r>
          </w:p>
        </w:tc>
        <w:tc>
          <w:tcPr>
            <w:tcW w:w="4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1,465.0</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2,879.3</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2,788.0</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1,250.9</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1,335.9</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2,489.2</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2,556.9</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1,707.4</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1,622.6</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3,252.1</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3,096.5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857.6</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263.9</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189.4</w:t>
            </w:r>
          </w:p>
        </w:tc>
      </w:tr>
      <w:tr>
        <w:trPr>
          <w:trHeight w:val="271"/>
        </w:trPr>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r>
      <w:tr>
        <w:trPr>
          <w:trHeight w:val="250"/>
        </w:trPr>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4,563.8</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4,460.3</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9,730.9</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8,758.6</w:t>
            </w:r>
          </w:p>
        </w:tc>
      </w:tr>
      <w:tr>
        <w:trPr>
          <w:trHeight w:val="249"/>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1,260.5</w:t>
            </w:r>
          </w:p>
        </w:tc>
        <w:tc>
          <w:tcPr>
            <w:tcW w:w="4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944.5</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1,321.7</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1,511.3</w:t>
            </w:r>
          </w:p>
        </w:tc>
      </w:tr>
      <w:tr>
        <w:trPr>
          <w:trHeight w:val="271"/>
        </w:trPr>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252.5</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196.8</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424.5</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323.5</w:t>
            </w:r>
          </w:p>
        </w:tc>
      </w:tr>
      <w:tr>
        <w:trPr>
          <w:trHeight w:val="258"/>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1,008.0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747.7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897.2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1,187.8</w:t>
            </w:r>
          </w:p>
        </w:tc>
      </w:tr>
    </w:tbl>
    <w:p>
      <w:pPr>
        <w:spacing w:after="0" w:line="200" w:lineRule="exact"/>
        <w:rPr>
          <w:sz w:val="20"/>
          <w:szCs w:val="20"/>
          <w:color w:val="auto"/>
        </w:rPr>
      </w:pPr>
    </w:p>
    <w:p>
      <w:pPr>
        <w:sectPr>
          <w:pgSz w:w="11900" w:h="16838" w:orient="portrait"/>
          <w:cols w:equalWidth="0" w:num="2">
            <w:col w:w="5520" w:space="500"/>
            <w:col w:w="5400"/>
          </w:cols>
          <w:pgMar w:left="240" w:top="557" w:right="2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0.95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0.85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8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1,055.0</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1,057.7</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1,055.6</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1,058.8</w:t>
            </w:r>
          </w:p>
        </w:tc>
      </w:tr>
      <w:tr>
        <w:trPr>
          <w:trHeight w:val="271"/>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1,057.1</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1,060.1</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1,057.5</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1,061.0</w:t>
            </w:r>
          </w:p>
        </w:tc>
      </w:tr>
      <w:tr>
        <w:trPr>
          <w:trHeight w:val="324"/>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369"/>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8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6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1,008.0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897.2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1,187.8</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(loss), net of tax (Note 11)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284.8</w:t>
            </w: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483.5</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209.5</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1,292.8</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641.2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1,380.7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1,397.3</w:t>
            </w:r>
          </w:p>
        </w:tc>
      </w:tr>
    </w:tbl>
    <w:p>
      <w:pPr>
        <w:spacing w:after="0" w:line="149" w:lineRule="exact"/>
        <w:rPr>
          <w:sz w:val="20"/>
          <w:szCs w:val="20"/>
          <w:color w:val="auto"/>
        </w:rPr>
      </w:pPr>
    </w:p>
    <w:p>
      <w:pPr>
        <w:ind w:left="180" w:right="40" w:hanging="172"/>
        <w:spacing w:after="0"/>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(loss) for the three and six months ended June 30, 2017 consisted of $289.4 million and $499.1 million of other comprehensive income attributable to controlling interest, respectively, and $(4.6) million and $(15.6) million of other comprehensive income (loss) attributable to non-controlling interest, respectively. Other comprehensive income (loss) for the three and six months ended June 30, 2016 attributable to non-controlling interest is immaterial.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December 31, 2016</w:t>
            </w:r>
          </w:p>
        </w:tc>
      </w:tr>
      <w:tr>
        <w:trPr>
          <w:trHeight w:val="26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3,069.9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4,582.1</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2,364.2</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1,456.5</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$40.6 (2017)</w:t>
            </w:r>
            <w:r>
              <w:rPr>
                <w:rFonts w:ascii="Arial" w:cs="Arial" w:eastAsia="Arial" w:hAnsi="Arial"/>
                <w:sz w:val="18"/>
                <w:szCs w:val="18"/>
                <w:color w:val="auto"/>
              </w:rPr>
              <w:t xml:space="preserve"> and $40.3 (2016)</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4,349.9</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4,029.4</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606.2</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736.9</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4,346.0</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3,561.9</w:t>
            </w:r>
          </w:p>
        </w:tc>
      </w:tr>
      <w:tr>
        <w:trPr>
          <w:trHeight w:val="2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1,010.3</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r>
      <w:tr>
        <w:trPr>
          <w:trHeight w:val="264"/>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15,746.5</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15,101.4</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5,723.3</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5,207.5</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4,290.8</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3,972.7</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4,542.6</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4,357.9</w:t>
            </w:r>
          </w:p>
        </w:tc>
      </w:tr>
      <w:tr>
        <w:trPr>
          <w:trHeight w:val="2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2,060.5</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1,913.8</w:t>
            </w:r>
          </w:p>
        </w:tc>
      </w:tr>
      <w:tr>
        <w:trPr>
          <w:trHeight w:val="264"/>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16,617.2</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15,451.9</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17,533.0</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16,777.6</w:t>
            </w:r>
          </w:p>
        </w:tc>
      </w:tr>
      <w:tr>
        <w:trPr>
          <w:trHeight w:val="2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(8,950.2)</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(8,525.0)</w:t>
            </w:r>
          </w:p>
        </w:tc>
      </w:tr>
      <w:tr>
        <w:trPr>
          <w:trHeight w:val="264"/>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8,582.8</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8,252.6</w:t>
            </w:r>
          </w:p>
        </w:tc>
      </w:tr>
      <w:tr>
        <w:trPr>
          <w:trHeight w:val="271"/>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40,946.5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2,444.2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1,937.4</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1,257.2</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1,349.3</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668.4</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4,029.1</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3,914.9</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547.5</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236.0</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2,112.1</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2,220.9</w:t>
            </w:r>
          </w:p>
        </w:tc>
      </w:tr>
      <w:tr>
        <w:trPr>
          <w:trHeight w:val="264"/>
        </w:trPr>
        <w:tc>
          <w:tcPr>
            <w:tcW w:w="78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11,294.5</w:t>
            </w:r>
          </w:p>
        </w:tc>
        <w:tc>
          <w:tcPr>
            <w:tcW w:w="24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10,986.6</w:t>
            </w:r>
          </w:p>
        </w:tc>
      </w:tr>
      <w:tr>
        <w:trPr>
          <w:trHeight w:val="27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9,867.9</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8,367.8</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2,465.6</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2,453.9</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705.0</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688.9</w:t>
            </w: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2,443.8</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2,228.2</w:t>
            </w:r>
          </w:p>
        </w:tc>
      </w:tr>
      <w:tr>
        <w:trPr>
          <w:trHeight w:val="264"/>
        </w:trPr>
        <w:tc>
          <w:tcPr>
            <w:tcW w:w="788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tcPr>
          <w:p>
            <w:pPr>
              <w:spacing w:after="0"/>
              <w:rPr>
                <w:sz w:val="22"/>
                <w:szCs w:val="22"/>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15,482.3</w:t>
            </w:r>
          </w:p>
        </w:tc>
        <w:tc>
          <w:tcPr>
            <w:tcW w:w="24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13,738.8</w:t>
            </w:r>
          </w:p>
        </w:tc>
      </w:tr>
      <w:tr>
        <w:trPr>
          <w:trHeight w:val="27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5"/>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688.5</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688.5</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5,686.1</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5,640.6</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15,590.1</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16,046.3</w:t>
            </w:r>
          </w:p>
        </w:tc>
      </w:tr>
      <w:tr>
        <w:trPr>
          <w:trHeight w:val="269"/>
        </w:trPr>
        <w:tc>
          <w:tcPr>
            <w:tcW w:w="788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tcPr>
          <w:p>
            <w:pPr>
              <w:spacing w:after="0"/>
              <w:rPr>
                <w:sz w:val="23"/>
                <w:szCs w:val="23"/>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1"/>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(4,774.9)</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w:t>
            </w:r>
          </w:p>
        </w:tc>
      </w:tr>
      <w:tr>
        <w:trPr>
          <w:trHeight w:val="2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(75.8)</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64"/>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14,100.8</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14,007.7</w:t>
            </w:r>
          </w:p>
        </w:tc>
      </w:tr>
      <w:tr>
        <w:trPr>
          <w:trHeight w:val="269"/>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68.9</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r>
      <w:tr>
        <w:trPr>
          <w:trHeight w:val="264"/>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14,169.7</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14,080.5</w:t>
            </w:r>
          </w:p>
        </w:tc>
      </w:tr>
      <w:tr>
        <w:trPr>
          <w:trHeight w:val="271"/>
        </w:trPr>
        <w:tc>
          <w:tcPr>
            <w:tcW w:w="78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40,946.5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4" w:right="239" w:bottom="5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565"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4" w:right="259" w:bottom="1440" w:gutter="0" w:footer="0" w:header="0"/>
        </w:sectPr>
      </w:pPr>
    </w:p>
    <w:p>
      <w:pPr>
        <w:spacing w:after="0" w:line="1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right="1360"/>
        <w:spacing w:after="0" w:line="319" w:lineRule="auto"/>
        <w:rPr>
          <w:sz w:val="20"/>
          <w:szCs w:val="20"/>
          <w:color w:val="auto"/>
        </w:rPr>
      </w:pPr>
      <w:r>
        <w:rPr>
          <w:rFonts w:ascii="Arial" w:cs="Arial" w:eastAsia="Arial" w:hAnsi="Arial"/>
          <w:sz w:val="18"/>
          <w:szCs w:val="18"/>
          <w:color w:val="auto"/>
        </w:rPr>
        <w:t>Other changes in operating assets and liabilities, net of acquisitions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January 1</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June 30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June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533"/>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897.2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1,187.8</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782.5</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759.2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295.1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168.6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139.2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127.0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857.6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(1,118.5)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(1,296.5)</w:t>
            </w:r>
          </w:p>
        </w:tc>
      </w:tr>
      <w:tr>
        <w:trPr>
          <w:trHeight w:val="271"/>
        </w:trPr>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137.9</w:t>
            </w:r>
          </w:p>
        </w:tc>
        <w:tc>
          <w:tcPr>
            <w:tcW w:w="5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236.7</w:t>
            </w:r>
          </w:p>
        </w:tc>
      </w:tr>
      <w:tr>
        <w:trPr>
          <w:trHeight w:val="249"/>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1,991.0</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1,182.8</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(390.6)</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1,677.6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925.4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(1,883.5)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1,107.6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919.3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(2,358.8)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(2,269.2)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(882.1)</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(831.8)</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65"/>
        </w:trPr>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(116.9)</w:t>
            </w:r>
          </w:p>
        </w:tc>
        <w:tc>
          <w:tcPr>
            <w:tcW w:w="5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55"/>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(3,678.5)</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(1,166.3)</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(1,096.1)</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(1,079.5)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125.7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2,232.0</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1,206.6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(630.5)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(199.9)</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84"/>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(247.0)</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r>
      <w:tr>
        <w:trPr>
          <w:trHeight w:val="249"/>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184.2</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(344.9)</w:t>
            </w:r>
          </w:p>
        </w:tc>
      </w:tr>
      <w:tr>
        <w:trPr>
          <w:trHeight w:val="284"/>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533"/>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(1,512.2)</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(428.4)</w:t>
            </w:r>
          </w:p>
        </w:tc>
      </w:tr>
      <w:tr>
        <w:trPr>
          <w:trHeight w:val="279"/>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4,582.1</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3,666.4</w:t>
            </w:r>
          </w:p>
        </w:tc>
      </w:tr>
      <w:tr>
        <w:trPr>
          <w:trHeight w:val="277"/>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3,069.9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3,238.0</w:t>
            </w:r>
          </w:p>
        </w:tc>
      </w:tr>
    </w:tbl>
    <w:p>
      <w:pPr>
        <w:sectPr>
          <w:pgSz w:w="11900" w:h="16838" w:orient="portrait"/>
          <w:cols w:equalWidth="0" w:num="2">
            <w:col w:w="6900" w:space="720"/>
            <w:col w:w="3780"/>
          </w:cols>
          <w:pgMar w:left="240" w:top="574" w:right="2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2016. We issue our financial statements by filing with the Securities and Exchange Commission and have evaluated subsequent events up to the time of the filing.</w:t>
      </w:r>
    </w:p>
    <w:p>
      <w:pPr>
        <w:spacing w:after="0" w:line="5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Certain reclassifications have been made to prior periods in the consolidated condensed financial statements and accompanying notes to conform with the current presentation. These reclassifications include $107.9 million that increased net cash provided by operating activities and increased net cash used for financing activities on the consolidated condensed statements of cash flows as a result of our adoption in the fourth quarter of 2016 of Accounting Standards Update 2016-09, </w:t>
      </w:r>
      <w:r>
        <w:rPr>
          <w:rFonts w:ascii="Arial" w:cs="Arial" w:eastAsia="Arial" w:hAnsi="Arial"/>
          <w:sz w:val="18"/>
          <w:szCs w:val="18"/>
          <w:i w:val="1"/>
          <w:iCs w:val="1"/>
          <w:color w:val="auto"/>
        </w:rPr>
        <w:t xml:space="preserve">Compensation - Stock Compensation: Improvements to Employee Share-Based Payment Accounting </w:t>
      </w:r>
      <w:r>
        <w:rPr>
          <w:rFonts w:ascii="Arial" w:cs="Arial" w:eastAsia="Arial" w:hAnsi="Arial"/>
          <w:sz w:val="18"/>
          <w:szCs w:val="18"/>
          <w:color w:val="auto"/>
        </w:rPr>
        <w:t>as discussed in our Annual Report on Form 10-K for the year ended December 31, 2016.</w:t>
      </w:r>
    </w:p>
    <w:p>
      <w:pPr>
        <w:spacing w:after="0" w:line="6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7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98"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21" w:lineRule="exact"/>
        <w:rPr>
          <w:sz w:val="20"/>
          <w:szCs w:val="20"/>
          <w:color w:val="auto"/>
        </w:rPr>
      </w:pPr>
    </w:p>
    <w:p>
      <w:pPr>
        <w:ind w:left="40"/>
        <w:spacing w:after="0"/>
        <w:tabs>
          <w:tab w:leader="none" w:pos="2080" w:val="left"/>
          <w:tab w:leader="none" w:pos="5740" w:val="left"/>
          <w:tab w:leader="none" w:pos="790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545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545330"/>
                    </a:xfrm>
                    <a:prstGeom prst="rect">
                      <a:avLst/>
                    </a:prstGeom>
                    <a:noFill/>
                  </pic:spPr>
                </pic:pic>
              </a:graphicData>
            </a:graphic>
          </wp:anchor>
        </w:drawing>
      </w:r>
    </w:p>
    <w:p>
      <w:pPr>
        <w:sectPr>
          <w:pgSz w:w="11900" w:h="16838" w:orient="portrait"/>
          <w:cols w:equalWidth="0" w:num="1">
            <w:col w:w="11380"/>
          </w:cols>
          <w:pgMar w:left="240" w:top="574" w:right="279" w:bottom="1440" w:gutter="0" w:footer="0" w:header="0"/>
        </w:sectPr>
      </w:pPr>
    </w:p>
    <w:p>
      <w:pPr>
        <w:spacing w:after="0" w:line="41"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8"/>
          <w:szCs w:val="18"/>
          <w:color w:val="auto"/>
        </w:rPr>
        <w:t>This standard will replace existing revenue</w:t>
      </w:r>
    </w:p>
    <w:p>
      <w:pPr>
        <w:spacing w:after="0" w:line="13"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Update 2014-09 and</w:t>
      </w:r>
      <w:r>
        <w:rPr>
          <w:sz w:val="20"/>
          <w:szCs w:val="20"/>
          <w:color w:val="auto"/>
        </w:rPr>
        <w:tab/>
      </w:r>
      <w:r>
        <w:rPr>
          <w:rFonts w:ascii="Arial" w:cs="Arial" w:eastAsia="Arial" w:hAnsi="Arial"/>
          <w:sz w:val="17"/>
          <w:szCs w:val="17"/>
          <w:color w:val="auto"/>
        </w:rPr>
        <w:t>recognition standards and will require</w:t>
      </w:r>
    </w:p>
    <w:p>
      <w:pPr>
        <w:ind w:left="40"/>
        <w:spacing w:after="0" w:line="234" w:lineRule="auto"/>
        <w:tabs>
          <w:tab w:leader="none" w:pos="2080" w:val="left"/>
        </w:tabs>
        <w:rPr>
          <w:sz w:val="20"/>
          <w:szCs w:val="20"/>
          <w:color w:val="auto"/>
        </w:rPr>
      </w:pPr>
      <w:r>
        <w:rPr>
          <w:rFonts w:ascii="Arial" w:cs="Arial" w:eastAsia="Arial" w:hAnsi="Arial"/>
          <w:sz w:val="18"/>
          <w:szCs w:val="18"/>
          <w:color w:val="auto"/>
        </w:rPr>
        <w:t>various other related</w:t>
      </w:r>
      <w:r>
        <w:rPr>
          <w:sz w:val="20"/>
          <w:szCs w:val="20"/>
          <w:color w:val="auto"/>
        </w:rPr>
        <w:tab/>
      </w:r>
      <w:r>
        <w:rPr>
          <w:rFonts w:ascii="Arial" w:cs="Arial" w:eastAsia="Arial" w:hAnsi="Arial"/>
          <w:sz w:val="18"/>
          <w:szCs w:val="18"/>
          <w:color w:val="auto"/>
        </w:rPr>
        <w:t>entities to recognize revenue to depict the</w:t>
      </w:r>
    </w:p>
    <w:p>
      <w:pPr>
        <w:ind w:left="40"/>
        <w:spacing w:after="0"/>
        <w:tabs>
          <w:tab w:leader="none" w:pos="2080" w:val="left"/>
        </w:tabs>
        <w:rPr>
          <w:sz w:val="20"/>
          <w:szCs w:val="20"/>
          <w:color w:val="auto"/>
        </w:rPr>
      </w:pPr>
      <w:r>
        <w:rPr>
          <w:rFonts w:ascii="Arial" w:cs="Arial" w:eastAsia="Arial" w:hAnsi="Arial"/>
          <w:sz w:val="18"/>
          <w:szCs w:val="18"/>
          <w:color w:val="auto"/>
        </w:rPr>
        <w:t xml:space="preserve">updates, </w:t>
      </w:r>
      <w:r>
        <w:rPr>
          <w:rFonts w:ascii="Arial" w:cs="Arial" w:eastAsia="Arial" w:hAnsi="Arial"/>
          <w:sz w:val="18"/>
          <w:szCs w:val="18"/>
          <w:i w:val="1"/>
          <w:iCs w:val="1"/>
          <w:color w:val="auto"/>
        </w:rPr>
        <w:t>Revenue from</w:t>
      </w:r>
      <w:r>
        <w:rPr>
          <w:sz w:val="20"/>
          <w:szCs w:val="20"/>
          <w:color w:val="auto"/>
        </w:rPr>
        <w:tab/>
      </w:r>
      <w:r>
        <w:rPr>
          <w:rFonts w:ascii="Arial" w:cs="Arial" w:eastAsia="Arial" w:hAnsi="Arial"/>
          <w:sz w:val="17"/>
          <w:szCs w:val="17"/>
          <w:color w:val="auto"/>
        </w:rPr>
        <w:t>transfer of promised goods or services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Contracts with</w:t>
      </w:r>
      <w:r>
        <w:rPr>
          <w:sz w:val="20"/>
          <w:szCs w:val="20"/>
          <w:color w:val="auto"/>
        </w:rPr>
        <w:tab/>
      </w:r>
      <w:r>
        <w:rPr>
          <w:rFonts w:ascii="Arial" w:cs="Arial" w:eastAsia="Arial" w:hAnsi="Arial"/>
          <w:sz w:val="17"/>
          <w:szCs w:val="17"/>
          <w:color w:val="auto"/>
        </w:rPr>
        <w:t>customers in an amount that reflects the</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Customers</w:t>
      </w:r>
      <w:r>
        <w:rPr>
          <w:sz w:val="20"/>
          <w:szCs w:val="20"/>
          <w:color w:val="auto"/>
        </w:rPr>
        <w:tab/>
      </w:r>
      <w:r>
        <w:rPr>
          <w:rFonts w:ascii="Arial" w:cs="Arial" w:eastAsia="Arial" w:hAnsi="Arial"/>
          <w:sz w:val="18"/>
          <w:szCs w:val="18"/>
          <w:color w:val="auto"/>
        </w:rPr>
        <w:t>consideration to which the entity expects to</w:t>
      </w:r>
    </w:p>
    <w:p>
      <w:pPr>
        <w:ind w:left="2100" w:right="40"/>
        <w:spacing w:after="0" w:line="237" w:lineRule="auto"/>
        <w:rPr>
          <w:sz w:val="20"/>
          <w:szCs w:val="20"/>
          <w:color w:val="auto"/>
        </w:rPr>
      </w:pPr>
      <w:r>
        <w:rPr>
          <w:rFonts w:ascii="Arial" w:cs="Arial" w:eastAsia="Arial" w:hAnsi="Arial"/>
          <w:sz w:val="18"/>
          <w:szCs w:val="18"/>
          <w:color w:val="auto"/>
        </w:rPr>
        <w:t>be entitled in exchange for those goods or services. An entity can apply the new revenue standard retrospectively to each prior reporting period presented or with the cumulative effect of initially applying the standard recognized at the date of initial application in retained earnings. We currently plan to use the latter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spacing w:after="0" w:line="13"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Update 2016-01,</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Financial Instruments -</w:t>
      </w:r>
      <w:r>
        <w:rPr>
          <w:sz w:val="20"/>
          <w:szCs w:val="20"/>
          <w:color w:val="auto"/>
        </w:rPr>
        <w:tab/>
      </w:r>
      <w:r>
        <w:rPr>
          <w:rFonts w:ascii="Arial" w:cs="Arial" w:eastAsia="Arial" w:hAnsi="Arial"/>
          <w:sz w:val="17"/>
          <w:szCs w:val="17"/>
          <w:color w:val="auto"/>
        </w:rPr>
        <w:t>equity investments with readily</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Overall: Recognition</w:t>
      </w:r>
      <w:r>
        <w:rPr>
          <w:sz w:val="20"/>
          <w:szCs w:val="20"/>
          <w:color w:val="auto"/>
        </w:rPr>
        <w:tab/>
      </w:r>
      <w:r>
        <w:rPr>
          <w:rFonts w:ascii="Arial" w:cs="Arial" w:eastAsia="Arial" w:hAnsi="Arial"/>
          <w:sz w:val="18"/>
          <w:szCs w:val="18"/>
          <w:color w:val="auto"/>
        </w:rPr>
        <w:t>determinable fair values in net income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Measurement of</w:t>
      </w:r>
      <w:r>
        <w:rPr>
          <w:sz w:val="20"/>
          <w:szCs w:val="20"/>
          <w:color w:val="auto"/>
        </w:rPr>
        <w:tab/>
      </w:r>
      <w:r>
        <w:rPr>
          <w:rFonts w:ascii="Arial" w:cs="Arial" w:eastAsia="Arial" w:hAnsi="Arial"/>
          <w:sz w:val="17"/>
          <w:szCs w:val="17"/>
          <w:color w:val="auto"/>
        </w:rPr>
        <w:t>(except for investments accounted for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Assets and</w:t>
      </w:r>
      <w:r>
        <w:rPr>
          <w:sz w:val="20"/>
          <w:szCs w:val="20"/>
          <w:color w:val="auto"/>
        </w:rPr>
        <w:tab/>
      </w:r>
      <w:r>
        <w:rPr>
          <w:rFonts w:ascii="Arial" w:cs="Arial" w:eastAsia="Arial" w:hAnsi="Arial"/>
          <w:sz w:val="18"/>
          <w:szCs w:val="18"/>
          <w:color w:val="auto"/>
        </w:rPr>
        <w:t>under the equity method of accounting 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8"/>
          <w:szCs w:val="18"/>
          <w:color w:val="auto"/>
        </w:rPr>
        <w:t>those that result in consolidation of the</w:t>
      </w:r>
    </w:p>
    <w:p>
      <w:pPr>
        <w:ind w:left="2100" w:right="160"/>
        <w:spacing w:after="0"/>
        <w:rPr>
          <w:sz w:val="20"/>
          <w:szCs w:val="20"/>
          <w:color w:val="auto"/>
        </w:rPr>
      </w:pPr>
      <w:r>
        <w:rPr>
          <w:rFonts w:ascii="Arial" w:cs="Arial" w:eastAsia="Arial" w:hAnsi="Arial"/>
          <w:sz w:val="18"/>
          <w:szCs w:val="18"/>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in the process of evaluating the impact of the adoption of the standard. We have identified two revenue streams from our contracts with customers: 1) product sales, which represented 96 percent of our 2016 consolidated revenue and 2) licensing and other arrangements, which represented 4 percent of our 2016 consolidated revenue.</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evaluation of our contracts for product sales is substantially complete and, based upon the results of our work to date we currently do not expect the application of the new standard to these contracts to have a material impact to our consolidated statements of operations or balance sheets either at initial implementation or on an ongoing basis.</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While we have completed most of our reviews of arrangements in which we have licensed or sold intellectual property, we are not yet able to estimate the anticipated impact to our consolidated financial statements from the application of the new standard to these arrangements as we continue to interpret and apply the principles in the new standard to our arrangements.</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also evaluating the new disclosures required by the standard to determine what additional information will need to be disclosed.</w:t>
      </w:r>
    </w:p>
    <w:p>
      <w:pPr>
        <w:spacing w:after="0" w:line="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We are unable to estimate the impact of adopting this standard as the significance of the impact will depend upon our equity investments as of the date of adoption.</w:t>
      </w:r>
    </w:p>
    <w:p>
      <w:pPr>
        <w:spacing w:after="0" w:line="1594" w:lineRule="exact"/>
        <w:rPr>
          <w:sz w:val="20"/>
          <w:szCs w:val="20"/>
          <w:color w:val="auto"/>
        </w:rPr>
      </w:pPr>
    </w:p>
    <w:p>
      <w:pPr>
        <w:sectPr>
          <w:pgSz w:w="11900" w:h="16838" w:orient="portrait"/>
          <w:cols w:equalWidth="0" w:num="3">
            <w:col w:w="5540" w:space="220"/>
            <w:col w:w="1980" w:space="180"/>
            <w:col w:w="3460"/>
          </w:cols>
          <w:pgMar w:left="240" w:top="574" w:right="27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74" w:right="2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203"/>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01"/>
        </w:trPr>
        <w:tc>
          <w:tcPr>
            <w:tcW w:w="19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This standard was issued to increase</w:t>
            </w:r>
          </w:p>
        </w:tc>
        <w:tc>
          <w:tcPr>
            <w:tcW w:w="2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This standard is effective</w:t>
            </w:r>
          </w:p>
        </w:tc>
        <w:tc>
          <w:tcPr>
            <w:tcW w:w="3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 are in the process of determining the</w:t>
            </w: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Update 2016-02,</w:t>
            </w: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transparency and comparability among</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January 1, 2019, with</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potential impact on our consolidated</w:t>
            </w: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Leases</w:t>
            </w: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early adoption permitted.</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financial statements.</w:t>
            </w: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lease liabilities, including leases</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 intend to adopt this</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on January 1,</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2019.</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disclosures about leasing</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arrangements. This standard requires a</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modified retrospective approach to</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43"/>
        </w:trPr>
        <w:tc>
          <w:tcPr>
            <w:tcW w:w="1940" w:type="dxa"/>
            <w:vAlign w:val="bottom"/>
            <w:shd w:val="clear" w:color="auto" w:fill="CCEEFF"/>
          </w:tcPr>
          <w:p>
            <w:pPr>
              <w:spacing w:after="0"/>
              <w:rPr>
                <w:sz w:val="21"/>
                <w:szCs w:val="21"/>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w:t>
            </w:r>
          </w:p>
        </w:tc>
        <w:tc>
          <w:tcPr>
            <w:tcW w:w="218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r>
      <w:tr>
        <w:trPr>
          <w:trHeight w:val="185"/>
        </w:trPr>
        <w:tc>
          <w:tcPr>
            <w:tcW w:w="1940" w:type="dxa"/>
            <w:vAlign w:val="bottom"/>
            <w:shd w:val="clear" w:color="auto" w:fill="CCEEFF"/>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r>
      <w:tr>
        <w:trPr>
          <w:trHeight w:val="207"/>
        </w:trPr>
        <w:tc>
          <w:tcPr>
            <w:tcW w:w="1940" w:type="dxa"/>
            <w:vAlign w:val="bottom"/>
          </w:tcPr>
          <w:p>
            <w:pPr>
              <w:ind w:left="40"/>
              <w:spacing w:after="0"/>
              <w:rPr>
                <w:sz w:val="20"/>
                <w:szCs w:val="20"/>
                <w:color w:val="auto"/>
              </w:rPr>
            </w:pPr>
            <w:r>
              <w:rPr>
                <w:rFonts w:ascii="Arial" w:cs="Arial" w:eastAsia="Arial" w:hAnsi="Arial"/>
                <w:sz w:val="18"/>
                <w:szCs w:val="18"/>
                <w:color w:val="auto"/>
              </w:rPr>
              <w:t>Accounting Standards</w:t>
            </w:r>
          </w:p>
        </w:tc>
        <w:tc>
          <w:tcPr>
            <w:tcW w:w="3720" w:type="dxa"/>
            <w:vAlign w:val="bottom"/>
          </w:tcPr>
          <w:p>
            <w:pPr>
              <w:ind w:left="160"/>
              <w:spacing w:after="0"/>
              <w:rPr>
                <w:sz w:val="20"/>
                <w:szCs w:val="20"/>
                <w:color w:val="auto"/>
              </w:rPr>
            </w:pPr>
            <w:r>
              <w:rPr>
                <w:rFonts w:ascii="Arial" w:cs="Arial" w:eastAsia="Arial" w:hAnsi="Arial"/>
                <w:sz w:val="18"/>
                <w:szCs w:val="18"/>
                <w:color w:val="auto"/>
              </w:rPr>
              <w:t>This standard will require entities to</w:t>
            </w:r>
          </w:p>
        </w:tc>
        <w:tc>
          <w:tcPr>
            <w:tcW w:w="2180" w:type="dxa"/>
            <w:vAlign w:val="bottom"/>
          </w:tcPr>
          <w:p>
            <w:pPr>
              <w:ind w:left="100"/>
              <w:spacing w:after="0"/>
              <w:rPr>
                <w:sz w:val="20"/>
                <w:szCs w:val="20"/>
                <w:color w:val="auto"/>
              </w:rPr>
            </w:pPr>
            <w:r>
              <w:rPr>
                <w:rFonts w:ascii="Arial" w:cs="Arial" w:eastAsia="Arial" w:hAnsi="Arial"/>
                <w:sz w:val="18"/>
                <w:szCs w:val="18"/>
                <w:color w:val="auto"/>
              </w:rPr>
              <w:t>This standard is effective</w:t>
            </w:r>
          </w:p>
        </w:tc>
        <w:tc>
          <w:tcPr>
            <w:tcW w:w="3580" w:type="dxa"/>
            <w:vAlign w:val="bottom"/>
          </w:tcPr>
          <w:p>
            <w:pPr>
              <w:ind w:left="80"/>
              <w:spacing w:after="0"/>
              <w:rPr>
                <w:sz w:val="20"/>
                <w:szCs w:val="20"/>
                <w:color w:val="auto"/>
              </w:rPr>
            </w:pPr>
            <w:r>
              <w:rPr>
                <w:rFonts w:ascii="Arial" w:cs="Arial" w:eastAsia="Arial" w:hAnsi="Arial"/>
                <w:sz w:val="18"/>
                <w:szCs w:val="18"/>
                <w:color w:val="auto"/>
              </w:rPr>
              <w:t>We are continuing to assess the potential</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color w:val="auto"/>
              </w:rPr>
              <w:t>Update 2016-16,</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recognize the income tax consequences of</w:t>
            </w:r>
          </w:p>
        </w:tc>
        <w:tc>
          <w:tcPr>
            <w:tcW w:w="2180" w:type="dxa"/>
            <w:vAlign w:val="bottom"/>
          </w:tcPr>
          <w:p>
            <w:pPr>
              <w:ind w:left="100"/>
              <w:spacing w:after="0" w:line="202" w:lineRule="exact"/>
              <w:rPr>
                <w:sz w:val="20"/>
                <w:szCs w:val="20"/>
                <w:color w:val="auto"/>
              </w:rPr>
            </w:pPr>
            <w:r>
              <w:rPr>
                <w:rFonts w:ascii="Arial" w:cs="Arial" w:eastAsia="Arial" w:hAnsi="Arial"/>
                <w:sz w:val="18"/>
                <w:szCs w:val="18"/>
                <w:color w:val="auto"/>
              </w:rPr>
              <w:t>January</w:t>
            </w: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impact of this standard on our consolidated</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Income Taxes: Intra-</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intra-entity transfers of assets other than</w:t>
            </w:r>
          </w:p>
        </w:tc>
        <w:tc>
          <w:tcPr>
            <w:tcW w:w="2180" w:type="dxa"/>
            <w:vAlign w:val="bottom"/>
          </w:tcPr>
          <w:p>
            <w:pPr>
              <w:ind w:left="100"/>
              <w:spacing w:after="0" w:line="202" w:lineRule="exact"/>
              <w:rPr>
                <w:sz w:val="20"/>
                <w:szCs w:val="20"/>
                <w:color w:val="auto"/>
              </w:rPr>
            </w:pPr>
            <w:r>
              <w:rPr>
                <w:rFonts w:ascii="Arial" w:cs="Arial" w:eastAsia="Arial" w:hAnsi="Arial"/>
                <w:sz w:val="18"/>
                <w:szCs w:val="18"/>
                <w:color w:val="auto"/>
              </w:rPr>
              <w:t>1, 2018, and we will</w:t>
            </w: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financial statements and currently estimate</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Entity Transfers of</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inventory at the time of transfer. This</w:t>
            </w:r>
          </w:p>
        </w:tc>
        <w:tc>
          <w:tcPr>
            <w:tcW w:w="2180" w:type="dxa"/>
            <w:vAlign w:val="bottom"/>
          </w:tcPr>
          <w:p>
            <w:pPr>
              <w:ind w:left="100"/>
              <w:spacing w:after="0" w:line="202" w:lineRule="exact"/>
              <w:rPr>
                <w:sz w:val="20"/>
                <w:szCs w:val="20"/>
                <w:color w:val="auto"/>
              </w:rPr>
            </w:pPr>
            <w:r>
              <w:rPr>
                <w:rFonts w:ascii="Arial" w:cs="Arial" w:eastAsia="Arial" w:hAnsi="Arial"/>
                <w:sz w:val="18"/>
                <w:szCs w:val="18"/>
                <w:color w:val="auto"/>
              </w:rPr>
              <w:t>adopt on that date.</w:t>
            </w: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that the cumulative effect of initially</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Assets Other Than</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standard requires a modified</w:t>
            </w: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applying the standard would result in an</w:t>
            </w:r>
          </w:p>
        </w:tc>
      </w:tr>
      <w:tr>
        <w:trPr>
          <w:trHeight w:val="203"/>
        </w:trPr>
        <w:tc>
          <w:tcPr>
            <w:tcW w:w="19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Inventory</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retrospective approach to adoption.</w:t>
            </w: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increase to deferred tax assets and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opening balance of retained earnings of</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approximately $2 billion on January 1,</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2018. This estimate is subject to change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based upon intra-entity transfers of assets</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other than inventory over the remainder of</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2017 and ongoing assessments of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future deductibility and realizability of the</w:t>
            </w:r>
          </w:p>
        </w:tc>
      </w:tr>
      <w:tr>
        <w:trPr>
          <w:trHeight w:val="203"/>
        </w:trPr>
        <w:tc>
          <w:tcPr>
            <w:tcW w:w="1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deferred tax assets that would result from</w:t>
            </w:r>
          </w:p>
        </w:tc>
      </w:tr>
      <w:tr>
        <w:trPr>
          <w:trHeight w:val="243"/>
        </w:trPr>
        <w:tc>
          <w:tcPr>
            <w:tcW w:w="19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implementation.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9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9059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1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was issued to improve the</w:t>
      </w:r>
    </w:p>
    <w:p>
      <w:pPr>
        <w:spacing w:after="0" w:line="13"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Update 2017-07,</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7"/>
          <w:szCs w:val="17"/>
          <w:color w:val="auto"/>
        </w:rPr>
        <w:t>organizations by requiring entities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Retirement Benefits:</w:t>
      </w:r>
      <w:r>
        <w:rPr>
          <w:sz w:val="20"/>
          <w:szCs w:val="20"/>
          <w:color w:val="auto"/>
        </w:rPr>
        <w:tab/>
      </w:r>
      <w:r>
        <w:rPr>
          <w:rFonts w:ascii="Arial" w:cs="Arial" w:eastAsia="Arial" w:hAnsi="Arial"/>
          <w:sz w:val="17"/>
          <w:szCs w:val="17"/>
          <w:color w:val="auto"/>
        </w:rPr>
        <w:t>separate their net periodic pension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Improving the</w:t>
      </w:r>
      <w:r>
        <w:rPr>
          <w:sz w:val="20"/>
          <w:szCs w:val="20"/>
          <w:color w:val="auto"/>
        </w:rPr>
        <w:tab/>
      </w:r>
      <w:r>
        <w:rPr>
          <w:rFonts w:ascii="Arial" w:cs="Arial" w:eastAsia="Arial" w:hAnsi="Arial"/>
          <w:sz w:val="18"/>
          <w:szCs w:val="18"/>
          <w:color w:val="auto"/>
        </w:rPr>
        <w:t>and net periodic postretirement benefit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Presentation of Net</w:t>
      </w:r>
      <w:r>
        <w:rPr>
          <w:sz w:val="20"/>
          <w:szCs w:val="20"/>
          <w:color w:val="auto"/>
        </w:rPr>
        <w:tab/>
      </w:r>
      <w:r>
        <w:rPr>
          <w:rFonts w:ascii="Arial" w:cs="Arial" w:eastAsia="Arial" w:hAnsi="Arial"/>
          <w:sz w:val="18"/>
          <w:szCs w:val="18"/>
          <w:color w:val="auto"/>
        </w:rPr>
        <w:t>into a service cost component and other</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Periodic Pension Cost</w:t>
      </w:r>
      <w:r>
        <w:rPr>
          <w:sz w:val="20"/>
          <w:szCs w:val="20"/>
          <w:color w:val="auto"/>
        </w:rPr>
        <w:tab/>
      </w:r>
      <w:r>
        <w:rPr>
          <w:rFonts w:ascii="Arial" w:cs="Arial" w:eastAsia="Arial" w:hAnsi="Arial"/>
          <w:sz w:val="17"/>
          <w:szCs w:val="17"/>
          <w:color w:val="auto"/>
        </w:rPr>
        <w:t>components. Currently, the costs of the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Net Periodic</w:t>
      </w:r>
      <w:r>
        <w:rPr>
          <w:sz w:val="20"/>
          <w:szCs w:val="20"/>
          <w:color w:val="auto"/>
        </w:rPr>
        <w:tab/>
      </w:r>
      <w:r>
        <w:rPr>
          <w:rFonts w:ascii="Arial" w:cs="Arial" w:eastAsia="Arial" w:hAnsi="Arial"/>
          <w:sz w:val="17"/>
          <w:szCs w:val="17"/>
          <w:color w:val="auto"/>
        </w:rPr>
        <w:t>other components along with the service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Postretirement Benefit</w:t>
      </w:r>
      <w:r>
        <w:rPr>
          <w:sz w:val="20"/>
          <w:szCs w:val="20"/>
          <w:color w:val="auto"/>
        </w:rPr>
        <w:tab/>
      </w:r>
      <w:r>
        <w:rPr>
          <w:rFonts w:ascii="Arial" w:cs="Arial" w:eastAsia="Arial" w:hAnsi="Arial"/>
          <w:sz w:val="17"/>
          <w:szCs w:val="17"/>
          <w:color w:val="auto"/>
        </w:rPr>
        <w:t>cost component are classified based upon</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Cost</w:t>
      </w:r>
      <w:r>
        <w:rPr>
          <w:sz w:val="20"/>
          <w:szCs w:val="20"/>
          <w:color w:val="auto"/>
        </w:rPr>
        <w:tab/>
      </w:r>
      <w:r>
        <w:rPr>
          <w:rFonts w:ascii="Arial" w:cs="Arial" w:eastAsia="Arial" w:hAnsi="Arial"/>
          <w:sz w:val="18"/>
          <w:szCs w:val="18"/>
          <w:color w:val="auto"/>
        </w:rPr>
        <w:t>the function of the employee. This standard</w:t>
      </w:r>
    </w:p>
    <w:p>
      <w:pPr>
        <w:ind w:left="2100"/>
        <w:spacing w:after="0" w:line="236" w:lineRule="auto"/>
        <w:rPr>
          <w:sz w:val="20"/>
          <w:szCs w:val="20"/>
          <w:color w:val="auto"/>
        </w:rPr>
      </w:pPr>
      <w:r>
        <w:rPr>
          <w:rFonts w:ascii="Arial" w:cs="Arial" w:eastAsia="Arial" w:hAnsi="Arial"/>
          <w:sz w:val="18"/>
          <w:szCs w:val="18"/>
          <w:color w:val="auto"/>
        </w:rPr>
        <w:t>will require entities to classify the service cost component in the same financial statement line item or items as other compensation costs arising from services rendered by pertinent employees. The other components of net benefit cost will be presented separately from the line items that include the service cost component. When applicable, the service cost component will be the only component eligible for capitalization. An entity should apply the new standard retrospectively for the classification of the service cost and other components and prospectively for the capitalization of the service cost component.</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7"/>
          <w:szCs w:val="17"/>
          <w:color w:val="auto"/>
        </w:rPr>
        <w:t>This standard is effective January 1, 2018, with early adoption permitted. We intend to adopt this standard on January 1, 2018.</w:t>
      </w:r>
    </w:p>
    <w:p>
      <w:pPr>
        <w:spacing w:after="0" w:line="20" w:lineRule="exact"/>
        <w:rPr>
          <w:sz w:val="20"/>
          <w:szCs w:val="20"/>
          <w:color w:val="auto"/>
        </w:rPr>
      </w:pPr>
      <w:r>
        <w:rPr>
          <w:sz w:val="20"/>
          <w:szCs w:val="20"/>
          <w:color w:val="auto"/>
        </w:rPr>
        <w:br w:type="column"/>
      </w:r>
    </w:p>
    <w:p>
      <w:pPr>
        <w:ind w:right="100"/>
        <w:spacing w:after="0"/>
        <w:rPr>
          <w:sz w:val="20"/>
          <w:szCs w:val="20"/>
          <w:color w:val="auto"/>
        </w:rPr>
      </w:pPr>
      <w:r>
        <w:rPr>
          <w:rFonts w:ascii="Arial" w:cs="Arial" w:eastAsia="Arial" w:hAnsi="Arial"/>
          <w:sz w:val="18"/>
          <w:szCs w:val="18"/>
          <w:color w:val="auto"/>
        </w:rPr>
        <w:t>Upon adoption of this standard, pension and postretirement benefit cost components other than service costs will be presented in other–net, (income) expense. We do not expect the application of the new standard to have a material impact on consolidated net income either at initial implementation or on an ongoing basis.</w:t>
      </w:r>
    </w:p>
    <w:p>
      <w:pPr>
        <w:spacing w:after="0" w:line="3641" w:lineRule="exact"/>
        <w:rPr>
          <w:sz w:val="20"/>
          <w:szCs w:val="20"/>
          <w:color w:val="auto"/>
        </w:rPr>
      </w:pPr>
    </w:p>
    <w:p>
      <w:pPr>
        <w:sectPr>
          <w:pgSz w:w="11900" w:h="16838" w:orient="portrait"/>
          <w:cols w:equalWidth="0" w:num="3">
            <w:col w:w="5560" w:space="200"/>
            <w:col w:w="1980" w:space="180"/>
            <w:col w:w="3500"/>
          </w:cols>
          <w:pgMar w:left="240" w:top="908"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90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Acquisitions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are included in our consolidated condensed financial statements from the date of acquisition.</w:t>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March 2017, we acquired lasmiditan, an asset in development, as part of our acquisition of CoLucid Pharmaceuticals, Inc. (CoLucid) which is further discussed in this note below in Asset Acquisition. Upon acquisition, the acquired in-process research and development (IPR&amp;D) charge of $857.6 million related to this product was immediately written off as an expense because the product had no alternative future use.</w:t>
      </w:r>
    </w:p>
    <w:p>
      <w:pPr>
        <w:spacing w:after="0" w:line="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2017, we entered into a collaboration agreement with KeyBioscience AG (KeyBioscience), which will provide us with access to KeyBioscience's Dual Amylin Calcitonin Receptor Agonists (DACRA) platform, a potential new class of treatments for metabolic disorders such as type 2 diabetes, along with multiple molecules including KBP-042, KBP-089, and KBP-056. Prior to entering into the agreement, KeyBioscience had initiated Phase II development of KBP-042. The other assets included in the collaboration range from pre-clinical to Phase I development. Under the terms of the agreement, we receive worldwide rights to develop and commercialize these molecules. This transaction closed in July 2017 after receiving clearance under the Hart-Scott-Rodino Antitrust Improvements Act. KeyBioscience will receive an initial payment of $55.0 million, which will be recorded as an acquired IPR&amp;D charge in the third quarter of 2017. KeyBioscience will also be eligible to receive potential development, regulatory, and commercialization milestone payments based on the successful progress of the compounds through the development and regulatory process, as well as tiered royalty payments based on future sales.</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July 2017, we agreed to a collaboration with Nektar Therapeutics (Nektar) to co-develop NKTR-358, Nektar's Phase I immunological therapy, which has the potential to treat a number of autoimmune and other chronic inflammatory conditions. This transaction is subject to clearance under the Hart-Scott-Rodino Antitrust Improvements Act and other customary closing conditions. Subject to the closing of this transaction, which is expected by the end of 2017, Nektar will receive an initial payment of $150.0 million which will be recorded as an acquired IPR&amp;D charge. Nektar will also be eligible to receive potential development and regulatory milestone payments, as well as tiered royalty payments based on future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We acquired BIVIVP in an all-cash transaction for $882.1 million. Under the terms of the agreement, we acquired a manufacturing and research and development site, a U.S. vaccine portfolio, including vaccines used for the treatment of bordetella, Lyme disease, rabies, and parvovirus, among others.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access to BIVIVP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and require changes to, the preliminary amounts recognized.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5"/>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646.3</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235.8</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95" w:lineRule="exact"/>
        <w:rPr>
          <w:sz w:val="20"/>
          <w:szCs w:val="20"/>
          <w:color w:val="auto"/>
        </w:rPr>
      </w:pPr>
    </w:p>
    <w:p>
      <w:pPr>
        <w:ind w:left="180" w:right="220" w:hanging="172"/>
        <w:spacing w:after="0" w:line="239"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77" w:lineRule="exact"/>
        <w:rPr>
          <w:rFonts w:ascii="Arial" w:cs="Arial" w:eastAsia="Arial" w:hAnsi="Arial"/>
          <w:sz w:val="17"/>
          <w:szCs w:val="17"/>
          <w:color w:val="auto"/>
          <w:vertAlign w:val="superscript"/>
        </w:rPr>
      </w:pPr>
    </w:p>
    <w:p>
      <w:pPr>
        <w:ind w:left="180" w:right="300" w:hanging="172"/>
        <w:spacing w:after="0"/>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We anticipate that the goodwill associated with this acquisition will be deductible for tax purposes.</w:t>
      </w:r>
    </w:p>
    <w:p>
      <w:pPr>
        <w:spacing w:after="0" w:line="6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consolidated condensed statement of operations for the three and six months ended June 30, 2017, includes BIVIVP revenue of $78.3 million and $119.0 million, respectively. BIVIVP has been integrated into our animal health products segment and, as a result of these integration efforts, certain parts of the animal health business were operating on a combined basis during these periods, and we could not distinguish the operations between BIVIVP and our legacy animal health products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w:t>
      </w:r>
    </w:p>
    <w:p>
      <w:pPr>
        <w:spacing w:after="0" w:line="11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and narrative summarizes our asset acquisition during the six months ended June 30, 2017. There was no asset acquisition which resulted in acquired IPR&amp;D expense during the six months ended June 30, 2016.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27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Counterparty</w:t>
            </w:r>
          </w:p>
        </w:tc>
        <w:tc>
          <w:tcPr>
            <w:tcW w:w="36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Compound(s) or Therapy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27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CoLucid</w:t>
            </w:r>
          </w:p>
        </w:tc>
        <w:tc>
          <w:tcPr>
            <w:tcW w:w="36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Oral therapy for the acute treatment</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March 2017</w:t>
            </w:r>
          </w:p>
        </w:tc>
        <w:tc>
          <w:tcPr>
            <w:tcW w:w="1540" w:type="dxa"/>
            <w:vAlign w:val="bottom"/>
            <w:vMerge w:val="restart"/>
            <w:shd w:val="clear" w:color="auto" w:fill="CCEEFF"/>
          </w:tcPr>
          <w:p>
            <w:pPr>
              <w:jc w:val="center"/>
              <w:ind w:left="2"/>
              <w:spacing w:after="0"/>
              <w:rPr>
                <w:sz w:val="20"/>
                <w:szCs w:val="20"/>
                <w:color w:val="auto"/>
              </w:rPr>
            </w:pPr>
            <w:r>
              <w:rPr>
                <w:rFonts w:ascii="Arial" w:cs="Arial" w:eastAsia="Arial" w:hAnsi="Arial"/>
                <w:sz w:val="18"/>
                <w:szCs w:val="18"/>
                <w:color w:val="auto"/>
                <w:w w:val="98"/>
              </w:rPr>
              <w:t>Phase III</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35"/>
        </w:trPr>
        <w:tc>
          <w:tcPr>
            <w:tcW w:w="2740" w:type="dxa"/>
            <w:vAlign w:val="bottom"/>
            <w:vMerge w:val="continue"/>
            <w:shd w:val="clear" w:color="auto" w:fill="CCEEFF"/>
          </w:tcPr>
          <w:p>
            <w:pPr>
              <w:spacing w:after="0"/>
              <w:rPr>
                <w:sz w:val="11"/>
                <w:szCs w:val="11"/>
                <w:color w:val="auto"/>
              </w:rPr>
            </w:pPr>
          </w:p>
        </w:tc>
        <w:tc>
          <w:tcPr>
            <w:tcW w:w="366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of migraine - lasmiditan</w:t>
            </w:r>
          </w:p>
        </w:tc>
        <w:tc>
          <w:tcPr>
            <w:tcW w:w="1700" w:type="dxa"/>
            <w:vAlign w:val="bottom"/>
            <w:vMerge w:val="continue"/>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740" w:type="dxa"/>
            <w:vAlign w:val="bottom"/>
            <w:shd w:val="clear" w:color="auto" w:fill="CCEEFF"/>
          </w:tcPr>
          <w:p>
            <w:pPr>
              <w:spacing w:after="0"/>
              <w:rPr>
                <w:sz w:val="10"/>
                <w:szCs w:val="10"/>
                <w:color w:val="auto"/>
              </w:rPr>
            </w:pPr>
          </w:p>
        </w:tc>
        <w:tc>
          <w:tcPr>
            <w:tcW w:w="3660" w:type="dxa"/>
            <w:vAlign w:val="bottom"/>
            <w:vMerge w:val="continue"/>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March 2017, we acquired lasmiditan by acquiring CoLucid. Under the terms of the agreement, we acquired all shares of CoLucid for a cash purchase price of $831.8 million, net of cash acquired, plus net accrued liabilities assumed of $25.8 million. Substantially all of the value of CoLucid was related to lasmiditan, its only significant asset. The acquired IPR&amp;D expense is not tax deductible.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 related to products we sell pursuant to these arrangements are included in net product revenue, while other sources of revenue (e.g., royalties and profit-sharing due from our partner) are included in collaboration and other revenue.</w:t>
      </w:r>
    </w:p>
    <w:p>
      <w:pPr>
        <w:spacing w:after="0" w:line="7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294.5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208.5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534.9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390.8</w:t>
            </w:r>
          </w:p>
        </w:tc>
      </w:tr>
    </w:tbl>
    <w:p>
      <w:pPr>
        <w:spacing w:after="0" w:line="8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in this footnote: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selling,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55.7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47.3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102.4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96.3</w:t>
            </w:r>
          </w:p>
        </w:tc>
      </w:tr>
    </w:tbl>
    <w:p>
      <w:pPr>
        <w:spacing w:after="0" w:line="13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Milestones</w:t>
            </w:r>
          </w:p>
        </w:tc>
        <w:tc>
          <w:tcPr>
            <w:tcW w:w="1240" w:type="dxa"/>
            <w:vAlign w:val="bottom"/>
          </w:tcPr>
          <w:p>
            <w:pPr>
              <w:spacing w:after="0"/>
              <w:rPr>
                <w:sz w:val="14"/>
                <w:szCs w:val="14"/>
                <w:color w:val="auto"/>
              </w:rPr>
            </w:pPr>
          </w:p>
        </w:tc>
      </w:tr>
      <w:tr>
        <w:trPr>
          <w:trHeight w:val="204"/>
        </w:trPr>
        <w:tc>
          <w:tcPr>
            <w:tcW w:w="25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08"/>
        </w:trPr>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Product Family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Japan</w:t>
            </w:r>
          </w:p>
        </w:tc>
        <w:tc>
          <w:tcPr>
            <w:tcW w:w="1560" w:type="dxa"/>
            <w:vAlign w:val="bottom"/>
          </w:tcPr>
          <w:p>
            <w:pPr>
              <w:jc w:val="center"/>
              <w:ind w:left="54"/>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56"/>
        </w:trPr>
        <w:tc>
          <w:tcPr>
            <w:tcW w:w="25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Launched 2011</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446.4</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299.5</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2017</w:t>
            </w:r>
          </w:p>
        </w:tc>
        <w:tc>
          <w:tcPr>
            <w:tcW w:w="6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62"/>
        </w:trPr>
        <w:tc>
          <w:tcPr>
            <w:tcW w:w="25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2016</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2015</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80"/>
        </w:trPr>
        <w:tc>
          <w:tcPr>
            <w:tcW w:w="2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95" w:lineRule="exact"/>
        <w:rPr>
          <w:sz w:val="20"/>
          <w:szCs w:val="20"/>
          <w:color w:val="auto"/>
        </w:rPr>
      </w:pPr>
    </w:p>
    <w:p>
      <w:pPr>
        <w:ind w:left="180" w:right="400" w:hanging="172"/>
        <w:spacing w:after="0" w:line="235" w:lineRule="auto"/>
        <w:tabs>
          <w:tab w:leader="none" w:pos="167"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initial amounts that were (deferred)/capitalized from the start of this collaboration through the end of the reporting period.</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70"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2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322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65"/>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3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141.9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254.9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215.4</w:t>
            </w:r>
          </w:p>
        </w:tc>
      </w:tr>
      <w:tr>
        <w:trPr>
          <w:trHeight w:val="269"/>
        </w:trPr>
        <w:tc>
          <w:tcPr>
            <w:tcW w:w="32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103.2</w:t>
            </w:r>
          </w:p>
        </w:tc>
        <w:tc>
          <w:tcPr>
            <w:tcW w:w="4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23"/>
                <w:szCs w:val="23"/>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177.1</w:t>
            </w:r>
          </w:p>
        </w:tc>
        <w:tc>
          <w:tcPr>
            <w:tcW w:w="40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78.3</w:t>
            </w:r>
          </w:p>
        </w:tc>
      </w:tr>
      <w:tr>
        <w:trPr>
          <w:trHeight w:val="271"/>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86.6</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132.6</w:t>
            </w: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r>
      <w:tr>
        <w:trPr>
          <w:trHeight w:val="463"/>
        </w:trPr>
        <w:tc>
          <w:tcPr>
            <w:tcW w:w="3220" w:type="dxa"/>
            <w:vAlign w:val="bottom"/>
          </w:tcPr>
          <w:p>
            <w:pPr>
              <w:spacing w:after="0"/>
              <w:rPr>
                <w:sz w:val="24"/>
                <w:szCs w:val="24"/>
                <w:color w:val="auto"/>
              </w:rPr>
            </w:pPr>
          </w:p>
        </w:tc>
        <w:tc>
          <w:tcPr>
            <w:tcW w:w="3720" w:type="dxa"/>
            <w:vAlign w:val="bottom"/>
          </w:tcPr>
          <w:p>
            <w:pPr>
              <w:jc w:val="right"/>
              <w:ind w:right="103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134.4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265.7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299.9</w:t>
            </w:r>
          </w:p>
        </w:tc>
      </w:tr>
      <w:tr>
        <w:trPr>
          <w:trHeight w:val="269"/>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24.7</w:t>
            </w: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22.2</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47.8</w:t>
            </w: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w:t>
            </w:r>
          </w:p>
        </w:tc>
      </w:tr>
      <w:tr>
        <w:trPr>
          <w:trHeight w:val="258"/>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159.1</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313.5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with BMS exclusively.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55" w:lineRule="exact"/>
        <w:rPr>
          <w:sz w:val="20"/>
          <w:szCs w:val="20"/>
          <w:color w:val="auto"/>
        </w:rPr>
      </w:pPr>
    </w:p>
    <w:p>
      <w:pPr>
        <w:jc w:val="both"/>
        <w:ind w:right="740"/>
        <w:spacing w:after="0" w:line="271"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6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07"/>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35"/>
        </w:trPr>
        <w:tc>
          <w:tcPr>
            <w:tcW w:w="312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8" w:right="239" w:bottom="1440" w:gutter="0" w:footer="0" w:header="0"/>
        </w:sectPr>
      </w:pPr>
    </w:p>
    <w:bookmarkStart w:id="15" w:name="page16"/>
    <w:bookmarkEnd w:id="15"/>
    <w:p>
      <w:pPr>
        <w:ind w:right="380"/>
        <w:spacing w:after="0" w:line="258"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142.9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270.7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266.6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Olumiant</w:t>
      </w:r>
      <w:r>
        <w:rPr>
          <w:rFonts w:ascii="Arial" w:cs="Arial" w:eastAsia="Arial" w:hAnsi="Arial"/>
          <w:sz w:val="21"/>
          <w:szCs w:val="21"/>
          <w:color w:val="auto"/>
          <w:vertAlign w:val="superscript"/>
        </w:rPr>
        <w:t>®</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(trade name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and psoriatic arthritis in 2010 and 2017, respectively. The agreement calls for payments by us to Incyte associated with certain development, success-based regulatory, and sales-based milestones. In the first quarter of 2016, we incurred milestone-related expenses of $55.0 million in connection with regulatory submissions in the U.S. and Europe, which were recorded as research and development expense. In the first quarter of 2017, we capitalized as an intangible asset a $65.0 million milestone in connection with the regulatory approval in Europe, which is being amortized to cost of sales over the term of the collaboration. In the third quarter of 2017, in connection with the regulatory approval in Japan, we will capitalize as an intangible asset a $15.0 million milestone which, upon product launch in this territory, will be amortized to cost of sales over the term of the collaboration. After receipt of this milestone payment, Incyte will be eligible to receive up to $280.0 million of additional payments from us contingent upon certain development and success-based regulatory milestones, of which $100.0 million relates to the U.S. regulatory decision for a first indication. Incyte is also eligible to receive up to $150.0 million of potential sales-based milestones.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U.S. Food and Drug Administration's (FDA's) decision in March 2015 to lift the partial clinical hold on tanezumab, certain Phase III trials resumed in July 2015. Upon the FDA's lifting of the partial clinical hold and the decision to continue the collaboration with Pfizer, we paid an upfront fee of $ 200.0 million, which was expensed as acquired IPR&amp;D. As of June 30, 2017, Pfizer is eligible to receive up to $350.0 million in success-based regulatory milestones and up to $1.23 billion in a series of sales-based milestones, contingent upon the commercial success of tanezumab.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Lanabecestat</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September 2014, we entered into a collaboration agreement with AstraZeneca for the worldwide co-development and co-commercialization of AstraZeneca’s lanabecestat,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$ 100.0 million developmental milestone, which was recorded as research and development expense in the second quarter of 2016. In July 2017, as a result of the outcome of an interim analysis, we incurred a $50.0 million developmental milestone, which will be recorded as research and development expense in the third quarter of 2017. After receipt of this milestone payment, AstraZeneca will be eligible to receive up to $300.0 million of additional payments from us contingent upon the achievement of certain development and success-based regulatory milestones.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9"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(1.7)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111.3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0.7</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56.3</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r>
      <w:tr>
        <w:trPr>
          <w:trHeight w:val="264"/>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b w:val="1"/>
                <w:bCs w:val="1"/>
                <w:color w:val="auto"/>
              </w:rPr>
              <w:t>167.6</w:t>
            </w:r>
          </w:p>
        </w:tc>
        <w:tc>
          <w:tcPr>
            <w:tcW w:w="4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28.7</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51.0</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96.3</w:t>
            </w: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160.7</w:t>
            </w:r>
          </w:p>
        </w:tc>
      </w:tr>
      <w:tr>
        <w:trPr>
          <w:trHeight w:val="271"/>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50.0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263.9</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189.4</w:t>
            </w:r>
          </w:p>
        </w:tc>
      </w:tr>
    </w:tbl>
    <w:p>
      <w:pPr>
        <w:spacing w:after="0" w:line="8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Severance costs recognized during the three and six months ended June 30, 2017 were incurred as a result of actions taken to reduce our cost structure, as well as the integration of Novartis Animal Health (Novartis AH). Severance costs recognized during the three and six months ended June 30, 2016 related primarily to the integration of Novartis AH. Severance costs recognized during the six months ended June 30, 2016 also related to our decision to close an animal health manufacturing plant in Ireland. Substantially all of the severance costs incurred during the three and six months ended June 30, 2017 are expected to be paid in the next 12 months.</w:t>
      </w:r>
    </w:p>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Asset impairment and other special charges recognized during the three and six months ended June 30, 2017 resulted primarily from integration costs of Novartis AH, as well as asset impairments due to site closures. Asset impairment and other special charges recognized during the three months ended June 30, 2016 related primarily to integration costs related to our acquisition of Novartis AH. Asset impairment and other special charges recognized during the six months ended June 30, 2016 resulted primarily from $87.2 million of asset impairment and other charges related to our decision to close an animal health manufacturing plant in Ireland. The manufacturing plant was written down to its estimated fair value, which was based primarily on recent sales of similar assets. The remaining asset impairment and other special charges recognized during the six months ended June 30, 2016 consisted of integration costs related to our acquisition of Novartis AH.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2017, we had outstanding foreign currency forward commitments to purchase 1.34 billion U.S. dollars and sell 1.19 billion euro, commitments to purchase 1.24 billion euro and sell 1.39 billion U.S. dollars, commitments to purchase 540.2 million U.S. dollars and sell 60.29 billion Japanese yen, commitments to purchase 283.9 million British pounds and sell 324.2 million euro, and commitments to purchase 267.2 million U.S. dollars and sell 208.8 million British pounds, which will all settle within 30 days.</w:t>
      </w:r>
    </w:p>
    <w:p>
      <w:pPr>
        <w:spacing w:after="0" w:line="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$3.61 billion and $ 3.34 billion as of June 30, 2017 and December 31, 2016, respectively, and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74" w:right="259" w:bottom="1440" w:gutter="0" w:footer="0" w:header="0"/>
        </w:sectPr>
      </w:pPr>
    </w:p>
    <w:bookmarkStart w:id="18" w:name="page19"/>
    <w:bookmarkEnd w:id="18"/>
    <w:p>
      <w:pPr>
        <w:ind w:right="16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2017, substantially all of our total long-term debt is at a fixed rate. We have converted approximately 30 percent of our long-term fixed-rate notes to floating rates through the use of interest rate swaps.</w:t>
      </w:r>
    </w:p>
    <w:p>
      <w:pPr>
        <w:spacing w:after="0" w:line="6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2017, we issued $750.0 million of 2.35 percent fixed-rate notes due in May 2022, $750.0 million of 3.10 percent fixed-rate notes due in May 2027, and $750.0 million of 3.95 percent fixed-rate notes due in May 2047, with interest to be paid semi-annually. We expect to use the net proceeds of $ 2.23 billion from the sale of these notes for general corporate purposes, including to repay at maturity notes due in 2018 and 2019. Prior to such uses, we may temporarily invest the net proceeds in investment securities.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in May 2018, Fr.600.0 million of 0.15 percent fixed-rate notes due in May 2024, and Fr.400.0 million of 0.45 percent fixed-rate notes due in May 2028, with interest to be paid annually. We are using the net cash proceeds of the offering of $ 1.21 billion for general corporate purposes, which included the repayment at maturity of certain of our U.S. dollar denominated fixed-rate notes due March 2017.</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15.0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35.8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7.5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(15.0)</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(7.5)</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7"/>
        </w:trPr>
        <w:tc>
          <w:tcPr>
            <w:tcW w:w="69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24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25.8</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62.9</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During the six months ended June 30, 2017 and 2016, net losses related to ineffectiveness, as well as net losses related to the portion of our risk-management hedging instruments, fair value hedges, and cash flow hedges that were excluded from the assessment of effectiveness, were not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(194.4)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34.8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(273.3)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1"/>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(51.5)</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(57.6)</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31.9</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13.0</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13.0</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87" w:lineRule="exact"/>
        <w:rPr>
          <w:sz w:val="20"/>
          <w:szCs w:val="20"/>
          <w:color w:val="auto"/>
        </w:rPr>
      </w:pPr>
    </w:p>
    <w:p>
      <w:pPr>
        <w:ind w:right="1080"/>
        <w:spacing w:after="0" w:line="292" w:lineRule="auto"/>
        <w:rPr>
          <w:sz w:val="20"/>
          <w:szCs w:val="20"/>
          <w:color w:val="auto"/>
        </w:rPr>
      </w:pPr>
      <w:r>
        <w:rPr>
          <w:rFonts w:ascii="Arial" w:cs="Arial" w:eastAsia="Arial" w:hAnsi="Arial"/>
          <w:sz w:val="18"/>
          <w:szCs w:val="18"/>
          <w:color w:val="auto"/>
        </w:rPr>
        <w:t>During the next 12 months, we expect to reclassify $14.7 million of pretax net losses on cash flow hedges from accumulated other comprehensive loss to other–net, (income) expense.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following tables summarize certain fair value information at June 30, 2017 and December 31, 2016 for assets and liabilities measured at fair value on a recurring basis, as well as the carrying amount and amortized cost of certain other investments: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8"/>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4"/>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1,667.4</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1,667.4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1,146.4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521.0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1,667.4</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671.6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671.6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671.6</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1,688.4</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1,688.1</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1,688.4</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1,688.4</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2.0</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2.0</w:t>
            </w: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2.2</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2.2</w:t>
            </w: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2.2</w:t>
            </w: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2.2</w:t>
            </w:r>
          </w:p>
        </w:tc>
      </w:tr>
      <w:tr>
        <w:trPr>
          <w:trHeight w:val="27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2,364.2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365.1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368.1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365.1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365.1</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3,493.6</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3,488.3</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3,493.6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3,493.6</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152.2</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153.4</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152.2</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152.2</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678.9</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679.4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678.9</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678.9</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173.6</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81.3</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173.6</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173.6</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326.7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122.4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326.7</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326.7</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533.2</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5,723.3</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2,986.8</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2,986.8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2,699.4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287.4</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2,986.8</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232.5</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1,219.2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1,219.1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1,219.2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1,219.2</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0.5</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1,456.5</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318.9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323.8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318.9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318.9</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3,062.2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3,062.2</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3,062.2</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183.1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185.4</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183.1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183.1</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502.7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502.7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502.7</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153.7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77.6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153.7</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153.7</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418.2</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568.7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5,207.5</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bl>
    <w:p>
      <w:pPr>
        <w:spacing w:after="0" w:line="8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20"/>
          </w:cols>
          <w:pgMar w:left="240" w:top="740"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40"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8"/>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203"/>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6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9"/>
        </w:trPr>
        <w:tc>
          <w:tcPr>
            <w:tcW w:w="39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(1,425.0)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(1,423.7)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(1,423.7)</w:t>
            </w:r>
          </w:p>
        </w:tc>
      </w:tr>
      <w:tr>
        <w:trPr>
          <w:trHeight w:val="271"/>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(1,299.3)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(1,299.3)</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r>
      <w:tr>
        <w:trPr>
          <w:trHeight w:val="269"/>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1"/>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(10,887.1)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(11,318.1)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(11,318.1)</w:t>
            </w:r>
          </w:p>
        </w:tc>
      </w:tr>
      <w:tr>
        <w:trPr>
          <w:trHeight w:val="261"/>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(9,005.9)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(9,419.1)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(9,419.1)</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3.2</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44.6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44.6</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44.6</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(0.6)</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(12.4)</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(12.9)</w:t>
            </w: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0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28.1</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28.1</w:t>
            </w: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28.1</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(21.7)</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(212.5)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(138.1)</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r>
      <w:tr>
        <w:trPr>
          <w:trHeight w:val="325"/>
        </w:trPr>
        <w:tc>
          <w:tcPr>
            <w:tcW w:w="4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9"/>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(215.9)</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bl>
    <w:p>
      <w:pPr>
        <w:spacing w:after="0" w:line="8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liabilities primarily relate to the Erbitux arrangement with BMS discussed in Note 4.</w:t>
      </w:r>
    </w:p>
    <w:p>
      <w:pPr>
        <w:spacing w:after="0" w:line="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8" w:right="239" w:bottom="1440" w:gutter="0" w:footer="0" w:header="0"/>
        </w:sectPr>
      </w:pPr>
    </w:p>
    <w:bookmarkStart w:id="23" w:name="page24"/>
    <w:bookmarkEnd w:id="23"/>
    <w:p>
      <w:pPr>
        <w:ind w:right="160"/>
        <w:spacing w:after="0" w:line="26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cost and equity method investments are not readily available.</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six months ended June 30, 2017 was due primarily to cash payments of $100.0 million related to Erbitux. The change in the fair value of the contingent consideration liabilities recognized in earnings during the three and six months ended June 30, 2017 and 2016 due to changes in time value of money was not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4"/>
                <w:szCs w:val="14"/>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4"/>
                <w:szCs w:val="14"/>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6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7,051.6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2,361.9</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4,378.2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193.4</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6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247.5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352.6</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8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2,573.3</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1,869.7</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8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3,981.8</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3,262.3</w:t>
            </w:r>
          </w:p>
        </w:tc>
      </w:tr>
    </w:tbl>
    <w:p>
      <w:pPr>
        <w:spacing w:after="0" w:line="8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periodically assess our investment securities for other-than-temporary impairment losses. There were no other-than-temporary impairment losses in the three and six months ended June 30, 2017. Other-than-temporary impairment losses recognized during the three and six months ended June 30, 2016 were $15.9 million and $41.6 million, respectively.</w:t>
      </w:r>
    </w:p>
    <w:p>
      <w:pPr>
        <w:spacing w:after="0" w:line="5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5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As of June 30, 2017, the securities in an unrealized loss position include primarily fixed-rate debt securities of varying maturities, which are sensitive to changes in the yield curve and other market conditions. Approximately 95 percent of the fixed-rate debt securities in a loss position are investment-grade debt securities. As of June 30, 2017,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799"/>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959.0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850.7</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2,051.5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1,577.1</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22.2</w:t>
            </w:r>
          </w:p>
        </w:tc>
        <w:tc>
          <w:tcPr>
            <w:tcW w:w="4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73.9</w:t>
            </w:r>
          </w:p>
        </w:tc>
        <w:tc>
          <w:tcPr>
            <w:tcW w:w="3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r>
    </w:tbl>
    <w:p>
      <w:pPr>
        <w:spacing w:after="0" w:line="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$687.7 million and $ 661.6 million of accounts receivable as of June 30, 2017 and December 31, 2016, respectively, under these factoring arrangements. The cost of factoring such accounts receivable on our consolidated condensed results of operations for the six months ended June 30, 2017 and 2016 was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During the six months ended June 30, 2017 and 2016, we repurchased $259.9 million and $300.1 million of shares, respectively, associated with our $5.00 billion share repurchase program announced in October 2013. A payment of $60.0 million was made in the fourth quarter of 2016 for shares repurchased in 2017. As of June 30, 2017, there were $2.15 billion of shares remaining in that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effective tax rate was 32.1 percent for the six months ended June 30, 2017, compared with 21.4 percent for the six months ended June 30, 2016. The increase in the effective tax rate for the first six months of 2017 is primarily due to the impact from the non-deductible $857.6 million acquired IPR&amp;D charge related to the acquisition of CoLucid.</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During the first quarter of 2016, we completed and effectively settled the U.S. examination of tax years 2010-2012. As a result of this resolution, our gross uncertain tax positions were reduced by approximately $ 140 million, and our consolidated condensed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Because the examination of years 2013-2015 remains in the information and document gathering phase, the resolution of matters in this audit period will likely extend beyond the next 12 months.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Retirement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Defined Benefit Pension Plans</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68"/>
        </w:trPr>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3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96"/>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6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65"/>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9"/>
        </w:trPr>
        <w:tc>
          <w:tcPr>
            <w:tcW w:w="62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b w:val="1"/>
                <w:bCs w:val="1"/>
                <w:color w:val="auto"/>
              </w:rPr>
              <w:t>86.7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70.6</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165.6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142.0</w:t>
            </w:r>
          </w:p>
        </w:tc>
      </w:tr>
      <w:tr>
        <w:trPr>
          <w:trHeight w:val="271"/>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103.2</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105.1</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205.6</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210.2</w:t>
            </w:r>
          </w:p>
        </w:tc>
      </w:tr>
      <w:tr>
        <w:trPr>
          <w:trHeight w:val="269"/>
        </w:trPr>
        <w:tc>
          <w:tcPr>
            <w:tcW w:w="62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(195.3)</w:t>
            </w:r>
          </w:p>
        </w:tc>
        <w:tc>
          <w:tcPr>
            <w:tcW w:w="38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(189.6)</w:t>
            </w:r>
          </w:p>
        </w:tc>
        <w:tc>
          <w:tcPr>
            <w:tcW w:w="38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(389.3)</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(379.1)</w:t>
            </w:r>
          </w:p>
        </w:tc>
      </w:tr>
      <w:tr>
        <w:trPr>
          <w:trHeight w:val="271"/>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1.5</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69"/>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70.4</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74.0</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143.1</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142.4</w:t>
            </w:r>
          </w:p>
        </w:tc>
      </w:tr>
      <w:tr>
        <w:trPr>
          <w:trHeight w:val="271"/>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66.5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59.9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127.9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r>
      <w:tr>
        <w:trPr>
          <w:trHeight w:val="512"/>
        </w:trPr>
        <w:tc>
          <w:tcPr>
            <w:tcW w:w="6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Retiree Health Benefit Plans</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8"/>
        </w:trPr>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3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96"/>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6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65"/>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9"/>
        </w:trPr>
        <w:tc>
          <w:tcPr>
            <w:tcW w:w="62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b w:val="1"/>
                <w:bCs w:val="1"/>
                <w:color w:val="auto"/>
              </w:rPr>
              <w:t>12.0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10.3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23.2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19.6</w:t>
            </w:r>
          </w:p>
        </w:tc>
      </w:tr>
      <w:tr>
        <w:trPr>
          <w:trHeight w:val="271"/>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13.4</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26.4</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r>
      <w:tr>
        <w:trPr>
          <w:trHeight w:val="269"/>
        </w:trPr>
        <w:tc>
          <w:tcPr>
            <w:tcW w:w="62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38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(80.4)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1"/>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(45.0)</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69"/>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5.1</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9.2</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r>
      <w:tr>
        <w:trPr>
          <w:trHeight w:val="271"/>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(66.6)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bl>
    <w:p>
      <w:pPr>
        <w:spacing w:after="0" w:line="8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have contributed approximately $20 million required to satisfy minimum funding requirements to our defined benefit pension and retiree health benefit plans during the six months ended June 30, 2017. Additional discretionary funding in the aggregate was not material during the six months ended June 30, 2017. During the remainder of 2017, we expect to make contributions to our defined benefit pension and retiree health benefit plans of approximately $20 million to satisfy minimum funding requirements. Additional discretionary funding for the remainder of 2017 is not expected to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In January 2017, the U.S. Court of Appeals for the Federal Circuit affirmed the district court’s decisions concerning validity and infringement. The defendants did not file for writ of certiorari with the U.S. Supreme Court, making the Court of Appeal's decision final.</w:t>
      </w:r>
    </w:p>
    <w:p>
      <w:pPr>
        <w:spacing w:after="0" w:line="7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From 2012 through 2017, we filed similar lawsuits against other ANDA defendants seeking a ruling that our patents are valid and infringed. As a result of the completion of the Teva/APP litigation, the U.S. District Court for the Southern District of Indiana has entered a judgment against three companies; we have asked the court to enter a judgment against two additional companies.</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have also filed lawsuits in the U.S. District Court for the Southern District of Indiana alleging infringement against Dr. Reddy's Laboratories, Hospira, Inc. (Hospira), and Actavis LLC in response to their alternative forms of pemetrexed products.</w:t>
      </w:r>
    </w:p>
    <w:p>
      <w:pPr>
        <w:spacing w:after="0" w:line="3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In June 2016, the U.S. Patent and Trademark Office (USPTO) granted petitions by Neptune Generics, LLC and Sandoz Inc. seeking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(IPR) of our vitamin regimen patent. Several additional generic companies have filed petitions and joined these proceedings.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written IPR decisions are expected later this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United Kingdom (U.K.), Actavis Group ehf and other Actavis companies (collectively, Actavis) filed litigation asking for a declaratory judgment that commercialization of certain salt forms of pemetrexed (the active ingredient in Alimta) would not infringe the vitamin regimen patents for Alimta in the U.K., Italy, France, and Spain. In trial court and court of appeal decisions, the alternative salt forms were found to indirectly infringe the Alimta vitamin regimen patent when reconstituted in saline, but not to directly infringe the patents as an equivalent. We appealed. In July 2017, the U.K. Supreme Court ruled that Actavis’s products directly infringe our vitamin regimen patents in the U.K., Italy, France, and Spain. The U.K. Supreme Court also affirmed an earlier finding by the U.K. Court of Appeal that the Alimta vitamin regimen patent would be indirectly infringed by commercialization of Actavis’s products diluted in saline. We intend to pursue Actavis and others that launched-at-risk for damages.</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Actavis sought a declaration of non-infringement from the U.K. High Court for a different proposed product diluted in dextrose solution. In February 2016, the trial court ruled that Actavis’ commercialization of this product would not infringe the patent in the U.K., Italy, France, and Spain. We are still seeking to appeal this ruling for procedural purposes, although it has now been superseded by the U.K. Supreme Court's recent decision.</w:t>
      </w:r>
    </w:p>
    <w:p>
      <w:pPr>
        <w:spacing w:after="0" w:line="6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commenced separate infringement proceedings against certain Actavis companies in Germany. In April 2014, the German trial court ruled in our favor. The defendants appealed and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Court of Appeal to reconsider issues relating to infringement.</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(ratiopharm), a subsidiary of Teva, which had stated its intention to launch a proposed alternative salt form of pemetrexed product diluted in dextrose solution. The German Court of Appeal affirmed the preliminary injunction against ratiopharm in May 2017. The preliminary injunctions against both Hexal and ratiopharm will remain in place pending the outcome of the cases on the merits.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8" w:right="239" w:bottom="1440" w:gutter="0" w:footer="0" w:header="0"/>
        </w:sectPr>
      </w:pPr>
    </w:p>
    <w:bookmarkStart w:id="27" w:name="page28"/>
    <w:bookmarkEnd w:id="27"/>
    <w:p>
      <w:pPr>
        <w:ind w:right="740"/>
        <w:spacing w:after="0" w:line="292" w:lineRule="auto"/>
        <w:rPr>
          <w:sz w:val="20"/>
          <w:szCs w:val="20"/>
          <w:color w:val="auto"/>
        </w:rPr>
      </w:pPr>
      <w:r>
        <w:rPr>
          <w:rFonts w:ascii="Arial" w:cs="Arial" w:eastAsia="Arial" w:hAnsi="Arial"/>
          <w:sz w:val="18"/>
          <w:szCs w:val="18"/>
          <w:color w:val="auto"/>
        </w:rPr>
        <w:t>In late 2016, the German courts issued preliminary injunctions against two other companies that had stated their intentions to launch a proposed alternative salt form of pemetrexed product diluted in dextrose solution.</w:t>
      </w:r>
    </w:p>
    <w:p>
      <w:pPr>
        <w:spacing w:after="0" w:line="37"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Hexal and Stada Arzneimittel AG (Stada) have separately challenged the validity of our vitamin regimen patent before the German Federal Patent court. The hearing will take place in late 2018.</w:t>
      </w:r>
    </w:p>
    <w:p>
      <w:pPr>
        <w:spacing w:after="0" w:line="3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do not anticipate any generic entry into the German market at least until the Court of Appeal considers the issues remanded by the German Federal Supreme Court in the proceedings against Actavis, or if the injunctions are lifted.</w:t>
      </w:r>
    </w:p>
    <w:p>
      <w:pPr>
        <w:spacing w:after="0" w:line="3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generic competitors have received approval to market generic versions of pemetrexed in major European markets, and that generic products are currently on the market in France and the U.K. In view of the U.K. Supreme Court judgment finding infringement in the U.K., France, Italy and Spain, we expect that Actavis will withdraw or terminate plans to market its generic product in these markets, and we will seek to remove any generic pemetrexed products launched-at-risk in other European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In November 2015, the JPO issued written decisions in the invalidation trial initiated by Sawai Pharmaceutical Co., Ltd. (Sawai), which had been joined by three other companies, upholding both vitamin regimen patents. In February 2017, the Japan Intellectual Property High Court confirmed the decisions of the JPO and ruled in our favor in the invalidation trials initiated by Sawai. The Japan Intellectual Property High Court’s decision regarding the demand initiated by Sawai is now final. In May 2017, the JPO resumed one of the two remaining sets of demands, brought by Nipro Corporation. The other set of demands, brought by Hospira, remains suspended. If upheld through all challenges, these patents provide intellectual property protection for Alimta until June 2021.</w:t>
      </w:r>
    </w:p>
    <w:p>
      <w:pPr>
        <w:spacing w:after="0" w:line="6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Notwithstanding our patents, generic versions of Alimta were approved in Japan starting in February 2016. We do not currently anticipate that generic versions of Alimta will proceed to pricing approval.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1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alleged that the compound patent for Effient (which expired in April 2017) was invalid. We have entered into a settlement relating to the compound patent litigation and anticipate that a generic version could launch as early as mid-August 2017.</w:t>
      </w:r>
    </w:p>
    <w:p>
      <w:pPr>
        <w:spacing w:after="0" w:line="69"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method-of-use patents. In September 2016, the USPTO determined that the method-of-use patents are invalid. Daiichi Sankyo and Ube have appealed these decisions to the U.S. Court of Appeals for the Federal Circuit. We expect a final decision in late 2017. The consolidated lawsuit is currently stayed with respect to all parties pending the outcome of this appeal.</w:t>
      </w:r>
    </w:p>
    <w:p>
      <w:pPr>
        <w:spacing w:after="0" w:line="6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believe the Effient method-of-use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 for the product in the relevant market.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were named along with Takeda Chemical Industries, Ltd. and Takeda affiliates (collectively, Takeda) as a defendant in approximately 6,700 product liability cases in the U.S. related to the diabetes medication Actos, which we co-promoted with Takeda in the U.S. from 1999 until 2006. In general, plaintiffs in these actions alleged that Actos caused or contributed to their bladder cancer. Almost all of these cases were included as part of a resolution program announced by Takeda in April 2015 in which Takeda agreed to pay approximately $2.4 billion to resolve the vast majority of the U.S. product liability lawsuits involving Actos. Although the vast majority of U.S. product liability lawsuits involving Actos are included in the resolution program, there may be additional cases pending against Takeda and us following completion of the resolution program.</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October 2012, 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xml:space="preserve">)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 Oral argument is expected in late 2017. In June 2017, we moved to dismiss the appeal for lack of jurisdiction based on the U.S. Supreme Court's recent decision in </w:t>
      </w:r>
      <w:r>
        <w:rPr>
          <w:rFonts w:ascii="Arial" w:cs="Arial" w:eastAsia="Arial" w:hAnsi="Arial"/>
          <w:sz w:val="18"/>
          <w:szCs w:val="18"/>
          <w:i w:val="1"/>
          <w:iCs w:val="1"/>
          <w:color w:val="auto"/>
        </w:rPr>
        <w:t>Microsoft v. Baker</w:t>
      </w:r>
      <w:r>
        <w:rPr>
          <w:rFonts w:ascii="Arial" w:cs="Arial" w:eastAsia="Arial" w:hAnsi="Arial"/>
          <w:sz w:val="18"/>
          <w:szCs w:val="18"/>
          <w:color w:val="auto"/>
        </w:rPr>
        <w:t>.</w:t>
      </w:r>
    </w:p>
    <w:p>
      <w:pPr>
        <w:spacing w:after="0" w:line="7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w:t>
      </w:r>
    </w:p>
    <w:p>
      <w:pPr>
        <w:spacing w:after="0" w:line="6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have reached a settlement framework which provides for a comprehensive resolution of nearly all of these personal injury claims, filed or unfiled, alleging injuries from discontinuing treatment with Cymbalta. There can be no assurances, however, that a final settlement will be reached.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Labor Court of Paulinia, State of Sao Paulo, Brazil, alleging possible harm to employees and former employees caused by exposure to heavy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metals at a former Lilly manufacturing facility in Cosmopolis, Brazil, operated by the company between 1977 and 2003. The plaintiffs allege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some employees at the facility were exposed to benzene and heavy metals; however, Lilly Brasil maintains that these alleged contaminants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never used in the facility. In May 2014, the labor court judge ruled against Lilly Brasil. The judge's ruling orders Lilly Brasil to undertake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several actions of unspecified financial impact, including paying lifetime medical insurance for the employees and contractors who worked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Cosmopolis facility more than six months during the affected years and their children born during and after this period. While we cannot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currently estimate the range of reasonably possible financial losses that could arise in the event we do not ultimately prevail in the litigation,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judge has estimated the total financial impact of the ruling to be approximately 1.0 billion Brazilian real (approximately $305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2017) plus interest. We strongly disagree with the decision and filed an appeal in May 2014. We expect a ruling on this appeal before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end of the year.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36" w:right="259" w:bottom="1440" w:gutter="0" w:footer="0" w:header="0"/>
        </w:sectPr>
      </w:pPr>
    </w:p>
    <w:bookmarkStart w:id="29" w:name="page30"/>
    <w:bookmarkEnd w:id="29"/>
    <w:p>
      <w:pPr>
        <w:ind w:right="220"/>
        <w:spacing w:after="0" w:line="264" w:lineRule="auto"/>
        <w:rPr>
          <w:sz w:val="20"/>
          <w:szCs w:val="20"/>
          <w:color w:val="auto"/>
        </w:rPr>
      </w:pPr>
      <w:r>
        <w:rPr>
          <w:rFonts w:ascii="Arial" w:cs="Arial" w:eastAsia="Arial" w:hAnsi="Arial"/>
          <w:sz w:val="18"/>
          <w:szCs w:val="18"/>
          <w:color w:val="auto"/>
        </w:rPr>
        <w:t>We are also aware that Lilly Brasil and Elanco Quimica Ltda. have been named in a lawsuit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 a preliminary injunction.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11:</w:t>
        <w:tab/>
        <w:t>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ind w:right="120"/>
              <w:spacing w:after="0"/>
              <w:rPr>
                <w:sz w:val="20"/>
                <w:szCs w:val="20"/>
                <w:color w:val="auto"/>
              </w:rPr>
            </w:pPr>
            <w:r>
              <w:rPr>
                <w:rFonts w:ascii="Arial" w:cs="Arial" w:eastAsia="Arial" w:hAnsi="Arial"/>
                <w:sz w:val="13"/>
                <w:szCs w:val="13"/>
                <w:b w:val="1"/>
                <w:bCs w:val="1"/>
                <w:color w:val="auto"/>
                <w:w w:val="95"/>
              </w:rPr>
              <w:t>Foreign Currency</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(1,648.7)</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179.4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(5,027.1)</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299.3</w:t>
            </w:r>
          </w:p>
        </w:tc>
        <w:tc>
          <w:tcPr>
            <w:tcW w:w="3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(12.5)</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257.5</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4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(13.7)</w:t>
            </w:r>
          </w:p>
        </w:tc>
        <w:tc>
          <w:tcPr>
            <w:tcW w:w="260" w:type="dxa"/>
            <w:vAlign w:val="bottom"/>
          </w:tcPr>
          <w:p>
            <w:pPr>
              <w:spacing w:after="0"/>
              <w:rPr>
                <w:sz w:val="17"/>
                <w:szCs w:val="17"/>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17"/>
                <w:szCs w:val="17"/>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299.3</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(26.2)</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10.8</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284.8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2017 </w:t>
            </w:r>
            <w:r>
              <w:rPr>
                <w:rFonts w:ascii="Arial" w:cs="Arial" w:eastAsia="Arial" w:hAnsi="Arial"/>
                <w:sz w:val="21"/>
                <w:szCs w:val="21"/>
                <w:color w:val="auto"/>
                <w:vertAlign w:val="superscript"/>
              </w:rPr>
              <w:t>(2)</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(1,349.4)</w:t>
            </w:r>
          </w:p>
        </w:tc>
        <w:tc>
          <w:tcPr>
            <w:tcW w:w="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153.2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(4,742.3)</w:t>
            </w:r>
          </w:p>
        </w:tc>
        <w:tc>
          <w:tcPr>
            <w:tcW w:w="0" w:type="dxa"/>
            <w:vAlign w:val="bottom"/>
          </w:tcPr>
          <w:p>
            <w:pPr>
              <w:spacing w:after="0"/>
              <w:rPr>
                <w:sz w:val="1"/>
                <w:szCs w:val="1"/>
                <w:color w:val="auto"/>
              </w:rPr>
            </w:pPr>
          </w:p>
        </w:tc>
      </w:tr>
      <w:tr>
        <w:trPr>
          <w:trHeight w:val="381"/>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24"/>
                <w:szCs w:val="24"/>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24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(1,085.4)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(2,981.1)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(4,264.7)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(187.6)</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(187.6)</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2016 </w:t>
            </w:r>
            <w:r>
              <w:rPr>
                <w:rFonts w:ascii="Arial" w:cs="Arial" w:eastAsia="Arial" w:hAnsi="Arial"/>
                <w:sz w:val="21"/>
                <w:szCs w:val="21"/>
                <w:color w:val="auto"/>
                <w:vertAlign w:val="superscript"/>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(1,273.0)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(2,919.1)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(4,371.2)</w:t>
            </w:r>
          </w:p>
        </w:tc>
        <w:tc>
          <w:tcPr>
            <w:tcW w:w="0" w:type="dxa"/>
            <w:vAlign w:val="bottom"/>
          </w:tcPr>
          <w:p>
            <w:pPr>
              <w:spacing w:after="0"/>
              <w:rPr>
                <w:sz w:val="1"/>
                <w:szCs w:val="1"/>
                <w:color w:val="auto"/>
              </w:rPr>
            </w:pPr>
          </w:p>
        </w:tc>
      </w:tr>
      <w:tr>
        <w:trPr>
          <w:trHeight w:val="463"/>
        </w:trPr>
        <w:tc>
          <w:tcPr>
            <w:tcW w:w="3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ind w:right="120"/>
              <w:spacing w:after="0"/>
              <w:rPr>
                <w:sz w:val="20"/>
                <w:szCs w:val="20"/>
                <w:color w:val="auto"/>
              </w:rPr>
            </w:pPr>
            <w:r>
              <w:rPr>
                <w:rFonts w:ascii="Arial" w:cs="Arial" w:eastAsia="Arial" w:hAnsi="Arial"/>
                <w:sz w:val="13"/>
                <w:szCs w:val="13"/>
                <w:b w:val="1"/>
                <w:bCs w:val="1"/>
                <w:color w:val="auto"/>
                <w:w w:val="95"/>
              </w:rPr>
              <w:t>Foreign Currency</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(1,867.3)</w:t>
            </w: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517.9</w:t>
            </w: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(24.3)</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(54.6)</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447.4</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(46.5)</w:t>
            </w:r>
          </w:p>
        </w:tc>
        <w:tc>
          <w:tcPr>
            <w:tcW w:w="260" w:type="dxa"/>
            <w:vAlign w:val="bottom"/>
          </w:tcPr>
          <w:p>
            <w:pPr>
              <w:spacing w:after="0"/>
              <w:rPr>
                <w:sz w:val="17"/>
                <w:szCs w:val="17"/>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77.7</w:t>
            </w:r>
          </w:p>
        </w:tc>
        <w:tc>
          <w:tcPr>
            <w:tcW w:w="220" w:type="dxa"/>
            <w:vAlign w:val="bottom"/>
          </w:tcPr>
          <w:p>
            <w:pPr>
              <w:spacing w:after="0"/>
              <w:rPr>
                <w:sz w:val="17"/>
                <w:szCs w:val="17"/>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517.9</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(70.8)</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23.1</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13.3</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483.5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2017 </w:t>
            </w:r>
            <w:r>
              <w:rPr>
                <w:rFonts w:ascii="Arial" w:cs="Arial" w:eastAsia="Arial" w:hAnsi="Arial"/>
                <w:sz w:val="21"/>
                <w:szCs w:val="21"/>
                <w:color w:val="auto"/>
                <w:vertAlign w:val="superscript"/>
              </w:rPr>
              <w:t>(2)</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(1,349.4)</w:t>
            </w:r>
          </w:p>
        </w:tc>
        <w:tc>
          <w:tcPr>
            <w:tcW w:w="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153.2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(4,742.3)</w:t>
            </w:r>
          </w:p>
        </w:tc>
        <w:tc>
          <w:tcPr>
            <w:tcW w:w="0" w:type="dxa"/>
            <w:vAlign w:val="bottom"/>
          </w:tcPr>
          <w:p>
            <w:pPr>
              <w:spacing w:after="0"/>
              <w:rPr>
                <w:sz w:val="1"/>
                <w:szCs w:val="1"/>
                <w:color w:val="auto"/>
              </w:rPr>
            </w:pPr>
          </w:p>
        </w:tc>
      </w:tr>
      <w:tr>
        <w:trPr>
          <w:trHeight w:val="381"/>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24"/>
                <w:szCs w:val="24"/>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0" w:type="dxa"/>
            <w:vAlign w:val="bottom"/>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2016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(1,360.2)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74.5</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72.5</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2016 </w:t>
            </w:r>
            <w:r>
              <w:rPr>
                <w:rFonts w:ascii="Arial" w:cs="Arial" w:eastAsia="Arial" w:hAnsi="Arial"/>
                <w:sz w:val="21"/>
                <w:szCs w:val="21"/>
                <w:color w:val="auto"/>
                <w:vertAlign w:val="superscript"/>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(1,273.0)</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36.8</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(2,919.1)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(4,371.2)</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180" w:hanging="172"/>
        <w:spacing w:after="0" w:line="27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2017 consists of $5,274.0 million of accumulated other comprehensive loss attributable to controlling interest and $48.2 million of accumulated other comprehensive income attributable to non-controlling interest. The accumulated other comprehensive loss attributable to non-controlling interest as of January 1, 2016 is immaterial.</w:t>
      </w:r>
    </w:p>
    <w:p>
      <w:pPr>
        <w:spacing w:after="0" w:line="105" w:lineRule="exact"/>
        <w:rPr>
          <w:rFonts w:ascii="Arial" w:cs="Arial" w:eastAsia="Arial" w:hAnsi="Arial"/>
          <w:sz w:val="21"/>
          <w:szCs w:val="21"/>
          <w:color w:val="auto"/>
          <w:vertAlign w:val="superscript"/>
        </w:rPr>
      </w:pPr>
    </w:p>
    <w:p>
      <w:pPr>
        <w:jc w:val="both"/>
        <w:ind w:left="180" w:hanging="172"/>
        <w:spacing w:after="0" w:line="269" w:lineRule="auto"/>
        <w:tabs>
          <w:tab w:leader="none" w:pos="195"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June 30, 2017 consists of $4,774.9 million of accumulated other comprehensive loss attributable to controlling interest and $32.6 million of accumulated other comprehensive income attributable to non-controlling interest. The accumulated other comprehensive loss attributable to non-controlling interest as of June 30, 2016 is immaterial.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18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86.1</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115.8</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9"/>
        </w:trPr>
        <w:tc>
          <w:tcPr>
            <w:tcW w:w="636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3"/>
                <w:szCs w:val="23"/>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b w:val="1"/>
                <w:bCs w:val="1"/>
                <w:color w:val="auto"/>
              </w:rPr>
              <w:t>11.5</w:t>
            </w:r>
          </w:p>
        </w:tc>
        <w:tc>
          <w:tcPr>
            <w:tcW w:w="460" w:type="dxa"/>
            <w:vAlign w:val="bottom"/>
          </w:tcPr>
          <w:p>
            <w:pPr>
              <w:spacing w:after="0"/>
              <w:rPr>
                <w:sz w:val="23"/>
                <w:szCs w:val="23"/>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3"/>
                <w:szCs w:val="23"/>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b w:val="1"/>
                <w:bCs w:val="1"/>
                <w:color w:val="auto"/>
              </w:rPr>
              <w:t>29.6</w:t>
            </w:r>
          </w:p>
        </w:tc>
        <w:tc>
          <w:tcPr>
            <w:tcW w:w="460" w:type="dxa"/>
            <w:vAlign w:val="bottom"/>
          </w:tcPr>
          <w:p>
            <w:pPr>
              <w:spacing w:after="0"/>
              <w:rPr>
                <w:sz w:val="23"/>
                <w:szCs w:val="23"/>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1"/>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(6.1)</w:t>
            </w: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(21.8)</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(14.6)</w:t>
            </w: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(5.8)</w:t>
            </w: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(7.1)</w:t>
            </w: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7"/>
        </w:trPr>
        <w:tc>
          <w:tcPr>
            <w:tcW w:w="636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Benefit/(provision) for income taxes allocated to other comprehensive income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85.7</w:t>
            </w:r>
          </w:p>
        </w:tc>
        <w:tc>
          <w:tcPr>
            <w:tcW w:w="4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(58.1)</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123.7</w:t>
            </w:r>
          </w:p>
        </w:tc>
        <w:tc>
          <w:tcPr>
            <w:tcW w:w="4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items</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6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1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vMerge w:val="restart"/>
          </w:tcPr>
          <w:p>
            <w:pPr>
              <w:jc w:val="center"/>
              <w:ind w:right="548"/>
              <w:spacing w:after="0"/>
              <w:rPr>
                <w:sz w:val="20"/>
                <w:szCs w:val="20"/>
                <w:color w:val="auto"/>
              </w:rPr>
            </w:pPr>
            <w:r>
              <w:rPr>
                <w:rFonts w:ascii="Arial" w:cs="Arial" w:eastAsia="Arial" w:hAnsi="Arial"/>
                <w:sz w:val="14"/>
                <w:szCs w:val="14"/>
                <w:b w:val="1"/>
                <w:bCs w:val="1"/>
                <w:color w:val="auto"/>
              </w:rPr>
              <w:t>Details about Accumulated Other</w:t>
            </w:r>
          </w:p>
        </w:tc>
        <w:tc>
          <w:tcPr>
            <w:tcW w:w="740" w:type="dxa"/>
            <w:vAlign w:val="bottom"/>
          </w:tcPr>
          <w:p>
            <w:pPr>
              <w:spacing w:after="0"/>
              <w:rPr>
                <w:sz w:val="17"/>
                <w:szCs w:val="17"/>
                <w:color w:val="auto"/>
              </w:rPr>
            </w:pPr>
          </w:p>
        </w:tc>
        <w:tc>
          <w:tcPr>
            <w:tcW w:w="1500" w:type="dxa"/>
            <w:vAlign w:val="bottom"/>
          </w:tcPr>
          <w:p>
            <w:pPr>
              <w:jc w:val="center"/>
              <w:ind w:right="708"/>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Pr>
          <w:p>
            <w:pPr>
              <w:spacing w:after="0"/>
              <w:rPr>
                <w:sz w:val="17"/>
                <w:szCs w:val="17"/>
                <w:color w:val="auto"/>
              </w:rPr>
            </w:pPr>
          </w:p>
        </w:tc>
        <w:tc>
          <w:tcPr>
            <w:tcW w:w="1440" w:type="dxa"/>
            <w:vAlign w:val="bottom"/>
          </w:tcPr>
          <w:p>
            <w:pPr>
              <w:jc w:val="center"/>
              <w:ind w:right="668"/>
              <w:spacing w:after="0"/>
              <w:rPr>
                <w:sz w:val="20"/>
                <w:szCs w:val="20"/>
                <w:color w:val="auto"/>
              </w:rPr>
            </w:pPr>
            <w:r>
              <w:rPr>
                <w:rFonts w:ascii="Arial" w:cs="Arial" w:eastAsia="Arial" w:hAnsi="Arial"/>
                <w:sz w:val="14"/>
                <w:szCs w:val="14"/>
                <w:b w:val="1"/>
                <w:bCs w:val="1"/>
                <w:color w:val="auto"/>
              </w:rPr>
              <w:t>June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9"/>
        </w:trPr>
        <w:tc>
          <w:tcPr>
            <w:tcW w:w="2980" w:type="dxa"/>
            <w:vAlign w:val="bottom"/>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2980" w:type="dxa"/>
            <w:vAlign w:val="bottom"/>
            <w:vMerge w:val="continue"/>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5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2017</w:t>
            </w:r>
          </w:p>
        </w:tc>
        <w:tc>
          <w:tcPr>
            <w:tcW w:w="144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Comprehensive Loss Components</w:t>
            </w:r>
          </w:p>
        </w:tc>
        <w:tc>
          <w:tcPr>
            <w:tcW w:w="7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3000" w:type="dxa"/>
            <w:vAlign w:val="bottom"/>
          </w:tcPr>
          <w:p>
            <w:pPr>
              <w:jc w:val="center"/>
              <w:ind w:left="30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7195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48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w:t>
            </w:r>
          </w:p>
        </w:tc>
        <w:tc>
          <w:tcPr>
            <w:tcW w:w="3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4"/>
        </w:trPr>
        <w:tc>
          <w:tcPr>
            <w:tcW w:w="3480" w:type="dxa"/>
            <w:vAlign w:val="bottom"/>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320" w:type="dxa"/>
            <w:vAlign w:val="bottom"/>
          </w:tcPr>
          <w:p>
            <w:pPr>
              <w:spacing w:after="0"/>
              <w:rPr>
                <w:sz w:val="14"/>
                <w:szCs w:val="14"/>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75.5</w:t>
            </w:r>
          </w:p>
        </w:tc>
        <w:tc>
          <w:tcPr>
            <w:tcW w:w="380" w:type="dxa"/>
            <w:vAlign w:val="bottom"/>
          </w:tcPr>
          <w:p>
            <w:pPr>
              <w:spacing w:after="0"/>
              <w:rPr>
                <w:sz w:val="14"/>
                <w:szCs w:val="14"/>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79.2</w:t>
            </w:r>
          </w:p>
        </w:tc>
        <w:tc>
          <w:tcPr>
            <w:tcW w:w="380" w:type="dxa"/>
            <w:vAlign w:val="bottom"/>
          </w:tcPr>
          <w:p>
            <w:pPr>
              <w:spacing w:after="0"/>
              <w:rPr>
                <w:sz w:val="14"/>
                <w:szCs w:val="14"/>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152.3</w:t>
            </w:r>
          </w:p>
        </w:tc>
        <w:tc>
          <w:tcPr>
            <w:tcW w:w="3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152.7</w:t>
            </w:r>
          </w:p>
        </w:tc>
        <w:tc>
          <w:tcPr>
            <w:tcW w:w="338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480" w:type="dxa"/>
            <w:vAlign w:val="bottom"/>
            <w:tcBorders>
              <w:bottom w:val="single" w:sz="8" w:color="CCEEFF"/>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33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Total before tax</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54.5</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110.2</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3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of tax</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38.6</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77.7</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3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80" w:type="dxa"/>
            <w:vAlign w:val="bottom"/>
          </w:tcPr>
          <w:p>
            <w:pPr>
              <w:ind w:left="160"/>
              <w:spacing w:after="0"/>
              <w:rPr>
                <w:sz w:val="20"/>
                <w:szCs w:val="20"/>
                <w:color w:val="auto"/>
              </w:rPr>
            </w:pPr>
            <w:r>
              <w:rPr>
                <w:rFonts w:ascii="Arial" w:cs="Arial" w:eastAsia="Arial" w:hAnsi="Arial"/>
                <w:sz w:val="18"/>
                <w:szCs w:val="18"/>
                <w:color w:val="auto"/>
              </w:rPr>
              <w:t>Realized (gains) losses, net before tax</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(71.5)</w:t>
            </w: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33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80" w:type="dxa"/>
            <w:vAlign w:val="bottom"/>
          </w:tcPr>
          <w:p>
            <w:pPr>
              <w:jc w:val="right"/>
              <w:ind w:right="5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c>
          <w:tcPr>
            <w:tcW w:w="3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(71.5)</w:t>
            </w:r>
          </w:p>
        </w:tc>
        <w:tc>
          <w:tcPr>
            <w:tcW w:w="3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25.0</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80" w:type="dxa"/>
            <w:vAlign w:val="bottom"/>
          </w:tcPr>
          <w:p>
            <w:pPr>
              <w:jc w:val="right"/>
              <w:ind w:right="5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3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(46.5)</w:t>
            </w:r>
          </w:p>
        </w:tc>
        <w:tc>
          <w:tcPr>
            <w:tcW w:w="3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187"/>
        </w:trPr>
        <w:tc>
          <w:tcPr>
            <w:tcW w:w="3480" w:type="dxa"/>
            <w:vAlign w:val="bottom"/>
          </w:tcPr>
          <w:p>
            <w:pPr>
              <w:ind w:left="20"/>
              <w:spacing w:after="0" w:line="187" w:lineRule="exact"/>
              <w:rPr>
                <w:sz w:val="20"/>
                <w:szCs w:val="20"/>
                <w:color w:val="auto"/>
              </w:rPr>
            </w:pPr>
            <w:r>
              <w:rPr>
                <w:rFonts w:ascii="Arial" w:cs="Arial" w:eastAsia="Arial" w:hAnsi="Arial"/>
                <w:sz w:val="18"/>
                <w:szCs w:val="18"/>
                <w:color w:val="auto"/>
              </w:rPr>
              <w:t>Total reclassifications for the period (net</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27.3</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49.9</w:t>
            </w: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36.1</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165.5</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80" w:type="dxa"/>
            <w:vAlign w:val="bottom"/>
          </w:tcPr>
          <w:p>
            <w:pPr>
              <w:ind w:left="200"/>
              <w:spacing w:after="0"/>
              <w:rPr>
                <w:sz w:val="20"/>
                <w:szCs w:val="20"/>
                <w:color w:val="auto"/>
              </w:rPr>
            </w:pPr>
            <w:r>
              <w:rPr>
                <w:rFonts w:ascii="Arial" w:cs="Arial" w:eastAsia="Arial" w:hAnsi="Arial"/>
                <w:sz w:val="18"/>
                <w:szCs w:val="18"/>
                <w:color w:val="auto"/>
              </w:rPr>
              <w:t>of tax)</w:t>
            </w:r>
          </w:p>
        </w:tc>
        <w:tc>
          <w:tcPr>
            <w:tcW w:w="32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(income) cost (see Note 9).</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Amount for the six months ended June 30, 2016 included primarily $74.5 million of foreign currency translation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100.2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86.6</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(36.9)</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(69.5)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Venezuela charge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203.9</w:t>
            </w:r>
          </w:p>
        </w:tc>
      </w:tr>
      <w:tr>
        <w:trPr>
          <w:trHeight w:val="269"/>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(12.8)</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(41.9)</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58"/>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first quarter of 2016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Segment Information</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16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4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6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678.4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701.9</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1,386.8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1,308.2</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480.2</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853.1</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446.7</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367.6</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794.2</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686.3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357.8</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672.3</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688.7</w:t>
            </w: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141.9</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254.9</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215.4</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386.3</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234.3</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653.0</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471.6</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2,491.3</w:t>
            </w:r>
          </w:p>
        </w:tc>
        <w:tc>
          <w:tcPr>
            <w:tcW w:w="44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1,958.4</w:t>
            </w:r>
          </w:p>
        </w:tc>
        <w:tc>
          <w:tcPr>
            <w:tcW w:w="3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4,614.3</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3,715.1</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65"/>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532.9</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607.1</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1,022.8</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1,171.3</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186.3</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147.0</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357.6</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278.0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159.1</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180.6</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313.5</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77.6</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35.8</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149.0</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67.1</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955.9</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970.5</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1,842.9</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1,865.0</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627.3</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630.5</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1,160.9</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1,207.2</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142.9</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135.1</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270.7</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42.2</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61.7</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78.0</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107.6</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812.4</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827.3</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1,509.6</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1,581.4</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7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186.6</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224.6</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382.8</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412.7</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206.6</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236.5</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381.2</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140.8</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210.7</w:t>
            </w:r>
          </w:p>
        </w:tc>
        <w:tc>
          <w:tcPr>
            <w:tcW w:w="3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288.3</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423.4</w:t>
            </w:r>
          </w:p>
        </w:tc>
      </w:tr>
      <w:tr>
        <w:trPr>
          <w:trHeight w:val="269"/>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52.7</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113.7</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586.7</w:t>
            </w:r>
          </w:p>
        </w:tc>
        <w:tc>
          <w:tcPr>
            <w:tcW w:w="44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717.7</w:t>
            </w:r>
          </w:p>
        </w:tc>
        <w:tc>
          <w:tcPr>
            <w:tcW w:w="3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1,166.0</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1,361.3</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65"/>
        </w:trPr>
        <w:tc>
          <w:tcPr>
            <w:tcW w:w="4620" w:type="dxa"/>
            <w:vAlign w:val="bottom"/>
          </w:tcPr>
          <w:p>
            <w:pPr>
              <w:ind w:left="380"/>
              <w:spacing w:after="0"/>
              <w:rPr>
                <w:sz w:val="20"/>
                <w:szCs w:val="20"/>
                <w:color w:val="auto"/>
              </w:rPr>
            </w:pPr>
            <w:r>
              <w:rPr>
                <w:rFonts w:ascii="Arial" w:cs="Arial" w:eastAsia="Arial" w:hAnsi="Arial"/>
                <w:sz w:val="18"/>
                <w:szCs w:val="18"/>
                <w:color w:val="auto"/>
              </w:rPr>
              <w:t>Immunology:</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138.7</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235.4</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Immunology</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Immunology</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143.5</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242.0</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69"/>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pharmaceuticals</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49.6</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123.6</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r>
      <w:tr>
        <w:trPr>
          <w:trHeight w:val="264"/>
        </w:trPr>
        <w:tc>
          <w:tcPr>
            <w:tcW w:w="4620" w:type="dxa"/>
            <w:vAlign w:val="bottom"/>
          </w:tcPr>
          <w:p>
            <w:pPr>
              <w:ind w:left="180"/>
              <w:spacing w:after="0"/>
              <w:rPr>
                <w:sz w:val="20"/>
                <w:szCs w:val="20"/>
                <w:color w:val="auto"/>
              </w:rPr>
            </w:pPr>
            <w:r>
              <w:rPr>
                <w:rFonts w:ascii="Arial" w:cs="Arial" w:eastAsia="Arial" w:hAnsi="Arial"/>
                <w:sz w:val="18"/>
                <w:szCs w:val="18"/>
                <w:color w:val="auto"/>
              </w:rPr>
              <w:t>Total human pharmaceutical products</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5,039.4</w:t>
            </w:r>
          </w:p>
        </w:tc>
        <w:tc>
          <w:tcPr>
            <w:tcW w:w="44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4,545.0</w:t>
            </w:r>
          </w:p>
        </w:tc>
        <w:tc>
          <w:tcPr>
            <w:tcW w:w="3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9,498.4</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8,655.5</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784.8</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859.8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1,554.2</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1,614.4</w:t>
            </w:r>
          </w:p>
        </w:tc>
      </w:tr>
      <w:tr>
        <w:trPr>
          <w:trHeight w:val="271"/>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5,824.3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5,404.8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11,052.6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10,269.9</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463"/>
        </w:trPr>
        <w:tc>
          <w:tcPr>
            <w:tcW w:w="4620" w:type="dxa"/>
            <w:vAlign w:val="bottom"/>
          </w:tcPr>
          <w:p>
            <w:pPr>
              <w:spacing w:after="0"/>
              <w:rPr>
                <w:sz w:val="24"/>
                <w:szCs w:val="24"/>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4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60"/>
        </w:trPr>
        <w:tc>
          <w:tcPr>
            <w:tcW w:w="6500" w:type="dxa"/>
            <w:vAlign w:val="bottom"/>
          </w:tcPr>
          <w:p>
            <w:pPr>
              <w:ind w:left="40"/>
              <w:spacing w:after="0"/>
              <w:rPr>
                <w:sz w:val="20"/>
                <w:szCs w:val="20"/>
                <w:color w:val="auto"/>
              </w:rPr>
            </w:pPr>
            <w:r>
              <w:rPr>
                <w:rFonts w:ascii="Arial" w:cs="Arial" w:eastAsia="Arial" w:hAnsi="Arial"/>
                <w:sz w:val="18"/>
                <w:szCs w:val="18"/>
                <w:color w:val="auto"/>
              </w:rPr>
              <w:t>Segment profits: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Human pharmaceutical products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1,352.3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2,523.2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1,886.3</w:t>
            </w:r>
          </w:p>
        </w:tc>
      </w:tr>
      <w:tr>
        <w:trPr>
          <w:trHeight w:val="269"/>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152.4</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211.7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300.7</w:t>
            </w: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359.4</w:t>
            </w:r>
          </w:p>
        </w:tc>
      </w:tr>
      <w:tr>
        <w:trPr>
          <w:trHeight w:val="271"/>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profits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1,504.7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1,171.1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2,823.9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2,245.7</w:t>
            </w:r>
          </w:p>
        </w:tc>
      </w:tr>
      <w:tr>
        <w:trPr>
          <w:trHeight w:val="122"/>
        </w:trPr>
        <w:tc>
          <w:tcPr>
            <w:tcW w:w="6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9"/>
        </w:trPr>
        <w:tc>
          <w:tcPr>
            <w:tcW w:w="6500" w:type="dxa"/>
            <w:vAlign w:val="bottom"/>
          </w:tcPr>
          <w:p>
            <w:pPr>
              <w:ind w:left="180"/>
              <w:spacing w:after="0"/>
              <w:rPr>
                <w:sz w:val="20"/>
                <w:szCs w:val="20"/>
                <w:color w:val="auto"/>
              </w:rPr>
            </w:pPr>
            <w:r>
              <w:rPr>
                <w:rFonts w:ascii="Arial" w:cs="Arial" w:eastAsia="Arial" w:hAnsi="Arial"/>
                <w:sz w:val="18"/>
                <w:szCs w:val="18"/>
                <w:color w:val="auto"/>
              </w:rPr>
              <w:t>Segment profits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1,504.7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1,171.1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2,823.9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2,245.7</w:t>
            </w:r>
          </w:p>
        </w:tc>
      </w:tr>
      <w:tr>
        <w:trPr>
          <w:trHeight w:val="271"/>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profits (losses):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(857.6)</w:t>
            </w:r>
          </w:p>
        </w:tc>
        <w:tc>
          <w:tcPr>
            <w:tcW w:w="4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(178.1)</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(168.6)</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(50.0)</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(263.9)</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fair value adjustment related to BIVIVP (Note 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(16.1)</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Venezuela charge (Note 12)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r>
      <w:tr>
        <w:trPr>
          <w:trHeight w:val="271"/>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1,260.5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944.5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1,321.7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1,511.3</w:t>
            </w:r>
          </w:p>
        </w:tc>
      </w:tr>
    </w:tbl>
    <w:p>
      <w:pPr>
        <w:spacing w:after="0"/>
        <w:rPr>
          <w:sz w:val="20"/>
          <w:szCs w:val="20"/>
          <w:color w:val="auto"/>
        </w:rPr>
      </w:pPr>
      <w:r>
        <w:rPr>
          <w:rFonts w:ascii="Arial" w:cs="Arial" w:eastAsia="Arial" w:hAnsi="Arial"/>
          <w:sz w:val="14"/>
          <w:szCs w:val="14"/>
          <w:color w:val="auto"/>
        </w:rPr>
        <w:t>Numbers may not add due to rounding.</w:t>
      </w:r>
    </w:p>
    <w:p>
      <w:pPr>
        <w:spacing w:after="0" w:line="8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w:t>
      </w:r>
    </w:p>
    <w:p>
      <w:pPr>
        <w:spacing w:after="0" w:line="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Item 1A, “Risk Factors,” of Part I of our Annual Report on Form 10-K for the year ended December 31, 2016 may cause our actual results and cash generated from operations to differ materially from these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jc w:val="center"/>
              <w:ind w:left="34"/>
              <w:spacing w:after="0" w:line="156"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5,824.3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5,404.8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11,052.6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10,269.9</w:t>
            </w:r>
          </w:p>
        </w:tc>
        <w:tc>
          <w:tcPr>
            <w:tcW w:w="10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69"/>
        </w:trPr>
        <w:tc>
          <w:tcPr>
            <w:tcW w:w="3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4,272.7</w:t>
            </w:r>
          </w:p>
        </w:tc>
        <w:tc>
          <w:tcPr>
            <w:tcW w:w="4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3,939.8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8,173.3</w:t>
            </w:r>
          </w:p>
        </w:tc>
        <w:tc>
          <w:tcPr>
            <w:tcW w:w="42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7,481.9</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2,958.3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2,958.5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5,741.3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5,653.4</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857.6</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3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7"/>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20" w:type="dxa"/>
            <w:vAlign w:val="bottom"/>
          </w:tcPr>
          <w:p>
            <w:pPr>
              <w:spacing w:after="0"/>
              <w:rPr>
                <w:sz w:val="17"/>
                <w:szCs w:val="17"/>
                <w:color w:val="auto"/>
              </w:rPr>
            </w:pPr>
          </w:p>
        </w:tc>
        <w:tc>
          <w:tcPr>
            <w:tcW w:w="106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50.0</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263.9</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189.4</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1,008.0</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747.7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897.2</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1,187.8</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69"/>
        </w:trPr>
        <w:tc>
          <w:tcPr>
            <w:tcW w:w="3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0.95</w:t>
            </w:r>
          </w:p>
        </w:tc>
        <w:tc>
          <w:tcPr>
            <w:tcW w:w="4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0.71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300" w:type="dxa"/>
            <w:vAlign w:val="bottom"/>
          </w:tcPr>
          <w:p>
            <w:pPr>
              <w:spacing w:after="0"/>
              <w:rPr>
                <w:sz w:val="23"/>
                <w:szCs w:val="23"/>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0.85</w:t>
            </w:r>
          </w:p>
        </w:tc>
        <w:tc>
          <w:tcPr>
            <w:tcW w:w="42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1.12</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4220" w:firstLine="8"/>
        <w:spacing w:after="0" w:line="323"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6" w:right="239" w:bottom="1440" w:gutter="0" w:footer="0" w:header="0"/>
        </w:sectPr>
      </w:pPr>
    </w:p>
    <w:bookmarkStart w:id="35" w:name="page36"/>
    <w:bookmarkEnd w:id="35"/>
    <w:p>
      <w:pPr>
        <w:ind w:right="60"/>
        <w:spacing w:after="0" w:line="250" w:lineRule="auto"/>
        <w:rPr>
          <w:sz w:val="20"/>
          <w:szCs w:val="20"/>
          <w:color w:val="auto"/>
        </w:rPr>
      </w:pPr>
      <w:r>
        <w:rPr>
          <w:rFonts w:ascii="Arial" w:cs="Arial" w:eastAsia="Arial" w:hAnsi="Arial"/>
          <w:sz w:val="18"/>
          <w:szCs w:val="18"/>
          <w:color w:val="auto"/>
        </w:rPr>
        <w:t>Revenue increased for the three and six months ended June 30, 2017 primarily driven by increased volume for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and other new pharmaceutical products. Operating expense remained flat for the three months ended June 30, 2017. Operating expense increased for the six months ended June 30, 2017 driven by an increase in marketing, selling, and administrative expense partially offset by a decrease in research and development expense. The following highlighted items also affect comparisons of our financial results for the three and six months ended June 30, 2017 and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and development (IPR&amp;D) (Note 3 to the consolidated condensed financial statements)</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no acquired IPR&amp;D charges for the three months ended June 30 and a charge of $857.6 million, or $0.81 per share, for the six months ended June 30 associated with the acquisition of CoLucid Pharmaceuticals, Inc. (CoLucid). This charge was not tax-deductible.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charges of $50.0 million (pretax), or $0.03 per share, and $263.9 million (pretax), or $0.19 per share, for the three and six months ended June 30, respectively. The charges for the three months ended June 30 were primarily due to integration costs related to the acquisition of Novartis Animal Health (Novartis AH) as well as asset impairments related to animal health assets. The charges for the six months ended June 30 were primarily due to severance costs incurred as a result of actions taken to reduce our cost structure, integration costs, and asset impairments related to animal health assets, as well as exit fees due to site 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charges of $58.0 million (pretax), or $0.04 per share, and $189.4 million (pretax), or $0.16 per share, for the three and six months ended June 30, respectively, related to the integration costs for our acquisition of Novartis AH, severance costs, and asset impairments. The charges for the six months ended June 30 also included charges related to the closure of an animal health manufacturing facility in Ireland.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 to the consolidated condensed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in the first quarter related to the impact of the Venezuelan financial crisis, including the significant deterioration of the bolívar.</w:t>
      </w:r>
    </w:p>
    <w:p>
      <w:pPr>
        <w:spacing w:after="0" w:line="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increases in net income and EPS for the second quarter of 2017 were due to a higher gross margin, partially offset by higher income taxes. The decreases in net income and EPS for the six months ended June 30, 2017, were due to the acquired IPR&amp;D charge associated with the acquisition of CoLucid and, to a lesser extent, higher income taxes, higher operating expenses, and higher asset impairment, restructuring, and other special charges, partially offset by a higher gross margin and the 2016 charges related to the Venezuelan financial crisis, including the significant deterioration of the bolívar.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Late-Stage Pipeline</w:t>
      </w:r>
    </w:p>
    <w:p>
      <w:pPr>
        <w:spacing w:after="0" w:line="11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55 potential new drugs in human testing or under regulatory review, and a larger number of projects in preclinical research.</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quarter in which each NME initially was approved in any major geography for any indication is shown in parentheses:</w:t>
      </w:r>
    </w:p>
    <w:p>
      <w:pPr>
        <w:spacing w:after="0" w:line="53" w:lineRule="exact"/>
        <w:rPr>
          <w:sz w:val="20"/>
          <w:szCs w:val="20"/>
          <w:color w:val="auto"/>
        </w:rPr>
      </w:pPr>
    </w:p>
    <w:p>
      <w:pPr>
        <w:ind w:left="660" w:right="580"/>
        <w:spacing w:after="0" w:line="254"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disease described.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quarter in which the NME initially was submitted in any major geography for any indication is shown in parentheses:</w:t>
      </w:r>
    </w:p>
    <w:p>
      <w:pPr>
        <w:spacing w:after="0" w:line="93" w:lineRule="exact"/>
        <w:rPr>
          <w:sz w:val="20"/>
          <w:szCs w:val="20"/>
          <w:color w:val="auto"/>
        </w:rPr>
      </w:pPr>
    </w:p>
    <w:p>
      <w:pPr>
        <w:jc w:val="both"/>
        <w:ind w:left="660" w:right="400"/>
        <w:spacing w:after="0" w:line="272" w:lineRule="auto"/>
        <w:rPr>
          <w:sz w:val="20"/>
          <w:szCs w:val="20"/>
          <w:color w:val="auto"/>
        </w:rPr>
      </w:pPr>
      <w:r>
        <w:rPr>
          <w:rFonts w:ascii="Arial" w:cs="Arial" w:eastAsia="Arial" w:hAnsi="Arial"/>
          <w:sz w:val="18"/>
          <w:szCs w:val="18"/>
          <w:b w:val="1"/>
          <w:bCs w:val="1"/>
          <w:color w:val="auto"/>
        </w:rPr>
        <w:t>Abemaciclib (Q2 2017)</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In the United States (U.S.), abemaciclib is protected by a compound patent (2029, not including possible patent extension).</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35" w:lineRule="exact"/>
        <w:rPr>
          <w:sz w:val="20"/>
          <w:szCs w:val="20"/>
          <w:color w:val="auto"/>
        </w:rPr>
      </w:pPr>
    </w:p>
    <w:p>
      <w:pPr>
        <w:ind w:left="660" w:right="120"/>
        <w:spacing w:after="0" w:line="294"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33" w:lineRule="exact"/>
        <w:rPr>
          <w:sz w:val="20"/>
          <w:szCs w:val="20"/>
          <w:color w:val="auto"/>
        </w:rPr>
      </w:pPr>
    </w:p>
    <w:p>
      <w:pPr>
        <w:ind w:left="660" w:right="680"/>
        <w:spacing w:after="0" w:line="294" w:lineRule="auto"/>
        <w:rPr>
          <w:sz w:val="20"/>
          <w:szCs w:val="20"/>
          <w:color w:val="auto"/>
        </w:rPr>
      </w:pPr>
      <w:r>
        <w:rPr>
          <w:rFonts w:ascii="Arial" w:cs="Arial" w:eastAsia="Arial" w:hAnsi="Arial"/>
          <w:sz w:val="18"/>
          <w:szCs w:val="18"/>
          <w:b w:val="1"/>
          <w:bCs w:val="1"/>
          <w:color w:val="auto"/>
        </w:rPr>
        <w:t>Galcanezumab* (Q2 2015)</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and cluster headache.</w:t>
      </w:r>
    </w:p>
    <w:p>
      <w:pPr>
        <w:spacing w:after="0" w:line="33"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b w:val="1"/>
          <w:bCs w:val="1"/>
          <w:color w:val="auto"/>
        </w:rPr>
        <w:t>Lanabecestat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27" w:lineRule="exact"/>
        <w:rPr>
          <w:sz w:val="20"/>
          <w:szCs w:val="20"/>
          <w:color w:val="auto"/>
        </w:rPr>
      </w:pPr>
    </w:p>
    <w:p>
      <w:pPr>
        <w:ind w:left="660" w:right="80"/>
        <w:spacing w:after="0" w:line="294"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34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35" w:lineRule="exact"/>
        <w:rPr>
          <w:sz w:val="20"/>
          <w:szCs w:val="20"/>
          <w:color w:val="auto"/>
        </w:rPr>
      </w:pPr>
    </w:p>
    <w:p>
      <w:pPr>
        <w:ind w:left="340" w:right="4040" w:hanging="8"/>
        <w:spacing w:after="0" w:line="417"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0" w:right="259" w:bottom="1440" w:gutter="0" w:footer="0" w:header="0"/>
        </w:sectPr>
      </w:pPr>
    </w:p>
    <w:bookmarkStart w:id="37" w:name="page38"/>
    <w:bookmarkEnd w:id="37"/>
    <w:p>
      <w:pPr>
        <w:ind w:right="760"/>
        <w:spacing w:after="0" w:line="29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2017:</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5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600" w:type="dxa"/>
            <w:vAlign w:val="bottom"/>
            <w:tcBorders>
              <w:top w:val="single" w:sz="8" w:color="auto"/>
              <w:bottom w:val="single" w:sz="8" w:color="auto"/>
              <w:right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b w:val="1"/>
                <w:bCs w:val="1"/>
                <w:color w:val="auto"/>
                <w:w w:val="99"/>
              </w:rPr>
              <w:t>Europe</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Severe</w:t>
            </w:r>
          </w:p>
        </w:tc>
        <w:tc>
          <w:tcPr>
            <w:tcW w:w="16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Development of commercial manufacturing</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vMerge w:val="continue"/>
          </w:tcPr>
          <w:p>
            <w:pPr>
              <w:spacing w:after="0"/>
              <w:rPr>
                <w:sz w:val="11"/>
                <w:szCs w:val="11"/>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6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process is ongoing.</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35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Approved and launched in Europe in first</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2017. Received complete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response letter from the U.S. Food and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Drug Administration (FDA) in second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2017. Evaluating options for</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resubmission, including the potential for an</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Olumiant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Rheumatoid</w:t>
            </w:r>
          </w:p>
        </w:tc>
        <w:tc>
          <w:tcPr>
            <w:tcW w:w="1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See Developments</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16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Approved</w:t>
            </w: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additional clinical study, as requested by</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vMerge w:val="continue"/>
          </w:tcPr>
          <w:p>
            <w:pPr>
              <w:spacing w:after="0"/>
              <w:rPr>
                <w:sz w:val="11"/>
                <w:szCs w:val="11"/>
                <w:color w:val="auto"/>
              </w:rPr>
            </w:pPr>
          </w:p>
        </w:tc>
        <w:tc>
          <w:tcPr>
            <w:tcW w:w="16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arthritis</w:t>
            </w: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the FDA. Timing of a resubmission in the</w:t>
            </w: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160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U.S. will be based on further discussions</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 FDA and the option pursued.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Resubmission in the U.S. will not occur in</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2017 and is anticipated to be a minimum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18 months. Approved in Japan in third</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254"/>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35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vMerge w:val="continue"/>
          </w:tcPr>
          <w:p>
            <w:pPr>
              <w:spacing w:after="0"/>
              <w:rPr>
                <w:sz w:val="11"/>
                <w:szCs w:val="11"/>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Galcanezumab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Three Phase III trials met primary</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endpoints. First submission to FDA</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expected in second half of 2017.</w:t>
            </w: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Early and mild</w:t>
            </w: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Acquired with CoLucid in first quarter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2017. Phase III trials are ongoing. See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Lasmiditan</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Migraine</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Note 3 to the consolidated condensed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financial statements for information on the</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Fast 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w:t>
            </w:r>
          </w:p>
        </w:tc>
        <w:tc>
          <w:tcPr>
            <w:tcW w:w="0" w:type="dxa"/>
            <w:vAlign w:val="bottom"/>
          </w:tcPr>
          <w:p>
            <w:pPr>
              <w:spacing w:after="0"/>
              <w:rPr>
                <w:sz w:val="1"/>
                <w:szCs w:val="1"/>
                <w:color w:val="auto"/>
              </w:rPr>
            </w:pPr>
          </w:p>
        </w:tc>
      </w:tr>
      <w:tr>
        <w:trPr>
          <w:trHeight w:val="72"/>
        </w:trPr>
        <w:tc>
          <w:tcPr>
            <w:tcW w:w="1520" w:type="dxa"/>
            <w:vAlign w:val="bottom"/>
            <w:tcBorders>
              <w:left w:val="single" w:sz="8" w:color="auto"/>
              <w:right w:val="single" w:sz="8" w:color="auto"/>
            </w:tcBorders>
          </w:tcPr>
          <w:p>
            <w:pPr>
              <w:spacing w:after="0"/>
              <w:rPr>
                <w:sz w:val="6"/>
                <w:szCs w:val="6"/>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16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in second quarter of 2017.</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6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pain</w:t>
            </w:r>
          </w:p>
        </w:tc>
        <w:tc>
          <w:tcPr>
            <w:tcW w:w="1600" w:type="dxa"/>
            <w:vAlign w:val="bottom"/>
          </w:tcPr>
          <w:p>
            <w:pPr>
              <w:spacing w:after="0"/>
              <w:rPr>
                <w:sz w:val="21"/>
                <w:szCs w:val="2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2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38</w:t>
            </w: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5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3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w w:val="96"/>
              </w:rPr>
              <w:t>U.S.</w:t>
            </w:r>
          </w:p>
        </w:tc>
        <w:tc>
          <w:tcPr>
            <w:tcW w:w="122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1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42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Two Phase III trials met primary endpoints.</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38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Phase II trial and Phase III trial</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Submitted</w:t>
            </w:r>
          </w:p>
        </w:tc>
        <w:tc>
          <w:tcPr>
            <w:tcW w:w="1180" w:type="dxa"/>
            <w:vAlign w:val="bottom"/>
          </w:tcPr>
          <w:p>
            <w:pPr>
              <w:spacing w:after="0"/>
              <w:rPr>
                <w:sz w:val="8"/>
                <w:szCs w:val="8"/>
                <w:color w:val="auto"/>
              </w:rPr>
            </w:pPr>
          </w:p>
        </w:tc>
        <w:tc>
          <w:tcPr>
            <w:tcW w:w="2020" w:type="dxa"/>
            <w:vAlign w:val="bottom"/>
            <w:tcBorders>
              <w:right w:val="single" w:sz="8" w:color="auto"/>
            </w:tcBorders>
            <w:gridSpan w:val="2"/>
            <w:vMerge w:val="restart"/>
          </w:tcPr>
          <w:p>
            <w:pPr>
              <w:ind w:left="60"/>
              <w:spacing w:after="0" w:line="202" w:lineRule="exact"/>
              <w:rPr>
                <w:sz w:val="20"/>
                <w:szCs w:val="20"/>
                <w:color w:val="auto"/>
              </w:rPr>
            </w:pPr>
            <w:r>
              <w:rPr>
                <w:rFonts w:ascii="Arial" w:cs="Arial" w:eastAsia="Arial" w:hAnsi="Arial"/>
                <w:sz w:val="18"/>
                <w:szCs w:val="18"/>
                <w:color w:val="auto"/>
              </w:rPr>
              <w:t>Phase III</w:t>
            </w: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to FDA in second quarter of 2017. Granted</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38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80" w:type="dxa"/>
            <w:vAlign w:val="bottom"/>
          </w:tcPr>
          <w:p>
            <w:pPr>
              <w:spacing w:after="0"/>
              <w:rPr>
                <w:sz w:val="9"/>
                <w:szCs w:val="9"/>
                <w:color w:val="auto"/>
              </w:rPr>
            </w:pPr>
          </w:p>
        </w:tc>
        <w:tc>
          <w:tcPr>
            <w:tcW w:w="202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Abemaciclib</w:t>
            </w:r>
          </w:p>
        </w:tc>
        <w:tc>
          <w:tcPr>
            <w:tcW w:w="1600" w:type="dxa"/>
            <w:vAlign w:val="bottom"/>
            <w:tcBorders>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20"/>
              <w:spacing w:after="0" w:line="212" w:lineRule="exact"/>
              <w:rPr>
                <w:sz w:val="20"/>
                <w:szCs w:val="20"/>
                <w:color w:val="auto"/>
              </w:rPr>
            </w:pPr>
            <w:r>
              <w:rPr>
                <w:rFonts w:ascii="Arial" w:cs="Arial" w:eastAsia="Arial" w:hAnsi="Arial"/>
                <w:sz w:val="18"/>
                <w:szCs w:val="18"/>
                <w:color w:val="auto"/>
              </w:rPr>
              <w:t>Priority Review</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from FDA in third quarter</w:t>
            </w:r>
          </w:p>
        </w:tc>
        <w:tc>
          <w:tcPr>
            <w:tcW w:w="0" w:type="dxa"/>
            <w:vAlign w:val="bottom"/>
          </w:tcPr>
          <w:p>
            <w:pPr>
              <w:spacing w:after="0"/>
              <w:rPr>
                <w:sz w:val="1"/>
                <w:szCs w:val="1"/>
                <w:color w:val="auto"/>
              </w:rPr>
            </w:pPr>
          </w:p>
        </w:tc>
      </w:tr>
      <w:tr>
        <w:trPr>
          <w:trHeight w:val="243"/>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2017.</w:t>
            </w:r>
          </w:p>
        </w:tc>
        <w:tc>
          <w:tcPr>
            <w:tcW w:w="0" w:type="dxa"/>
            <w:vAlign w:val="bottom"/>
          </w:tcPr>
          <w:p>
            <w:pPr>
              <w:spacing w:after="0"/>
              <w:rPr>
                <w:sz w:val="1"/>
                <w:szCs w:val="1"/>
                <w:color w:val="auto"/>
              </w:rPr>
            </w:pPr>
          </w:p>
        </w:tc>
      </w:tr>
      <w:tr>
        <w:trPr>
          <w:trHeight w:val="200"/>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Non-small cell lung</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w w:val="99"/>
              </w:rPr>
              <w:t>Granted accelerated approval</w:t>
            </w:r>
            <w:r>
              <w:rPr>
                <w:rFonts w:ascii="Arial" w:cs="Arial" w:eastAsia="Arial" w:hAnsi="Arial"/>
                <w:sz w:val="21"/>
                <w:szCs w:val="21"/>
                <w:color w:val="auto"/>
                <w:w w:val="99"/>
                <w:vertAlign w:val="superscript"/>
              </w:rPr>
              <w:t>(3)</w:t>
            </w:r>
            <w:r>
              <w:rPr>
                <w:rFonts w:ascii="Arial" w:cs="Arial" w:eastAsia="Arial" w:hAnsi="Arial"/>
                <w:sz w:val="18"/>
                <w:szCs w:val="18"/>
                <w:color w:val="auto"/>
                <w:w w:val="99"/>
              </w:rPr>
              <w:t xml:space="preserve"> by the FDA</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fourth quarter of 2016 based on phase II</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data. Launched in the U.S. in the fourth</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Lartruvo</w:t>
            </w:r>
          </w:p>
        </w:tc>
        <w:tc>
          <w:tcPr>
            <w:tcW w:w="160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gridSpan w:val="2"/>
            <w:vMerge w:val="restart"/>
          </w:tcPr>
          <w:p>
            <w:pPr>
              <w:ind w:left="820"/>
              <w:spacing w:after="0" w:line="202" w:lineRule="exact"/>
              <w:rPr>
                <w:sz w:val="20"/>
                <w:szCs w:val="20"/>
                <w:color w:val="auto"/>
              </w:rPr>
            </w:pPr>
            <w:r>
              <w:rPr>
                <w:rFonts w:ascii="Arial" w:cs="Arial" w:eastAsia="Arial" w:hAnsi="Arial"/>
                <w:sz w:val="18"/>
                <w:szCs w:val="18"/>
                <w:color w:val="auto"/>
              </w:rPr>
              <w:t>Launched</w:t>
            </w:r>
          </w:p>
        </w:tc>
        <w:tc>
          <w:tcPr>
            <w:tcW w:w="4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ind w:left="420"/>
              <w:spacing w:after="0" w:line="202" w:lineRule="exact"/>
              <w:rPr>
                <w:sz w:val="20"/>
                <w:szCs w:val="20"/>
                <w:color w:val="auto"/>
              </w:rPr>
            </w:pPr>
            <w:r>
              <w:rPr>
                <w:rFonts w:ascii="Arial" w:cs="Arial" w:eastAsia="Arial" w:hAnsi="Arial"/>
                <w:sz w:val="18"/>
                <w:szCs w:val="18"/>
                <w:color w:val="auto"/>
              </w:rPr>
              <w:t>Phase III</w:t>
            </w: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2016. Granted conditional</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38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approval</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and launched in Europe in</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 of 2016. Phase III trial is</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The FDA's fast track program is designed to expedite the development and review of new therapies to treat serious conditions and address unmet medical needs.</w:t>
      </w:r>
    </w:p>
    <w:p>
      <w:pPr>
        <w:spacing w:after="0" w:line="86" w:lineRule="exact"/>
        <w:rPr>
          <w:rFonts w:ascii="Arial" w:cs="Arial" w:eastAsia="Arial" w:hAnsi="Arial"/>
          <w:sz w:val="16"/>
          <w:szCs w:val="16"/>
          <w:color w:val="auto"/>
          <w:vertAlign w:val="superscript"/>
        </w:rPr>
      </w:pPr>
    </w:p>
    <w:p>
      <w:pPr>
        <w:ind w:left="180" w:right="400" w:hanging="172"/>
        <w:spacing w:after="0" w:line="239"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86" w:lineRule="exact"/>
        <w:rPr>
          <w:rFonts w:ascii="Arial" w:cs="Arial" w:eastAsia="Arial" w:hAnsi="Arial"/>
          <w:sz w:val="16"/>
          <w:szCs w:val="16"/>
          <w:color w:val="auto"/>
          <w:vertAlign w:val="superscript"/>
        </w:rPr>
      </w:pPr>
    </w:p>
    <w:p>
      <w:pPr>
        <w:ind w:left="180" w:right="140" w:hanging="172"/>
        <w:spacing w:after="0"/>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822"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patent exclusivity for the schizophrenia and bipolar mania indications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in December 2015 and April 2016, respectively. Generic versions of Zyprexa were launched in Japan in June 2016. The loss of exclusivity for Zyprexa in Japan has caused a rapid and severe decline in revenue for the product.</w:t>
      </w:r>
    </w:p>
    <w:p>
      <w:pPr>
        <w:spacing w:after="0" w:line="74"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color w:val="auto"/>
        </w:rPr>
        <w:t>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The entry of generic competition has caused a rapid and severe decline in revenue, which will have a material adverse effect on our consolidated results of operations and cash flows.</w:t>
      </w:r>
    </w:p>
    <w:p>
      <w:pPr>
        <w:spacing w:after="0" w:line="7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will lose 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in major European markets in November 2017. We will also lose compound patent protection for Cialis and Adcirca in the U.S. in November 2017; however, we now expect U.S. exclusivity for Cialis to end at the earliest in late September 2018. Refer to Item 1, "Legal Proceedings" for additional information on our U.S. exclusivity for Cialis. We will also lose exclusivity for Effient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October 2017, and we have authorized one generic manufacturer to enter the market as early as mid-August 2017.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8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Court of Appeals recently ruled in our favor regarding the validity and infringement of the vitamin regimen patent, that patent remains the subject of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challenges as further described in Note 10 to the consolidated condensed financial statements. We are aware that generic competitors have received approval to market generic versions of pemetrexed in major European markets, and that generic products are currently on the market in France and the U.K. In view of the U.K. Supreme Court judgment finding infringement in the U.K., France, Italy and Spain, we expect that Actavis will withdraw or terminate plans to market its generic product in these markets, and we will seek to remove any generic pemetrexed products launched-at-risk in other European markets. Notwithstanding our patents, generic versions of Alimta were also approved in Japan starting in February 2016. As described in Note 10 to the consolidated condensed financial statements, we do not currently anticipate that generic versions of Alimta will proceed to pricing approval.</w:t>
      </w:r>
    </w:p>
    <w:p>
      <w:pPr>
        <w:spacing w:after="0" w:line="7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and to date none have been approved in the U.S. Other manufacturers have efforts underway to bring to market a similar version of insulin lispro in the U.S. and Europe. We are aware that a competitor's insulin lispro product has been approved by the European Commission. It is difficult to estimate the severity of the impact of this product or other similar insulin lispro products entering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 and cash flows.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36" w:right="279" w:bottom="1440" w:gutter="0" w:footer="0" w:header="0"/>
        </w:sectPr>
      </w:pPr>
    </w:p>
    <w:bookmarkStart w:id="40" w:name="page41"/>
    <w:bookmarkEnd w:id="40"/>
    <w:p>
      <w:pPr>
        <w:ind w:right="60"/>
        <w:spacing w:after="0" w:line="260"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first quarter of 2016. See Note 12 to the consolidated condensed financial statements for additional information related to the charge. As of June 30, 2017,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Repealing and replacing the ACA remains a top priority for President Trump and Congress. Provisions included in final legislation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8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Trump administration has stated that one of its top priorities is comprehensive tax reform. The tax rates and the manner in which U.S. companies are taxed could be altered by any such potential tax reform and could have a material adverse effect on our consolidated results of operations and cash flows. Additionally, the Organisation for Economic Co-operation and Development issued its final recommendations of international tax reform proposals to influence international tax policy in major countries in which we operate. Other institutions have also become more active regarding tax-related matters, including the European Commission, the United Nations, the Group of Twenty, and the European Parliament. While outcomes of these initiatives continue to develop and remain uncertain, changes to key elements of the U.S. or international tax framework could have a material adverse effect on our consolidated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discussion regarding the following acquisitions:</w:t>
      </w:r>
    </w:p>
    <w:p>
      <w:pPr>
        <w:spacing w:after="0" w:line="333" w:lineRule="exact"/>
        <w:rPr>
          <w:sz w:val="20"/>
          <w:szCs w:val="20"/>
          <w:color w:val="auto"/>
        </w:rPr>
      </w:pPr>
    </w:p>
    <w:p>
      <w:pPr>
        <w:ind w:left="660" w:right="42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(BIVIVP), completed on January 3, 2017, in an all-cash transaction for $882.1 million.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of CoLucid, completed on March 1, 2017, for a cash purchase price of $831.8 million, net of cash acquired.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1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202"/>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ind w:left="300"/>
              <w:spacing w:after="0" w:line="156"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ind w:left="300"/>
              <w:spacing w:after="0" w:line="156" w:lineRule="exact"/>
              <w:rPr>
                <w:sz w:val="20"/>
                <w:szCs w:val="20"/>
                <w:color w:val="auto"/>
              </w:rPr>
            </w:pPr>
            <w:r>
              <w:rPr>
                <w:rFonts w:ascii="Arial" w:cs="Arial" w:eastAsia="Arial" w:hAnsi="Arial"/>
                <w:sz w:val="14"/>
                <w:szCs w:val="14"/>
                <w:b w:val="1"/>
                <w:bCs w:val="1"/>
                <w:color w:val="auto"/>
              </w:rPr>
              <w:t>Percent</w:t>
            </w:r>
          </w:p>
        </w:tc>
      </w:tr>
      <w:tr>
        <w:trPr>
          <w:trHeight w:val="203"/>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265"/>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3,323.9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2,889.9</w:t>
            </w:r>
          </w:p>
        </w:tc>
        <w:tc>
          <w:tcPr>
            <w:tcW w:w="10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6,257.5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5,445.5</w:t>
            </w:r>
          </w:p>
        </w:tc>
        <w:tc>
          <w:tcPr>
            <w:tcW w:w="10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15</w:t>
            </w:r>
          </w:p>
        </w:tc>
      </w:tr>
      <w:tr>
        <w:trPr>
          <w:trHeight w:val="269"/>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2,500.3</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2,514.9</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4,795.1</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4,824.4</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(1)</w:t>
            </w:r>
          </w:p>
        </w:tc>
      </w:tr>
      <w:tr>
        <w:trPr>
          <w:trHeight w:val="271"/>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5,824.3</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5,404.8</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11,052.6</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10,269.9</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r>
      <w:tr>
        <w:trPr>
          <w:trHeight w:val="202"/>
        </w:trPr>
        <w:tc>
          <w:tcPr>
            <w:tcW w:w="2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17"/>
                <w:szCs w:val="17"/>
                <w:color w:val="auto"/>
              </w:rPr>
            </w:pPr>
          </w:p>
        </w:tc>
      </w:tr>
      <w:tr>
        <w:trPr>
          <w:trHeight w:val="271"/>
        </w:trPr>
        <w:tc>
          <w:tcPr>
            <w:tcW w:w="284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 vs. 2016</w:t>
            </w:r>
          </w:p>
        </w:tc>
        <w:tc>
          <w:tcPr>
            <w:tcW w:w="13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 vs. 2016</w:t>
            </w:r>
          </w:p>
        </w:tc>
        <w:tc>
          <w:tcPr>
            <w:tcW w:w="1340" w:type="dxa"/>
            <w:vAlign w:val="bottom"/>
            <w:tcBorders>
              <w:bottom w:val="single" w:sz="8" w:color="auto"/>
            </w:tcBorders>
          </w:tcPr>
          <w:p>
            <w:pPr>
              <w:spacing w:after="0"/>
              <w:rPr>
                <w:sz w:val="23"/>
                <w:szCs w:val="23"/>
                <w:color w:val="auto"/>
              </w:rPr>
            </w:pPr>
          </w:p>
        </w:tc>
      </w:tr>
      <w:tr>
        <w:trPr>
          <w:trHeight w:val="250"/>
        </w:trPr>
        <w:tc>
          <w:tcPr>
            <w:tcW w:w="2840" w:type="dxa"/>
            <w:vAlign w:val="bottom"/>
          </w:tcPr>
          <w:p>
            <w:pPr>
              <w:spacing w:after="0"/>
              <w:rPr>
                <w:sz w:val="21"/>
                <w:szCs w:val="21"/>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Outside U.S.</w:t>
            </w: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U.S.</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6"/>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580" w:type="dxa"/>
            <w:vAlign w:val="bottom"/>
          </w:tcPr>
          <w:p>
            <w:pPr>
              <w:jc w:val="right"/>
              <w:ind w:right="139"/>
              <w:spacing w:after="0"/>
              <w:rPr>
                <w:sz w:val="20"/>
                <w:szCs w:val="20"/>
                <w:color w:val="auto"/>
              </w:rPr>
            </w:pPr>
            <w:r>
              <w:rPr>
                <w:rFonts w:ascii="Arial" w:cs="Arial" w:eastAsia="Arial" w:hAnsi="Arial"/>
                <w:sz w:val="18"/>
                <w:szCs w:val="18"/>
                <w:color w:val="auto"/>
              </w:rPr>
              <w:t>3 %</w:t>
            </w:r>
          </w:p>
        </w:tc>
        <w:tc>
          <w:tcPr>
            <w:tcW w:w="13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500" w:type="dxa"/>
            <w:vAlign w:val="bottom"/>
          </w:tcPr>
          <w:p>
            <w:pPr>
              <w:jc w:val="right"/>
              <w:ind w:right="99"/>
              <w:spacing w:after="0"/>
              <w:rPr>
                <w:sz w:val="20"/>
                <w:szCs w:val="20"/>
                <w:color w:val="auto"/>
              </w:rPr>
            </w:pPr>
            <w:r>
              <w:rPr>
                <w:rFonts w:ascii="Arial" w:cs="Arial" w:eastAsia="Arial" w:hAnsi="Arial"/>
                <w:sz w:val="18"/>
                <w:szCs w:val="18"/>
                <w:color w:val="auto"/>
              </w:rPr>
              <w:t>3 %</w:t>
            </w: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5"/>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65"/>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6" w:right="239" w:bottom="1440" w:gutter="0" w:footer="0" w:header="0"/>
        </w:sectPr>
      </w:pPr>
    </w:p>
    <w:bookmarkStart w:id="42" w:name="page43"/>
    <w:bookmarkEnd w:id="42"/>
    <w:p>
      <w:pPr>
        <w:ind w:right="140"/>
        <w:spacing w:after="0"/>
        <w:rPr>
          <w:sz w:val="20"/>
          <w:szCs w:val="20"/>
          <w:color w:val="auto"/>
        </w:rPr>
      </w:pPr>
      <w:r>
        <w:rPr>
          <w:rFonts w:ascii="Arial" w:cs="Arial" w:eastAsia="Arial" w:hAnsi="Arial"/>
          <w:sz w:val="18"/>
          <w:szCs w:val="18"/>
          <w:color w:val="auto"/>
        </w:rPr>
        <w:t>In the U.S., for the three and six months ended June 30, 2017, the volume increase was due to new pharmaceutical products, primarily driven by Trulicity, Taltz, Basaglar</w:t>
      </w:r>
      <w:r>
        <w:rPr>
          <w:rFonts w:ascii="Arial" w:cs="Arial" w:eastAsia="Arial" w:hAnsi="Arial"/>
          <w:sz w:val="21"/>
          <w:szCs w:val="21"/>
          <w:color w:val="auto"/>
          <w:vertAlign w:val="superscript"/>
        </w:rPr>
        <w:t>®</w:t>
      </w:r>
      <w:r>
        <w:rPr>
          <w:rFonts w:ascii="Arial" w:cs="Arial" w:eastAsia="Arial" w:hAnsi="Arial"/>
          <w:sz w:val="18"/>
          <w:szCs w:val="18"/>
          <w:color w:val="auto"/>
        </w:rPr>
        <w:t>, and Lartruvo, partially offset by decreased volume for several established pharmaceutical products, including Cialis. The U.S. increase in realized prices for the three and six months ended June 30, 2017 was driven by several pharmaceutical products, primarily Cialis and Forteo</w:t>
      </w:r>
      <w:r>
        <w:rPr>
          <w:rFonts w:ascii="Arial" w:cs="Arial" w:eastAsia="Arial" w:hAnsi="Arial"/>
          <w:sz w:val="21"/>
          <w:szCs w:val="21"/>
          <w:color w:val="auto"/>
          <w:vertAlign w:val="superscript"/>
        </w:rPr>
        <w:t>®</w:t>
      </w:r>
      <w:r>
        <w:rPr>
          <w:rFonts w:ascii="Arial" w:cs="Arial" w:eastAsia="Arial" w:hAnsi="Arial"/>
          <w:sz w:val="18"/>
          <w:szCs w:val="18"/>
          <w:color w:val="auto"/>
        </w:rPr>
        <w:t>. For the six months ended June 30, 2017, the higher realized prices were also driven by Humalog, which had unfavorable changes to rebates and discounts in the first quarter of 2016 that did not recur in the first six months of 2017.</w:t>
      </w:r>
    </w:p>
    <w:p>
      <w:pPr>
        <w:spacing w:after="0" w:line="8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Outside the U.S., for the three and six months ended June 30, 2017, the volume increase was driven by sales of several newly launched pharmaceutical products including Trulicity and Cyramza</w:t>
      </w:r>
      <w:r>
        <w:rPr>
          <w:rFonts w:ascii="Arial" w:cs="Arial" w:eastAsia="Arial" w:hAnsi="Arial"/>
          <w:sz w:val="21"/>
          <w:szCs w:val="21"/>
          <w:color w:val="auto"/>
          <w:vertAlign w:val="superscript"/>
        </w:rPr>
        <w:t>®</w:t>
      </w:r>
      <w:r>
        <w:rPr>
          <w:rFonts w:ascii="Arial" w:cs="Arial" w:eastAsia="Arial" w:hAnsi="Arial"/>
          <w:sz w:val="18"/>
          <w:szCs w:val="18"/>
          <w:color w:val="auto"/>
        </w:rPr>
        <w:t>, partially offset by the loss of exclusivity for several established products, including Zyprexa in Japan,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Canada and Europe, and Alimta in several countries. For the three and six months ended June 30, 2017, revenue decreased for both food and companion animal health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390.4</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288.0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701.9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381.0</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246.3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627.3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630.5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274.3</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258.6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607.1</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380.9</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99.3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480.2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139</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249.8</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196.9</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367.6</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22</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226.5</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131.3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357.8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332.3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8</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47.1</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159.6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101.5</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85.1</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186.6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224.6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68.7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117.6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133.0</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26.1</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159.1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11.9</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60.4</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81.5</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141.9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127.8</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124.4</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14.3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138.7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335.4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277.7</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43</w:t>
            </w:r>
          </w:p>
        </w:tc>
      </w:tr>
      <w:tr>
        <w:trPr>
          <w:trHeight w:val="269"/>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406.5</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378.3</w:t>
            </w: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784.8</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859.8</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1"/>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3,323.9</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2,500.3</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5,824.3</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5,404.8</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8</w:t>
            </w:r>
          </w:p>
        </w:tc>
      </w:tr>
      <w:tr>
        <w:trPr>
          <w:trHeight w:val="463"/>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43</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839.4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547.3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1,386.8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1,308.2</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677.7</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483.2</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1,160.9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1,207.2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501.6</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521.2</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677.2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176.0</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853.1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344.9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147</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427.4</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366.7</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686.3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16</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431.9</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240.4</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672.3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688.7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223.9</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158.9</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412.7</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81.2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300.0</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381.2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435.2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134.9</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222.7</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262.2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51.3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313.5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348.6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251.6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288.3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(32)</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248.0</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22.7</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270.7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266.6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105.8</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149.1</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254.9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212.3</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23.1</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235.4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577.0</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547.1</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1,123.9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849.7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32</w:t>
            </w:r>
          </w:p>
        </w:tc>
      </w:tr>
      <w:tr>
        <w:trPr>
          <w:trHeight w:val="269"/>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820.3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733.8</w:t>
            </w: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1,554.2</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1,614.4</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1"/>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6,257.5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4,795.1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11,052.6</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10,269.9</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7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5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Revenue of Humalog, our injectable human insulin analog for the treatment of diabetes, decreased 7 percent in the U.S. during the second quarter of 2017, due to lower realized prices and, to a lesser extent, decreased volume. For the first six months of 2017, revenue increased 7 percent in the U.S., driven by decreased revenue in the first quarter of 2016 resulting from changes in estimates for rebates and discounts. Revenue outside the U.S. increased 2 percent and 4 percent during the three and six months ended June 30, 2017, respectively, driven by increased volume and, to a lesser extent, higher realized prices, partially offset by the unfavorable impact of foreign exchange rates.</w:t>
      </w:r>
    </w:p>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of Cialis, a treatment for erectile dysfunction and benign prostatic hyperplasia, decreased 1 percent and 4 percent in the U.S. during the three and six months ended June 30, 2017, respectively, driven by decreased demand, partially offset by higher realized prices. Revenue outside the U.S. remained relatively flat in the second quarter of 2017, driven by the unfavorable impact of foreign exchange rates and decreased volume, almost entirely offset by higher realized prices. For the first six months of 2017, revenue outside the U.S. decreased 3 percent, driven by decreased volume and, to a lesser extent, the unfavorable impact of foreign exchange rates, partially offset by higher realized prices. We will lose our compound patent protection for Cialis in major European markets in November 2017 and now expect U.S. exclusivity for Cialis to end at the earliest in late September 2018. See "Other Matters—Patent Matters" for more information regarding our U.S. exclusivity. In addition to potential competition from generic tadalafil, we also currently face competition from generic sildenafil, which we expect to accelerate during 2018. We expect that the entry of generic competition following the loss of exclusivity will cause a rapid and severe decline in revenue.</w:t>
      </w:r>
    </w:p>
    <w:p>
      <w:pPr>
        <w:spacing w:after="0" w:line="7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Revenue of Alimta, a treatment for various cancers, decreased 6 percent and 9 percent in the U.S. during the three and six months ended June 30, 2017, respectively, driven by decreased demand due to competitive pressure, partially offset by higher realized prices. Revenue outside the U.S. decreased 18 percent and 16 percent during the three and six months ended June 30, 2017, respectively, driven by lower realized prices, increased competition, the loss of exclusivity in several countries and, to a lesser extent, the unfavorable impact of foreign exchange rates. We have faced and remain exposed to generic entry in multiple countries that has eroded revenue and is likely to continue to erode revenue from current levels.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54" w:right="239" w:bottom="1440" w:gutter="0" w:footer="0" w:header="0"/>
        </w:sectPr>
      </w:pPr>
    </w:p>
    <w:bookmarkStart w:id="44" w:name="page45"/>
    <w:bookmarkEnd w:id="44"/>
    <w:p>
      <w:pPr>
        <w:jc w:val="both"/>
        <w:ind w:right="60"/>
        <w:spacing w:after="0" w:line="271" w:lineRule="auto"/>
        <w:rPr>
          <w:sz w:val="20"/>
          <w:szCs w:val="20"/>
          <w:color w:val="auto"/>
        </w:rPr>
      </w:pPr>
      <w:r>
        <w:rPr>
          <w:rFonts w:ascii="Arial" w:cs="Arial" w:eastAsia="Arial" w:hAnsi="Arial"/>
          <w:sz w:val="18"/>
          <w:szCs w:val="18"/>
          <w:color w:val="auto"/>
        </w:rPr>
        <w:t>Revenue of Trulicity, a treatment for type 2 diabetes, in the U.S. during the three and six months ended June 30, 2017, was driven by growth in the GLP-1 market and increased share of market for Trulicity. Revenue outside the U.S. during the three and six months ended June 30, 2017, was primarily driven by uptake in Europe and Japan.</w:t>
      </w:r>
    </w:p>
    <w:p>
      <w:pPr>
        <w:spacing w:after="0" w:line="5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34 percent and 28 percent in the U.S. during the three and six months ended June 30, 2017, respectively, driven by higher realized prices and, to a lesser extent, increased volume. Revenue outside the U.S. increased 9 percent during the second quarter of 2017, driven by increased volume and, to a lesser extent, higher realized prices, partially offset by the unfavorable impact of foreign exchange rates. For the first six months of 2017, revenue outside the U.S. increased 4 percent, driven by increased volume, partially offset by lower realized prices and, to a lesser extent the unfavorable impact of foreign exchange rates.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of Humulin, an injectable human insulin for the treatment of diabetes, increased 11 percent in the U.S. during the second quarter of 2017, driven by higher realized prices and, to a lesser extent, increased volume. For the first six months of 2017, revenue decreased 3 percent in the U.S., primarily driven by a change in estimate in the first quarter of 2016 for a government rebate, which increased revenue in that period and, to a lesser extent, decreased volume. Revenue outside the U.S. increased 3 percent during the second quarter of 2017, driven by increased volume, partially offset by lower realized prices and, to a lesser extent, the unfavorable impact of foreign exchange rates. For the first six months of 2017, revenue decreased 2 percent outside the U.S., driven by lower realized prices and, to a lesser extent, the unfavorable impact of foreign exchange rates, partially offset by increased volume.</w:t>
      </w:r>
    </w:p>
    <w:p>
      <w:pPr>
        <w:spacing w:after="0" w:line="6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Revenue of Strattera, a treatment for attention-deficit hyperactivity disorder, decreased 29 percent and 14 percent in the U.S. during the three and six months ended June 30, 2017, respectively, driven by the loss of exclusivity in the second quarter of 2017, partially offset by higher realized prices. We lost our patent protection for Strattera in the U.S. in May 2017. The entry of generic competition following the loss of effective patent protection has caused a rapid and severe decline in revenue. Revenue outside the U.S. increased 5 percent and 4 percent during the three and six months ended June 30, 2017, respectively, driven by increased volume in Japan, partially offset by lower realized prices and the unfavorable impact of foreign exchange rates.</w:t>
      </w:r>
    </w:p>
    <w:p>
      <w:pPr>
        <w:spacing w:after="0" w:line="6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was $47.1 million and $81.2 million in the U.S. during the three and six months ended June 30, 2017, respectively, compared to $60.5 million and $83.8 million during the three and six months ended June 30, 2016, respectively. Cymbalta revenue decreased 9 percent and 15 percent outside the U.S. during the three and six months ended June 30, 2017, respectively, primarily driven by the loss of exclusivity in Canada and Europe.</w:t>
      </w:r>
    </w:p>
    <w:p>
      <w:pPr>
        <w:spacing w:after="0" w:line="6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Revenue of Cyramza, a treatment for various cancers, increased 1 percent in the U.S. during the second quarter of 2017, driven by higher realized prices, partially offset by decreased demand due to competitive pressure. For the first six months of 2017, revenue decreased 3 percent in the U.S., driven by decreased demand due to competitive pressure and lower realized prices. Revenue outside the U.S. increased 49 percent and 61 percent during the three and six months ended June 30, 2017, respectively, primarily due to strong volume growth in Japan, partially offset by lower realized prices.</w:t>
      </w:r>
    </w:p>
    <w:p>
      <w:pPr>
        <w:spacing w:after="0" w:line="6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Revenue of Erbitux, a treatment for various cancers, decreased 15 percent and 12 percent in the U.S. during the second quarter and first six months of 2017, respectively, due to competitive pressure from immuno-oncology products.</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Worldwide food animal revenue decreased 14 percent and 9 percent during the three and six months ended June 30, 2017, respectively, driven by market access pressure and competitive pressure in cattle and swine. Worldwide companion animal revenue increased 1 percent and 6 percent during the three and six months ended June 30, 2017, respectively, driven by the inclusion of $78.3 million and $119.0 million in revenue from the BIVIVP acquisition during the three and six months ended June 30, 2017, respectively, partially offset by wholesale buying patterns in the second quarter of 2016 and worldwide competitive pressure. We expect these pressures to continue, to a lesser extent, for the balance of 2017, and expect both market and competitive pressures to continue in the longer term for food animal products.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margin as a percent of revenue increased 0.5 percentage points to 73.4 percent and increased 1.0 percentage points to 73.9 percent for the three and six months ended June 30, 2017, respectively. The increase in gross margin percent for the three and six months ended June 30, 2017 was primarily due to manufacturing efficiencies and higher realized prices, partially offset by higher expenses to support new pharmaceutical products and negative product mix.</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Research and development expenses decreased 6 percent to $1.25 billion and 3 percent to $2.49 billion for the three and six months ended June 30, 2017, respectively. The decreases were driven primarily by a $100.0 million charge in the second quarter of 2016 related to a development milestone for lanabecestat, currently in development with AstraZeneca. See Note 4 to the consolidated condensed financial statements for additional information.</w:t>
      </w:r>
    </w:p>
    <w:p>
      <w:pPr>
        <w:spacing w:after="0" w:line="6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Marketing, selling, and administrative expenses increased 5 percent to $1.71 billion and increased 5 percent to $3.25 billion for the three and six months ended June 30, 2017, respectively, due to increased expenses related to new pharmaceutical products, partially offset by decreased expenses related to late life-cycle products.</w:t>
      </w:r>
    </w:p>
    <w:p>
      <w:pPr>
        <w:spacing w:after="0" w:line="55"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We recognized no acquired IPR&amp;D charges in the second quarter of 2017 or the three and six months ended June 30, 2016. For the the first six months of 2017, we recognized $857.6 million in acquired IPR&amp;D charges associated with the acquisition of CoLucid. See Note 3 to the consolidated condensed financial statements for additional information.</w:t>
      </w:r>
    </w:p>
    <w:p>
      <w:pPr>
        <w:spacing w:after="0" w:line="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recognized asset impairment, restructuring, and other special charges of $50.0 million and $263.9 million for the three and six months ended June 30, 2017, respectively, compared with charges of $ 58.0 million and $189.4 million for the three and six months ended June 30, 2016, respectively. The charges for the second quarter of 2017 were primarily due to integration costs related to the acquisition of Novartis AH, as well as asset impairments primarily related to animal health assets. The charges for the first six months of 2017 were due to severance costs incurred as a result of actions taken to reduce our cost structure, integration costs related to the acquisition of Novartis AH, and asset impairments related to animal health assets, as well as exit fees due to site closures. The charges for the first six months of 2016 were associated with asset impairments related to the closure of an animal health manufacturing facility in Ireland as well as integration and severance costs related to the acquisition of Novartis AH. See Note 5 to the consolidated condensed financial statements for additional information.</w:t>
      </w:r>
    </w:p>
    <w:p>
      <w:pPr>
        <w:spacing w:after="0" w:line="7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Other–net, (income) expense was expense of $3.9 million and income of $11.2 million for the second quarter and first six months of 2017, respectively, compared with income of $21.2 million and expense of $127.8 million for the second quarter and first six months of 2016. Other expense during the first six months of 2016 was driven by a $ 203.9 million charge related to the impact of the Venezuelan financial crisis, including the significant deterioration of the bolívar. See Note 12 to the consolidated condensed financial statements for additional information.</w:t>
      </w:r>
    </w:p>
    <w:p>
      <w:pPr>
        <w:spacing w:after="0" w:line="4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effective tax rates were 20.0 percent and 32.1 percent for the three and six months ended June 30, 2017, respectively, compared with 20.8 percent and 21.4 percent for the same respective periods of 2016. The increase in the effective tax rate for the first six months of 2017 is primarily due to the impact from the nondeductible $857.6 million acquired IPR&amp;D charge for the acquisition of CoLucid.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Cash and cash equivalents decreased to $3.07 billion as of June 30, 2017, compared with $4.58 billion as of December 31, 2016. Refer to the consolidated condensed statements of cash flows for additional details on the significant sources and uses of cash for the six months ended June 30, 2017 and 2016.</w:t>
      </w:r>
    </w:p>
    <w:p>
      <w:pPr>
        <w:spacing w:after="0" w:line="5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$8.09 billion and $6.66 billion as of June 30, 2017 and December 31, 2016, respectively. See Note 6 to the consolidated condensed financial statements for additional details.</w:t>
      </w:r>
    </w:p>
    <w:p>
      <w:pPr>
        <w:spacing w:after="0" w:line="3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Total debt increased to $12.31 billion as of June 30, 2017, compared with $10.31 billion as of December 31, 2016. The increase was primarily due to the cash proceeds of $2.23 billion from the issuance of fixed-rate notes and, to a lesser extent, the net increase in the balance of commercial paper outstanding of $125.7 million, partially offset by the repayment of $ 630.5 million of long term debt. See Note 6 to the consolidated condensed financial statements for additional details regarding the May 2017 debt issuance. At June 30, 2017, we had a total of $5.17 billion of committed bank credit facilities, $5.00 billion of which is available to support our commercial paper program. We believe that amounts accessible through existing commercial paper markets should be adequate to fund short-term borrowings.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74" w:right="259" w:bottom="1440" w:gutter="0" w:footer="0" w:header="0"/>
        </w:sectPr>
      </w:pPr>
    </w:p>
    <w:bookmarkStart w:id="46" w:name="page47"/>
    <w:bookmarkEnd w:id="46"/>
    <w:p>
      <w:pPr>
        <w:ind w:right="180"/>
        <w:spacing w:after="0" w:line="292" w:lineRule="auto"/>
        <w:rPr>
          <w:sz w:val="20"/>
          <w:szCs w:val="20"/>
          <w:color w:val="auto"/>
        </w:rPr>
      </w:pPr>
      <w:r>
        <w:rPr>
          <w:rFonts w:ascii="Arial" w:cs="Arial" w:eastAsia="Arial" w:hAnsi="Arial"/>
          <w:sz w:val="18"/>
          <w:szCs w:val="18"/>
          <w:color w:val="auto"/>
        </w:rPr>
        <w:t>During the six months ended June 30, 2017, we repurchased $259.9 million of shares associated with our previously announced $5.00 billion share repurchase program.</w:t>
      </w:r>
    </w:p>
    <w:p>
      <w:pPr>
        <w:spacing w:after="0" w:line="3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3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See "Other Matters—Patent Matters" for information regarding recent and upcoming losses of patent protection for Zyprexa (Japan), Alimta (U.S., Europe, and Japan), Strattera (U.S.), Effient (U.S.), Cialis (U.S. and Europe), and Adcirca (U.S. and Europe).</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Full-year 2017 EPS is now anticipated to be in the range of $2.51 to $2.61. We now expect 2017 revenue of between $22.0 billion and $ 22.5 billion. Excluding the impact of foreign exchange rates, we expect revenue growth from new pharmaceutical products including Trulicity, Taltz, Basaglar, Cyramza, Jardiance, and Lartruvo, as well as a number of established pharmaceutical products including Trajenta, Forteo, and Humalog.</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Gross margin as a percent of revenue is now expected to be approximately 72.5 percent. Research and development expenses are now expected to be in the range of $5.0 billion to $5.2 billion. Marketing, selling, and administrative expenses are still expected to be in the range of $6.4 billion to $6.6 billion. Other—net, (income) expense is still expected to be income of up to $100 million.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2017 tax rate is now expected to be approximately 23.5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now expected to be approximately $1.1 billion.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1" w:lineRule="exact"/>
        <w:rPr>
          <w:sz w:val="20"/>
          <w:szCs w:val="20"/>
          <w:color w:val="auto"/>
        </w:rPr>
      </w:pPr>
    </w:p>
    <w:p>
      <w:pPr>
        <w:ind w:left="660" w:right="60" w:hanging="652"/>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67" w:lineRule="exact"/>
        <w:rPr>
          <w:rFonts w:ascii="Arial" w:cs="Arial" w:eastAsia="Arial" w:hAnsi="Arial"/>
          <w:sz w:val="18"/>
          <w:szCs w:val="18"/>
          <w:color w:val="auto"/>
        </w:rPr>
      </w:pPr>
    </w:p>
    <w:p>
      <w:pPr>
        <w:ind w:left="660" w:right="260"/>
        <w:spacing w:after="0" w:line="271"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Derica W. Rice, executive vice president, global services, and chief financial officer, evaluated our disclosure controls and procedures as of June 30, 2017, and concluded that they are effective.</w:t>
      </w:r>
    </w:p>
    <w:p>
      <w:pPr>
        <w:spacing w:after="0" w:line="55" w:lineRule="exact"/>
        <w:rPr>
          <w:rFonts w:ascii="Arial" w:cs="Arial" w:eastAsia="Arial" w:hAnsi="Arial"/>
          <w:sz w:val="18"/>
          <w:szCs w:val="18"/>
          <w:color w:val="auto"/>
        </w:rPr>
      </w:pPr>
    </w:p>
    <w:p>
      <w:pPr>
        <w:ind w:left="660" w:right="100" w:hanging="652"/>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second quarter of 2017,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684" w:right="259" w:bottom="1440" w:gutter="0" w:footer="0" w:header="0"/>
        </w:sectPr>
      </w:pPr>
    </w:p>
    <w:bookmarkStart w:id="47" w:name="page48"/>
    <w:bookmarkEnd w:id="47"/>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64"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36"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Cymbalta.</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2016 (Part I, Item 3) and our Quarterly Reports on Form 10-Q for the quarters ended March 31, 2017 (Part II, Item 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named as a defendant in approximately 495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760 plaintiffs. Approximately 60 of these lawsuits, covering about 320 plaintiffs, are filed in California state court and coordinated in a Los Angeles Superior Court. Approximately 435 lawsuits, covering about 440 plaintiffs, are filed in federal court, the majority of which are coordinated in a multidistrict litigation (MDL) in the U.S. District Court for the Southern District of California. The remaining three lawsuits, representing four plaintiffs, are in various other state courts. Approximately 485 of the lawsuits, involving approximately 720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co-defendants on the claims alleging pancreatic cancer; those rulings are being appealed by the plaintiffs.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7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are named as a defendant in approximately 540 Axiron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540 plaintiffs. In about one-third of the cases, other manufacturers of testosterone are named as co-defendants. Nearly all of these lawsuits have been consolidated in a federal MDL in the U.S. District Court for the Northern District of Illinois. A small number of lawsuits have been filed in state courts. The cases generally allege cardiovascular and related injuries. Medical Mutual of Ohio has filed a class action complaint against multiple manufacturers of testosterone products in the Northern District of Illinois, on behalf of third party payers who paid for those products. The complainant is seeking damages under various state consumer protection laws and the federal Racketeer Influenced and Corrupt Organizations Act (the federal RICO Act). We believe these lawsuits and claims are without merit and are prepared to defend against them vigorously.</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are named as a defendant in approximately 110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are prepared to defend against them vigorously.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Litigation</w:t>
      </w:r>
    </w:p>
    <w:p>
      <w:pPr>
        <w:spacing w:after="0" w:line="11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Boehringer Ingelheim, our partner in marketing and development of Trajenta, is engaged in various U.S. patent litigation matters involving Trajenta/Jentadueto in accordance with the procedures set out in the Drug Price Competition and Patent Term Restoration Act of 1984. Eleven groups of companies submitted Abbreviated New Drug Applications seeking approval to market generic versions of Trajenta prior to the expiration of Trajenta/Jentadueto patents, alleging certain patents, including in some allegations the compound patent, are invalid or would not be infringed. Trial is currently scheduled for the second quarter of 2018.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7" w:right="239" w:bottom="1440" w:gutter="0" w:footer="0" w:header="0"/>
        </w:sectPr>
      </w:pPr>
    </w:p>
    <w:bookmarkStart w:id="48" w:name="page49"/>
    <w:bookmarkEnd w:id="48"/>
    <w:p>
      <w:pPr>
        <w:ind w:right="260"/>
        <w:spacing w:after="0" w:line="264" w:lineRule="auto"/>
        <w:rPr>
          <w:sz w:val="20"/>
          <w:szCs w:val="20"/>
          <w:color w:val="auto"/>
        </w:rPr>
      </w:pPr>
      <w:r>
        <w:rPr>
          <w:rFonts w:ascii="Arial" w:cs="Arial" w:eastAsia="Arial" w:hAnsi="Arial"/>
          <w:sz w:val="18"/>
          <w:szCs w:val="18"/>
          <w:color w:val="auto"/>
        </w:rPr>
        <w:t>In July 2017, we entered into a settlement agreement with eleven generic companies to resolve pending patent litigation in the U.S. District Court for the Eastern District of Virginia (</w:t>
      </w:r>
      <w:r>
        <w:rPr>
          <w:rFonts w:ascii="Arial" w:cs="Arial" w:eastAsia="Arial" w:hAnsi="Arial"/>
          <w:sz w:val="18"/>
          <w:szCs w:val="18"/>
          <w:i w:val="1"/>
          <w:iCs w:val="1"/>
          <w:color w:val="auto"/>
        </w:rPr>
        <w:t>Eli Lilly and Company and Icos Corporation v. Actavis Laboratories UT, Inc, et.,)</w:t>
      </w:r>
      <w:r>
        <w:rPr>
          <w:rFonts w:ascii="Arial" w:cs="Arial" w:eastAsia="Arial" w:hAnsi="Arial"/>
          <w:sz w:val="18"/>
          <w:szCs w:val="18"/>
          <w:color w:val="auto"/>
        </w:rPr>
        <w:t xml:space="preserve"> regarding the Cialis (tadalafil) unit dose patent. This patent was previously set to expire on April 26, 2020. As part of the agreement, Cialis exclusivity is now expected to end at the earliest in late September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We have received a civil investigative demand from the State of Minnesota's Office of the Attorney General relating to the pricing and sale of our insulin products. We are cooperating with this investigation.</w:t>
      </w:r>
    </w:p>
    <w:p>
      <w:pPr>
        <w:spacing w:after="0" w:line="5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Offices of Attorneys General in California and Florida have requested information relating to the pricing of our insulin products. We are cooperating with these requests.</w:t>
      </w:r>
    </w:p>
    <w:p>
      <w:pPr>
        <w:spacing w:after="0" w:line="5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We, along with Novo Nordisk and various pharmacy benefit managers, are named as defendants in a lawsuit seeking class action status in the U.S. District Court of the Western District of Washington relating to Glucagon pricing. The complainants are seeking damages under various state consumer protection laws, the federal RICO Act, the Sherman Act, and other state and federal laws. We believe this lawsuit and these claims are without merit and are prepared to defend against them vigorously.</w:t>
      </w:r>
    </w:p>
    <w:p>
      <w:pPr>
        <w:spacing w:after="0" w:line="4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2016. There have been no material changes from the risk factors previously disclosed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 Number of Shares</w:t>
            </w:r>
          </w:p>
        </w:tc>
        <w:tc>
          <w:tcPr>
            <w:tcW w:w="2200" w:type="dxa"/>
            <w:vAlign w:val="bottom"/>
          </w:tcPr>
          <w:p>
            <w:pPr>
              <w:jc w:val="center"/>
              <w:ind w:right="18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Purchased as Part of</w:t>
            </w:r>
          </w:p>
        </w:tc>
        <w:tc>
          <w:tcPr>
            <w:tcW w:w="2200" w:type="dxa"/>
            <w:vAlign w:val="bottom"/>
          </w:tcPr>
          <w:p>
            <w:pPr>
              <w:jc w:val="center"/>
              <w:ind w:right="12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20" w:type="dxa"/>
            <w:vAlign w:val="bottom"/>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tcPr>
          <w:p>
            <w:pPr>
              <w:spacing w:after="0"/>
              <w:rPr>
                <w:sz w:val="14"/>
                <w:szCs w:val="14"/>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Publicly Announced</w:t>
            </w:r>
          </w:p>
        </w:tc>
        <w:tc>
          <w:tcPr>
            <w:tcW w:w="220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20" w:type="dxa"/>
            <w:vAlign w:val="bottom"/>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 Purchased</w:t>
            </w: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Plans or Programs</w:t>
            </w:r>
          </w:p>
        </w:tc>
        <w:tc>
          <w:tcPr>
            <w:tcW w:w="2200" w:type="dxa"/>
            <w:vAlign w:val="bottom"/>
          </w:tcPr>
          <w:p>
            <w:pPr>
              <w:jc w:val="center"/>
              <w:ind w:right="121"/>
              <w:spacing w:after="0"/>
              <w:rPr>
                <w:sz w:val="20"/>
                <w:szCs w:val="20"/>
                <w:color w:val="auto"/>
              </w:rPr>
            </w:pPr>
            <w:r>
              <w:rPr>
                <w:rFonts w:ascii="Arial" w:cs="Arial" w:eastAsia="Arial" w:hAnsi="Arial"/>
                <w:sz w:val="14"/>
                <w:szCs w:val="14"/>
                <w:b w:val="1"/>
                <w:bCs w:val="1"/>
                <w:color w:val="auto"/>
              </w:rPr>
              <w:t>Plans or Programs</w:t>
            </w:r>
          </w:p>
        </w:tc>
      </w:tr>
      <w:tr>
        <w:trPr>
          <w:trHeight w:val="203"/>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2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65"/>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2017</w:t>
            </w:r>
          </w:p>
        </w:tc>
        <w:tc>
          <w:tcPr>
            <w:tcW w:w="2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   $</w:t>
            </w:r>
          </w:p>
        </w:tc>
        <w:tc>
          <w:tcPr>
            <w:tcW w:w="2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2,350.4</w:t>
            </w:r>
          </w:p>
        </w:tc>
      </w:tr>
      <w:tr>
        <w:trPr>
          <w:trHeight w:val="265"/>
        </w:trPr>
        <w:tc>
          <w:tcPr>
            <w:tcW w:w="2620" w:type="dxa"/>
            <w:vAlign w:val="bottom"/>
          </w:tcPr>
          <w:p>
            <w:pPr>
              <w:ind w:left="40"/>
              <w:spacing w:after="0"/>
              <w:rPr>
                <w:sz w:val="20"/>
                <w:szCs w:val="20"/>
                <w:color w:val="auto"/>
              </w:rPr>
            </w:pPr>
            <w:r>
              <w:rPr>
                <w:rFonts w:ascii="Arial" w:cs="Arial" w:eastAsia="Arial" w:hAnsi="Arial"/>
                <w:sz w:val="18"/>
                <w:szCs w:val="18"/>
                <w:color w:val="auto"/>
              </w:rPr>
              <w:t>May 2017</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1,247.7</w:t>
            </w:r>
          </w:p>
        </w:tc>
        <w:tc>
          <w:tcPr>
            <w:tcW w:w="280" w:type="dxa"/>
            <w:vAlign w:val="bottom"/>
          </w:tcPr>
          <w:p>
            <w:pPr>
              <w:spacing w:after="0"/>
              <w:rPr>
                <w:sz w:val="23"/>
                <w:szCs w:val="23"/>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80.07</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1,247.7</w:t>
            </w:r>
          </w:p>
        </w:tc>
        <w:tc>
          <w:tcPr>
            <w:tcW w:w="320" w:type="dxa"/>
            <w:vAlign w:val="bottom"/>
          </w:tcPr>
          <w:p>
            <w:pPr>
              <w:spacing w:after="0"/>
              <w:rPr>
                <w:sz w:val="23"/>
                <w:szCs w:val="23"/>
                <w:color w:val="auto"/>
              </w:rPr>
            </w:pPr>
          </w:p>
        </w:tc>
        <w:tc>
          <w:tcPr>
            <w:tcW w:w="2200" w:type="dxa"/>
            <w:vAlign w:val="bottom"/>
          </w:tcPr>
          <w:p>
            <w:pPr>
              <w:jc w:val="right"/>
              <w:ind w:right="41"/>
              <w:spacing w:after="0"/>
              <w:rPr>
                <w:sz w:val="20"/>
                <w:szCs w:val="20"/>
                <w:color w:val="auto"/>
              </w:rPr>
            </w:pPr>
            <w:r>
              <w:rPr>
                <w:rFonts w:ascii="Arial" w:cs="Arial" w:eastAsia="Arial" w:hAnsi="Arial"/>
                <w:sz w:val="18"/>
                <w:szCs w:val="18"/>
                <w:color w:val="auto"/>
              </w:rPr>
              <w:t>2,250.5</w:t>
            </w: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2017</w:t>
            </w:r>
          </w:p>
        </w:tc>
        <w:tc>
          <w:tcPr>
            <w:tcW w:w="1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1,197.4</w:t>
            </w: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83.51</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1,197.4</w:t>
            </w:r>
          </w:p>
        </w:tc>
        <w:tc>
          <w:tcPr>
            <w:tcW w:w="32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2,150.5</w:t>
            </w:r>
          </w:p>
        </w:tc>
      </w:tr>
      <w:tr>
        <w:trPr>
          <w:trHeight w:val="262"/>
        </w:trPr>
        <w:tc>
          <w:tcPr>
            <w:tcW w:w="262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2,445.0</w:t>
            </w:r>
          </w:p>
        </w:tc>
        <w:tc>
          <w:tcPr>
            <w:tcW w:w="28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81.76</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2,445.0</w:t>
            </w: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During the three months ended June 30, 2017, we repurchased $199.9 million of shares associated with our $5.00 billion share repurchase program announced in October 2013.</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71"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Amended Articles of Incorporation</w:t>
      </w:r>
    </w:p>
    <w:p>
      <w:pPr>
        <w:sectPr>
          <w:pgSz w:w="11900" w:h="16838" w:orient="portrait"/>
          <w:cols w:equalWidth="0" w:num="1">
            <w:col w:w="11420"/>
          </w:cols>
          <w:pgMar w:left="240" w:top="576"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 xml:space="preserve">The Lilly Directors’ Deferral Plan, as amended and restated effective January 1, 2017 </w:t>
      </w:r>
      <w:r>
        <w:rPr>
          <w:rFonts w:ascii="Arial" w:cs="Arial" w:eastAsia="Arial" w:hAnsi="Arial"/>
          <w:sz w:val="10"/>
          <w:szCs w:val="10"/>
          <w:color w:val="auto"/>
        </w:rPr>
        <w:t>(1)</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44"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160"/>
        <w:spacing w:after="0" w:line="4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5"/>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28,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28,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576" w:right="239" w:bottom="1440" w:gutter="0" w:footer="0" w:header="0"/>
          <w:type w:val="continuous"/>
        </w:sectPr>
      </w:pPr>
    </w:p>
    <w:bookmarkStart w:id="50" w:name="page51"/>
    <w:bookmarkEnd w:id="50"/>
    <w:p>
      <w:pPr>
        <w:spacing w:after="0" w:line="200" w:lineRule="auto"/>
        <w:framePr w:w="280" w:h="163" w:wrap="auto" w:vAnchor="page" w:hAnchor="page" w:x="5820" w:y="7000"/>
        <w:rPr>
          <w:rFonts w:ascii="Arial" w:cs="Arial" w:eastAsia="Arial" w:hAnsi="Arial"/>
          <w:sz w:val="17"/>
          <w:szCs w:val="17"/>
          <w:color w:val="auto"/>
        </w:rPr>
      </w:pPr>
      <w:r>
        <w:rPr>
          <w:rFonts w:ascii="Arial" w:cs="Arial" w:eastAsia="Arial" w:hAnsi="Arial"/>
          <w:sz w:val="17"/>
          <w:szCs w:val="17"/>
          <w:color w:val="auto"/>
        </w:rPr>
        <w:t>51</w:t>
      </w:r>
    </w:p>
    <w:p>
      <w:pPr>
        <w:spacing w:after="0" w:line="211" w:lineRule="auto"/>
        <w:framePr w:w="8580" w:h="366" w:wrap="auto" w:vAnchor="page" w:hAnchor="page" w:x="2860" w:y="1625"/>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Amended Articles of Incorporation are incorporated by reference to Exhibit 3.1 to the Company's Report on</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Form 10-K for the year ended December 31, 2013.</w:t>
        </w:r>
      </w:hyperlink>
    </w:p>
    <w:p>
      <w:pPr>
        <w:spacing w:after="0" w:line="211" w:lineRule="auto"/>
        <w:framePr w:w="8540" w:h="366" w:wrap="auto" w:vAnchor="page" w:hAnchor="page" w:x="2860" w:y="2408"/>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By-laws, as amended, are incorporated by reference to Exhibit 99.1 to the Company's Report on Form 8-K</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filed February 27, 2012.</w:t>
        </w:r>
      </w:hyperlink>
    </w:p>
    <w:p>
      <w:pPr>
        <w:spacing w:after="0" w:line="200" w:lineRule="auto"/>
        <w:framePr w:w="6860" w:h="163" w:wrap="auto" w:vAnchor="page" w:hAnchor="page" w:x="2860" w:y="3205"/>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The Lilly Directors’ Deferral Plan, as amended and restated effective January 1, 2017</w:t>
        </w:r>
      </w:hyperlink>
    </w:p>
    <w:p>
      <w:pPr>
        <w:spacing w:after="0" w:line="188" w:lineRule="auto"/>
        <w:framePr w:w="5300" w:h="163" w:wrap="auto" w:vAnchor="page" w:hAnchor="page" w:x="2860" w:y="3786"/>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Statement re: Computation of Ratio of Earnings to Fixed Charges</w:t>
        </w:r>
      </w:hyperlink>
    </w:p>
    <w:p>
      <w:pPr>
        <w:spacing w:after="0" w:line="200" w:lineRule="auto"/>
        <w:framePr w:w="7720" w:h="163" w:wrap="auto" w:vAnchor="page" w:hAnchor="page" w:x="2860" w:y="4366"/>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Rule 13a-14(a) Certification of David A. Ricks, Chairman, President, and Chief Executive Officer</w:t>
        </w:r>
      </w:hyperlink>
    </w:p>
    <w:p>
      <w:pPr>
        <w:spacing w:after="0" w:line="211" w:lineRule="auto"/>
        <w:framePr w:w="8760" w:h="366" w:wrap="auto" w:vAnchor="page" w:hAnchor="page" w:x="2860" w:y="4947"/>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Rule 13a-14(a) Certification of Derica W. Rice, Executive Vice President, Global Services and Chief Financial</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Officer</w:t>
        </w:r>
      </w:hyperlink>
    </w:p>
    <w:p>
      <w:pPr>
        <w:spacing w:after="0" w:line="188" w:lineRule="auto"/>
        <w:framePr w:w="2140" w:h="163" w:wrap="auto" w:vAnchor="page" w:hAnchor="page" w:x="2860" w:y="573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Section 1350 Certification</w:t>
        </w:r>
      </w:hyperlink>
    </w:p>
    <w:p>
      <w:pPr>
        <w:spacing w:after="0" w:line="188" w:lineRule="auto"/>
        <w:framePr w:w="1780" w:h="163" w:wrap="auto" w:vAnchor="page" w:hAnchor="page" w:x="2860" w:y="6311"/>
        <w:rPr>
          <w:rFonts w:ascii="Arial" w:cs="Arial" w:eastAsia="Arial" w:hAnsi="Arial"/>
          <w:sz w:val="18"/>
          <w:szCs w:val="18"/>
          <w:u w:val="single" w:color="auto"/>
          <w:color w:val="0000EE"/>
        </w:rPr>
      </w:pPr>
      <w:r>
        <w:rPr>
          <w:rFonts w:ascii="Arial" w:cs="Arial" w:eastAsia="Arial" w:hAnsi="Arial"/>
          <w:sz w:val="18"/>
          <w:szCs w:val="18"/>
          <w:u w:val="single" w:color="auto"/>
          <w:color w:val="0000EE"/>
        </w:rPr>
        <w:t>Interactive Data Files</w:t>
      </w:r>
    </w:p>
    <w:p>
      <w:pPr>
        <w:spacing w:after="0"/>
        <w:rPr>
          <w:sz w:val="20"/>
          <w:szCs w:val="20"/>
          <w:color w:val="auto"/>
        </w:rPr>
      </w:pPr>
      <w:r>
        <w:rPr>
          <w:rFonts w:ascii="Arial" w:cs="Arial" w:eastAsia="Arial" w:hAnsi="Arial"/>
          <w:sz w:val="18"/>
          <w:szCs w:val="18"/>
          <w:b w:val="1"/>
          <w:bCs w:val="1"/>
          <w:color w:val="auto"/>
        </w:rPr>
        <w:t>Index to Exhibits</w:t>
      </w:r>
    </w:p>
    <w:p>
      <w:pPr>
        <w:spacing w:after="0" w:line="17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u w:val="single" w:color="auto"/>
          <w:color w:val="0000EE"/>
        </w:rPr>
      </w:pPr>
    </w:p>
    <w:p>
      <w:pPr>
        <w:spacing w:after="0" w:line="376"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u w:val="single" w:color="auto"/>
          <w:color w:val="0000EE"/>
        </w:rPr>
      </w:pPr>
    </w:p>
    <w:p>
      <w:pPr>
        <w:spacing w:after="0" w:line="376"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10.</w:t>
      </w:r>
    </w:p>
    <w:p>
      <w:pPr>
        <w:spacing w:after="0" w:line="387"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31.2</w:t>
      </w:r>
    </w:p>
    <w:p>
      <w:pPr>
        <w:spacing w:after="0" w:line="200" w:lineRule="exact"/>
        <w:rPr>
          <w:rFonts w:ascii="Arial" w:cs="Arial" w:eastAsia="Arial" w:hAnsi="Arial"/>
          <w:sz w:val="18"/>
          <w:szCs w:val="18"/>
          <w:u w:val="single" w:color="auto"/>
          <w:color w:val="0000EE"/>
        </w:rPr>
      </w:pPr>
    </w:p>
    <w:p>
      <w:pPr>
        <w:spacing w:after="0" w:line="376"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4"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ELI LILLY AND COMPANY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LILLY DIRECTORS' DEFERRAL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 Amended and Restated Effective January 1, 2017)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Preamble</w:t>
      </w:r>
    </w:p>
    <w:p>
      <w:pPr>
        <w:spacing w:after="0" w:line="224"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The Lilly Directors’ Deferral Plan has been established by the Company for the purpose of providing an opportunity for Directors of the Company who are not salaried employees of the Company to voluntarily defer receipt of some or all of their meeting fees and retainer and to share in the long-term growth of the Company by acquiring, on a deferred basis, an ownership interest in the Company. Subject to adjustment as provided in Section 5(f), and contingent upon receiving approval of the Company’s shareholders, effective January 1, 2017, the aggregate number of shares of Eli Lilly and Company common stock that may be issued or transferred under this Plan is 1,500,000. For the period beginning April 29, 2003, and ending December 31, 2016, the aggregate number of authorized shares was 750,000. Shares issued under the Plan may be authorized and unissued shares or treasury shares.</w:t>
      </w:r>
    </w:p>
    <w:p>
      <w:pPr>
        <w:spacing w:after="0" w:line="227" w:lineRule="exact"/>
        <w:rPr>
          <w:sz w:val="20"/>
          <w:szCs w:val="20"/>
          <w:color w:val="auto"/>
        </w:rPr>
      </w:pPr>
    </w:p>
    <w:p>
      <w:pPr>
        <w:jc w:val="both"/>
        <w:ind w:right="20" w:firstLine="979"/>
        <w:spacing w:after="0" w:line="257" w:lineRule="auto"/>
        <w:rPr>
          <w:sz w:val="20"/>
          <w:szCs w:val="20"/>
          <w:color w:val="auto"/>
        </w:rPr>
      </w:pPr>
      <w:r>
        <w:rPr>
          <w:rFonts w:ascii="Times New Roman" w:cs="Times New Roman" w:eastAsia="Times New Roman" w:hAnsi="Times New Roman"/>
          <w:sz w:val="22"/>
          <w:szCs w:val="22"/>
          <w:color w:val="auto"/>
        </w:rPr>
        <w:t>The Plan constitutes a plan of unfunded deferred compensation and is intended to comply with the requirements of Section 409A. Notwithstanding any other provision of this Plan, this Plan shall be interpreted, operated and administered in a manner consistent with these intentions.</w:t>
      </w:r>
    </w:p>
    <w:p>
      <w:pPr>
        <w:spacing w:after="0" w:line="214"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For the rules that apply to the distribution of amounts that were earned and vested (within the meaning of Section 409A) under the Plan prior to 2005 (and earnings thereon) and are exempt from the requirements of Section 409A, see Appendix A.</w:t>
      </w:r>
    </w:p>
    <w:p>
      <w:pPr>
        <w:spacing w:after="0" w:line="17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This amendment and restatement of the Plan is effective January 1, 2017, contingent upon approval of the Company’s shareholders at the Company’s 2017 annual meeting.</w:t>
      </w:r>
    </w:p>
    <w:p>
      <w:pPr>
        <w:spacing w:after="0" w:line="200" w:lineRule="exact"/>
        <w:rPr>
          <w:sz w:val="20"/>
          <w:szCs w:val="20"/>
          <w:color w:val="auto"/>
        </w:rPr>
      </w:pPr>
    </w:p>
    <w:p>
      <w:pPr>
        <w:spacing w:after="0" w:line="25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Definition of Terms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following terms used in the Plan shall have the meanings set forth below:</w:t>
      </w:r>
    </w:p>
    <w:p>
      <w:pPr>
        <w:spacing w:after="0" w:line="220" w:lineRule="exact"/>
        <w:rPr>
          <w:sz w:val="20"/>
          <w:szCs w:val="20"/>
          <w:color w:val="auto"/>
        </w:rPr>
      </w:pPr>
    </w:p>
    <w:p>
      <w:pPr>
        <w:jc w:val="both"/>
        <w:ind w:firstLine="1305"/>
        <w:spacing w:after="0" w:line="263" w:lineRule="auto"/>
        <w:tabs>
          <w:tab w:leader="none" w:pos="173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one or more deferred compensation accounts maintained for each Participant under the Plan. A Participant’s Account shall consist of a Deferred Compensation Account and the Deferred Stock Account as described in Section 5 hereof.</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4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Allocation Date</w:t>
      </w:r>
      <w:r>
        <w:rPr>
          <w:rFonts w:ascii="Times New Roman" w:cs="Times New Roman" w:eastAsia="Times New Roman" w:hAnsi="Times New Roman"/>
          <w:sz w:val="22"/>
          <w:szCs w:val="22"/>
          <w:color w:val="auto"/>
        </w:rPr>
        <w:t>” means the date as of which the annual allocation of Shares described in Section 5(c) is credited to the Deferred Stock Account, which shall be as</w:t>
      </w:r>
    </w:p>
    <w:p>
      <w:pPr>
        <w:sectPr>
          <w:pgSz w:w="11900" w:h="16838" w:orient="portrait"/>
          <w:cols w:equalWidth="0" w:num="1">
            <w:col w:w="11420"/>
          </w:cols>
          <w:pgMar w:left="240" w:top="878" w:right="239" w:bottom="1440" w:gutter="0" w:footer="0" w:header="0"/>
        </w:sectPr>
      </w:pPr>
    </w:p>
    <w:bookmarkStart w:id="52" w:name="page53"/>
    <w:bookmarkEnd w:id="52"/>
    <w:p>
      <w:pPr>
        <w:spacing w:after="0" w:line="271" w:lineRule="auto"/>
        <w:rPr>
          <w:sz w:val="20"/>
          <w:szCs w:val="20"/>
          <w:color w:val="auto"/>
        </w:rPr>
      </w:pPr>
      <w:r>
        <w:rPr>
          <w:rFonts w:ascii="Times New Roman" w:cs="Times New Roman" w:eastAsia="Times New Roman" w:hAnsi="Times New Roman"/>
          <w:sz w:val="22"/>
          <w:szCs w:val="22"/>
          <w:color w:val="auto"/>
        </w:rPr>
        <w:t>soon as administratively feasible after the Annual Valuation Date, but in no event later than the last Business Day in November of the applicable Plan Year.</w:t>
      </w:r>
    </w:p>
    <w:p>
      <w:pPr>
        <w:spacing w:after="0" w:line="158" w:lineRule="exact"/>
        <w:rPr>
          <w:sz w:val="20"/>
          <w:szCs w:val="20"/>
          <w:color w:val="auto"/>
        </w:rPr>
      </w:pPr>
    </w:p>
    <w:p>
      <w:pPr>
        <w:ind w:right="20" w:firstLine="1305"/>
        <w:spacing w:after="0" w:line="284" w:lineRule="auto"/>
        <w:tabs>
          <w:tab w:leader="none" w:pos="18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Valuation Date</w:t>
      </w:r>
      <w:r>
        <w:rPr>
          <w:rFonts w:ascii="Times New Roman" w:cs="Times New Roman" w:eastAsia="Times New Roman" w:hAnsi="Times New Roman"/>
          <w:sz w:val="22"/>
          <w:szCs w:val="22"/>
          <w:color w:val="auto"/>
        </w:rPr>
        <w:t>” means the Valuation Date in November of each Plan Year, on which the annual allocation of Shares referenced in Section 5(c) is valued.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8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the person or persons who are designated by the Participant or are otherwise entitled to receive benefits under the Plan in the event of the Participant’s death, as provided in Section 6(d) hereof.</w:t>
      </w:r>
    </w:p>
    <w:p>
      <w:pPr>
        <w:spacing w:after="0" w:line="14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on which the Company’s corporate headquarters are open for regular business.</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Eli Lilly and Company, an Indiana corporation.</w:t>
      </w:r>
    </w:p>
    <w:p>
      <w:pPr>
        <w:spacing w:after="0" w:line="233" w:lineRule="exact"/>
        <w:rPr>
          <w:rFonts w:ascii="Times New Roman" w:cs="Times New Roman" w:eastAsia="Times New Roman" w:hAnsi="Times New Roman"/>
          <w:sz w:val="22"/>
          <w:szCs w:val="22"/>
          <w:color w:val="auto"/>
        </w:rPr>
      </w:pPr>
    </w:p>
    <w:p>
      <w:pPr>
        <w:ind w:right="20" w:firstLine="1305"/>
        <w:spacing w:after="0" w:line="284" w:lineRule="auto"/>
        <w:tabs>
          <w:tab w:leader="none" w:pos="174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Deferral Amount</w:t>
      </w:r>
      <w:r>
        <w:rPr>
          <w:rFonts w:ascii="Times New Roman" w:cs="Times New Roman" w:eastAsia="Times New Roman" w:hAnsi="Times New Roman"/>
          <w:sz w:val="22"/>
          <w:szCs w:val="22"/>
          <w:color w:val="auto"/>
        </w:rPr>
        <w:t>” means the amount of a Participant’s Monthly Compensation that is elected by a Participant for deferral under the Plan.</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Account</w:t>
      </w:r>
      <w:r>
        <w:rPr>
          <w:rFonts w:ascii="Times New Roman" w:cs="Times New Roman" w:eastAsia="Times New Roman" w:hAnsi="Times New Roman"/>
          <w:sz w:val="22"/>
          <w:szCs w:val="22"/>
          <w:color w:val="auto"/>
        </w:rPr>
        <w:t>” means the bookkeeping account described in Section 5(a)(i). A sub-account shall be established within the Deferred Compensation Account for each Plan Year in which a Deferred Stock Participant elects to defer compensation into the Deferred Compensation Account in accordance with Section 4(a).</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Account</w:t>
      </w:r>
      <w:r>
        <w:rPr>
          <w:rFonts w:ascii="Times New Roman" w:cs="Times New Roman" w:eastAsia="Times New Roman" w:hAnsi="Times New Roman"/>
          <w:sz w:val="22"/>
          <w:szCs w:val="22"/>
          <w:color w:val="auto"/>
        </w:rPr>
        <w:t>” means the bookkeeping account described in Section 5(a)(ii). A sub-account shall be established within the Deferred Stock Account for each Plan Year in which a Deferred Stock Participant elects to defer compensation into the Deferred Stock Account in accordance with Section 4(a) or receives allocations of Shares under Section 5, to hold the Shares allocated during such Plan Year.</w:t>
      </w:r>
    </w:p>
    <w:p>
      <w:pPr>
        <w:spacing w:after="0" w:line="172"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Participant</w:t>
      </w:r>
      <w:r>
        <w:rPr>
          <w:rFonts w:ascii="Times New Roman" w:cs="Times New Roman" w:eastAsia="Times New Roman" w:hAnsi="Times New Roman"/>
          <w:sz w:val="22"/>
          <w:szCs w:val="22"/>
          <w:color w:val="auto"/>
        </w:rPr>
        <w:t>” means a Director who is not a salaried employee of the Company.</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 of Directors of the Company.</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Payment Date</w:t>
      </w:r>
      <w:r>
        <w:rPr>
          <w:rFonts w:ascii="Times New Roman" w:cs="Times New Roman" w:eastAsia="Times New Roman" w:hAnsi="Times New Roman"/>
          <w:sz w:val="22"/>
          <w:szCs w:val="22"/>
          <w:color w:val="auto"/>
        </w:rPr>
        <w:t>” means the date as of which the Company pays a cash dividend on Shares.</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93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Record Date</w:t>
      </w:r>
      <w:r>
        <w:rPr>
          <w:rFonts w:ascii="Times New Roman" w:cs="Times New Roman" w:eastAsia="Times New Roman" w:hAnsi="Times New Roman"/>
          <w:sz w:val="22"/>
          <w:szCs w:val="22"/>
          <w:color w:val="auto"/>
        </w:rPr>
        <w:t>” means the date established by the Board of Directors as the record date for determining shareholders entitled to the dividend with respect to any Dividend Payment Date.</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7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means the written or electronic form or forms approved by the Plan Administrator and completed by the Participant specifying the Participant’s election to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53" w:name="page54"/>
    <w:bookmarkEnd w:id="53"/>
    <w:p>
      <w:pPr>
        <w:spacing w:after="0" w:line="271" w:lineRule="auto"/>
        <w:rPr>
          <w:sz w:val="20"/>
          <w:szCs w:val="20"/>
          <w:color w:val="auto"/>
        </w:rPr>
      </w:pPr>
      <w:r>
        <w:rPr>
          <w:rFonts w:ascii="Times New Roman" w:cs="Times New Roman" w:eastAsia="Times New Roman" w:hAnsi="Times New Roman"/>
          <w:sz w:val="22"/>
          <w:szCs w:val="22"/>
          <w:color w:val="auto"/>
        </w:rPr>
        <w:t>defer Monthly Compensation pursuant to Section 4 and setting forth the Participant’s Beneficiary designation and the terms of distribution of the Participant’s Deferred Compensation Account and/or Deferred Stock Account pursuant to Section 6.</w:t>
      </w:r>
    </w:p>
    <w:p>
      <w:pPr>
        <w:spacing w:after="0" w:line="158" w:lineRule="exact"/>
        <w:rPr>
          <w:sz w:val="20"/>
          <w:szCs w:val="20"/>
          <w:color w:val="auto"/>
        </w:rPr>
      </w:pPr>
    </w:p>
    <w:p>
      <w:pPr>
        <w:jc w:val="both"/>
        <w:ind w:firstLine="1305"/>
        <w:spacing w:after="0" w:line="253" w:lineRule="auto"/>
        <w:tabs>
          <w:tab w:leader="none" w:pos="198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Compensation</w:t>
      </w:r>
      <w:r>
        <w:rPr>
          <w:rFonts w:ascii="Times New Roman" w:cs="Times New Roman" w:eastAsia="Times New Roman" w:hAnsi="Times New Roman"/>
          <w:sz w:val="22"/>
          <w:szCs w:val="22"/>
          <w:color w:val="auto"/>
        </w:rPr>
        <w:t>” means the monthly retainer and the aggregate of all other fees and retainers, including, but not limited to,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5 of this Plan.</w:t>
      </w:r>
    </w:p>
    <w:p>
      <w:pPr>
        <w:spacing w:after="0" w:line="179" w:lineRule="exact"/>
        <w:rPr>
          <w:rFonts w:ascii="Times New Roman" w:cs="Times New Roman" w:eastAsia="Times New Roman" w:hAnsi="Times New Roman"/>
          <w:sz w:val="22"/>
          <w:szCs w:val="22"/>
          <w:color w:val="auto"/>
        </w:rPr>
      </w:pPr>
    </w:p>
    <w:p>
      <w:pPr>
        <w:ind w:firstLine="1305"/>
        <w:spacing w:after="0" w:line="284" w:lineRule="auto"/>
        <w:tabs>
          <w:tab w:leader="none" w:pos="17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Deferral Participant</w:t>
      </w:r>
      <w:r>
        <w:rPr>
          <w:rFonts w:ascii="Times New Roman" w:cs="Times New Roman" w:eastAsia="Times New Roman" w:hAnsi="Times New Roman"/>
          <w:sz w:val="22"/>
          <w:szCs w:val="22"/>
          <w:color w:val="auto"/>
        </w:rPr>
        <w:t>” means a Director who is not a salaried employee of the Company and who elects to defer all or part of his or her Monthly Compensation pursuant to the Plan in accordance with Section 4 hereof.</w:t>
      </w:r>
    </w:p>
    <w:p>
      <w:pPr>
        <w:spacing w:after="0" w:line="14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any current or former Director with an outstanding Account balance in the Plan.</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Lilly Directors’ Deferral Plan, as amended and restated herein.</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5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means the Directors and Corporate Governance Committee of the Board of Directors, or any successor committee of the Board of Directors that is charged with matters relating to the compensation of non-employee directors. Except with respect to Section 5(f) of this Plan, the Plan Administrator may at its discretion delegate any of its responsibilities to one or more individuals provided that such delegation is in accordance with applicable laws.</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 from January 1 through December 31 with respect to which compensation eligible for deferral under the Plan is earned.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7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Code and the Treasury regulations and other official guidance promulgated thereunder.</w:t>
      </w:r>
    </w:p>
    <w:p>
      <w:pPr>
        <w:spacing w:after="0" w:line="144" w:lineRule="exact"/>
        <w:rPr>
          <w:sz w:val="20"/>
          <w:szCs w:val="20"/>
          <w:color w:val="auto"/>
        </w:rPr>
      </w:pPr>
    </w:p>
    <w:p>
      <w:pPr>
        <w:ind w:left="1720" w:hanging="415"/>
        <w:spacing w:after="0"/>
        <w:tabs>
          <w:tab w:leader="none" w:pos="17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 “separation from service” within the meaning of Section 409A.</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common stock of the Company.</w:t>
      </w:r>
    </w:p>
    <w:p>
      <w:pPr>
        <w:spacing w:after="0" w:line="233" w:lineRule="exact"/>
        <w:rPr>
          <w:rFonts w:ascii="Times New Roman" w:cs="Times New Roman" w:eastAsia="Times New Roman" w:hAnsi="Times New Roman"/>
          <w:sz w:val="22"/>
          <w:szCs w:val="22"/>
          <w:color w:val="auto"/>
        </w:rPr>
      </w:pPr>
    </w:p>
    <w:p>
      <w:pPr>
        <w:jc w:val="both"/>
        <w:ind w:firstLine="1305"/>
        <w:spacing w:after="0" w:line="268" w:lineRule="auto"/>
        <w:tabs>
          <w:tab w:leader="none" w:pos="182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Unforeseeable Emergency</w:t>
      </w:r>
      <w:r>
        <w:rPr>
          <w:rFonts w:ascii="Times New Roman" w:cs="Times New Roman" w:eastAsia="Times New Roman" w:hAnsi="Times New Roman"/>
          <w:sz w:val="21"/>
          <w:szCs w:val="21"/>
          <w:color w:val="auto"/>
        </w:rPr>
        <w:t>” means a severe financial hardship of a Participant resulting from an illness or accident of such Participant or Beneficiary, such Participant’s spouse or a dependent (as defined in section 152(a) of the Code) of such Participant, loss of such Participant’s property due to casualty, or other similar extraordinary and unforeseeable circumstances arising as a result of events beyond the control of such Participant, each as determined in the manner consistent with Section 409A, and any other event or circumstance within the meaning of the term “unforeseeable emergency” under Section 409A.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54" w:name="page55"/>
    <w:bookmarkEnd w:id="54"/>
    <w:p>
      <w:pPr>
        <w:ind w:firstLine="1305"/>
        <w:spacing w:after="0" w:line="284" w:lineRule="auto"/>
        <w:tabs>
          <w:tab w:leader="none" w:pos="17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means for any month, the third Monday of the month, or if Shares are not traded on the New York Stock Exchange on such third Monday, the next day on which Shares are traded on the New York Stock Exchange.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b w:val="1"/>
          <w:bCs w:val="1"/>
          <w:u w:val="single" w:color="auto"/>
          <w:color w:val="auto"/>
        </w:rPr>
        <w:t>Plan Administrator</w:t>
      </w:r>
    </w:p>
    <w:p>
      <w:pPr>
        <w:spacing w:after="0" w:line="224" w:lineRule="exact"/>
        <w:rPr>
          <w:sz w:val="20"/>
          <w:szCs w:val="20"/>
          <w:color w:val="auto"/>
        </w:rPr>
      </w:pPr>
    </w:p>
    <w:p>
      <w:pPr>
        <w:jc w:val="both"/>
        <w:ind w:firstLine="1305"/>
        <w:spacing w:after="0" w:line="262" w:lineRule="auto"/>
        <w:tabs>
          <w:tab w:leader="none" w:pos="174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The Plan Administrator shall have full authority to administer the Plan in accordance with its terms and to exercise all responsibilities and authorities as provided herein, including the discretionary authorities to determine the terms and conditions of deferrals of compensation under the Plan, to determine the terms and conditions of crediting to and distributing from Accounts under the terms of the Plan, and to adopt such rules and regulations for administering the Plan as it may deem necessary or appropriate. The Plan Administrator has the discretionary authority to interpret and construe all provisions of the Plan, to remedy possible ambiguities, inconsistencies, or omissions under the Plan, and to resolve all questions of fact arising under the Plan. The decisions of the Plan Administrator shall be final, binding and conclusive on all parties. No member of the Board, the Plan Administrator nor any officers of the Company shall have any liability for any action or determination taken under the Plan.</w:t>
      </w:r>
    </w:p>
    <w:p>
      <w:pPr>
        <w:spacing w:after="0" w:line="173" w:lineRule="exact"/>
        <w:rPr>
          <w:rFonts w:ascii="Times New Roman" w:cs="Times New Roman" w:eastAsia="Times New Roman" w:hAnsi="Times New Roman"/>
          <w:sz w:val="21"/>
          <w:szCs w:val="21"/>
          <w:color w:val="auto"/>
        </w:rPr>
      </w:pPr>
    </w:p>
    <w:p>
      <w:pPr>
        <w:jc w:val="both"/>
        <w:ind w:firstLine="1305"/>
        <w:spacing w:after="0" w:line="257" w:lineRule="auto"/>
        <w:tabs>
          <w:tab w:leader="none" w:pos="176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Expenses</w:t>
      </w:r>
      <w:r>
        <w:rPr>
          <w:rFonts w:ascii="Times New Roman" w:cs="Times New Roman" w:eastAsia="Times New Roman" w:hAnsi="Times New Roman"/>
          <w:sz w:val="22"/>
          <w:szCs w:val="22"/>
          <w:color w:val="auto"/>
        </w:rPr>
        <w:t>. The appropriate officer(s) of the Company as designated by the Plan Administrator are authorized to act on behalf of the Plan Administrator for the day-to-day administration of the Plan, subject to the authority of the Plan Administrator. Expenses of the administration of the Plan may be borne by the Company or may be deducted from Participants’ Accounts at the sole discretion of the Plan Administrator.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b w:val="1"/>
          <w:bCs w:val="1"/>
          <w:u w:val="single" w:color="auto"/>
          <w:color w:val="auto"/>
        </w:rPr>
        <w:t>Participation</w:t>
      </w:r>
    </w:p>
    <w:p>
      <w:pPr>
        <w:spacing w:after="0" w:line="224"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The Plan Administrator may require a Participant to comply with such terms and conditions as the Plan Administrator may specify in order for the Participant to participate in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b w:val="1"/>
          <w:bCs w:val="1"/>
          <w:u w:val="single" w:color="auto"/>
          <w:color w:val="auto"/>
        </w:rPr>
        <w:t>Elections to Participate</w:t>
      </w:r>
    </w:p>
    <w:p>
      <w:pPr>
        <w:spacing w:after="0" w:line="224" w:lineRule="exact"/>
        <w:rPr>
          <w:sz w:val="20"/>
          <w:szCs w:val="20"/>
          <w:color w:val="auto"/>
        </w:rPr>
      </w:pPr>
    </w:p>
    <w:p>
      <w:pPr>
        <w:jc w:val="both"/>
        <w:ind w:firstLine="1305"/>
        <w:spacing w:after="0" w:line="248" w:lineRule="auto"/>
        <w:tabs>
          <w:tab w:leader="none" w:pos="18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A Monthly Deferral Participant in the Plan may file an Election Form with the Plan Administrator on or before the date specified in accordance with Section 4(c) hereof. The Election Form shall permit the Monthly Deferral Participant to specify the Deferral Amount, subject to a minimum annual Deferral Amount of five thousand dollars ($5,000), for the deferral of Monthly Compensation, or such amounts as may be specified by the Plan Administrator in its sole discretion, and whether such Deferral Amount shall be credited in cash to his or her Deferred Compensation Account or in Shares to his or her Deferred Stock Account, pursuant to Section 5(a) hereof. The Election Form shall also set forth the terms of distribution of the Participant’s Account in accordance with Section 6 hereof and the Participant’s Beneficiary designation. All elections to defer compensation under the Plan are irrevocable, and no changes to any Election Form delivered to the Plan Administrator shall be permitted, except as specifically provided under the terms of the Plan.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55" w:name="page56"/>
    <w:bookmarkEnd w:id="55"/>
    <w:p>
      <w:pPr>
        <w:jc w:val="both"/>
        <w:ind w:firstLine="1305"/>
        <w:spacing w:after="0" w:line="263" w:lineRule="auto"/>
        <w:tabs>
          <w:tab w:leader="none" w:pos="18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Deferrals</w:t>
      </w:r>
      <w:r>
        <w:rPr>
          <w:rFonts w:ascii="Times New Roman" w:cs="Times New Roman" w:eastAsia="Times New Roman" w:hAnsi="Times New Roman"/>
          <w:sz w:val="22"/>
          <w:szCs w:val="22"/>
          <w:color w:val="auto"/>
        </w:rPr>
        <w:t>. A Monthly Deferral Participant may elect a Deferral Amount of up to 100% of the Participant’s Monthly Compensation for a Plan Year. One hundred percent (100%) of any annual allocation of Shares earned pursuant to Section 5(c) will be automatically credited to a Deferred Stock Participant’s Deferred Stock Account.</w:t>
      </w:r>
    </w:p>
    <w:p>
      <w:pPr>
        <w:spacing w:after="0" w:line="167" w:lineRule="exact"/>
        <w:rPr>
          <w:rFonts w:ascii="Times New Roman" w:cs="Times New Roman" w:eastAsia="Times New Roman" w:hAnsi="Times New Roman"/>
          <w:sz w:val="22"/>
          <w:szCs w:val="22"/>
          <w:color w:val="auto"/>
        </w:rPr>
      </w:pPr>
    </w:p>
    <w:p>
      <w:pPr>
        <w:ind w:right="20" w:firstLine="1305"/>
        <w:spacing w:after="0" w:line="284" w:lineRule="auto"/>
        <w:tabs>
          <w:tab w:leader="none" w:pos="177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Effect of Elections</w:t>
      </w:r>
      <w:r>
        <w:rPr>
          <w:rFonts w:ascii="Times New Roman" w:cs="Times New Roman" w:eastAsia="Times New Roman" w:hAnsi="Times New Roman"/>
          <w:sz w:val="22"/>
          <w:szCs w:val="22"/>
          <w:color w:val="auto"/>
        </w:rPr>
        <w:t>. Unless otherwise specified by the Plan Administrator in accordance with the requirements of Section 409A, deferral elections on an Election Form shall be made:</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42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Monthly Compensation or an annual Share allocation not qualifying as “performance-based compensation” within the meaning of Section 409A, prior to the beginning of the Plan Year with respect to which the compensation is earned; and</w:t>
      </w:r>
    </w:p>
    <w:p>
      <w:pPr>
        <w:spacing w:after="0" w:line="167"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43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Monthly Compensation or an annual Share allocation which the Plan Administrator has determined qualifies as “performance-based compensation” within the meaning of Section 409A, no later than June 30th of the applicable Plan Year with respect to which the compensation is earned.</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Deferral elections shall apply to Monthly Compensation and annual Share allocations with respect to the Plan Year for which the elections are made. Participants will be required to make deferral elections for future Plan Years at such times to be specified by the Plan Administrator in accordance with the foregoing. If a Participant does not file an Election Form with the Plan Administrator on or before the deadline established by the Plan Administrator for deferral elections for a Plan Year, a Participant will be deemed not to have elected to defer Monthly Compensation for such Plan Year, as applicable. Notwithstanding the foregoing, in the first year in which an individual who is newly elected or appointed to serve as a Director becomes eligible to participate in the Plan, such individual may, not later than thirty (30) days after the date he or she becomes eligible to participate in the Plan, elect in accordance with the preceding provisions of this Section 4, to defer the receipt of Monthly Compensation and set forth the terms of distribution of the individual's Account with respect to services to be performed after the filing of the election with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b w:val="1"/>
          <w:bCs w:val="1"/>
          <w:u w:val="single" w:color="auto"/>
          <w:color w:val="auto"/>
        </w:rPr>
        <w:t>Accounts and Interest Credits</w:t>
      </w:r>
    </w:p>
    <w:p>
      <w:pPr>
        <w:spacing w:after="0" w:line="224" w:lineRule="exact"/>
        <w:rPr>
          <w:sz w:val="20"/>
          <w:szCs w:val="20"/>
          <w:color w:val="auto"/>
        </w:rPr>
      </w:pPr>
    </w:p>
    <w:p>
      <w:pPr>
        <w:ind w:left="1720" w:hanging="415"/>
        <w:spacing w:after="0"/>
        <w:tabs>
          <w:tab w:leader="none" w:pos="17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Accounts</w:t>
      </w:r>
      <w:r>
        <w:rPr>
          <w:rFonts w:ascii="Times New Roman" w:cs="Times New Roman" w:eastAsia="Times New Roman" w:hAnsi="Times New Roman"/>
          <w:sz w:val="22"/>
          <w:szCs w:val="22"/>
          <w:color w:val="auto"/>
        </w:rPr>
        <w:t>. Accounts shall be maintained for each Participant under the Plan:</w:t>
      </w:r>
    </w:p>
    <w:p>
      <w:pPr>
        <w:spacing w:after="0" w:line="233" w:lineRule="exact"/>
        <w:rPr>
          <w:rFonts w:ascii="Times New Roman" w:cs="Times New Roman" w:eastAsia="Times New Roman" w:hAnsi="Times New Roman"/>
          <w:sz w:val="22"/>
          <w:szCs w:val="22"/>
          <w:color w:val="auto"/>
        </w:rPr>
      </w:pPr>
    </w:p>
    <w:p>
      <w:pPr>
        <w:jc w:val="both"/>
        <w:ind w:left="1300" w:firstLine="653"/>
        <w:spacing w:after="0" w:line="253" w:lineRule="auto"/>
        <w:tabs>
          <w:tab w:leader="none" w:pos="238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Compensation Account</w:t>
      </w:r>
      <w:r>
        <w:rPr>
          <w:rFonts w:ascii="Times New Roman" w:cs="Times New Roman" w:eastAsia="Times New Roman" w:hAnsi="Times New Roman"/>
          <w:sz w:val="22"/>
          <w:szCs w:val="22"/>
          <w:color w:val="auto"/>
        </w:rPr>
        <w:t xml:space="preserve"> – The Company shall maintain a Deferred Compensation Account in the name of each Monthly Deferral Participant who elects to have a Deferral Amount credited in cash pursuant to Section 4 hereof for a given Plan Year. The Deferred Compensation Account shall be denominated in U.S. dollars, rounded to the nearest whole cent. For each month, Deferral Amounts allocated to a Deferred Compensation Account shall be credited to the Deferred Compensation Account as of the last Business Day of the month.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56" w:name="page57"/>
    <w:bookmarkEnd w:id="56"/>
    <w:p>
      <w:pPr>
        <w:jc w:val="both"/>
        <w:ind w:left="1300" w:firstLine="653"/>
        <w:spacing w:after="0" w:line="247" w:lineRule="auto"/>
        <w:tabs>
          <w:tab w:leader="none" w:pos="2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Stock Account</w:t>
      </w:r>
      <w:r>
        <w:rPr>
          <w:rFonts w:ascii="Times New Roman" w:cs="Times New Roman" w:eastAsia="Times New Roman" w:hAnsi="Times New Roman"/>
          <w:sz w:val="22"/>
          <w:szCs w:val="22"/>
          <w:color w:val="auto"/>
        </w:rPr>
        <w:t xml:space="preserve"> – The Company shall maintain a Deferred Stock Account for each Deferred Stock Participant and for each Monthly Deferral Participant who elects to have a Deferral Amount credited in Shares. The Deferred Stock Account shall be denominated in Shares and maintained in fractions rounded to three (3) decimal places. Deferral Amounts intended to be allocated to a Deferred Stock Account shall be credited on a monthly basis, as soon as administratively feasible following the Valuation Date for the applicable month, but in no event later than the last Business Day of such month. The annual allocations of Shares for Deferred Stock Participants described in section (c) below shall be credited to the applicable Deferred Stock Account on the Annual Allocation Date. Shares and, if necessary, fractional Shares, shall be credited based upon the closing price of Shares on the New York Stock Exchange on the Valuation Date for that month. Notwithstanding any other provision of the Plan, Shares allocated to a Deferred Stock Account shall be hypothetical and not issued or transferred by the Company until payment is made pursuant to Section 6 hereof.</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 Participant’s Account shall consist of book entries only and shall not constitute a separate cash or Share fund or other asset held in trust or as security for the Company’s obligation to pay the amount of the Account to the Participant. The balance of a Participant’s Account shall be adjusted pursuant to this Section 5 and reduced by the amount of applicable tax withholding, distributions and expenses. A Participant’s Account may include sub-accounts as the Company considers necessary or advisable for purposes of maintaining a proper accounting of amounts credited or debited for a Participant under the Plan. A Participant shall receive or have on-line access to a statement of such Participant’s Account no less frequently than once a year following the end of each Plan Year.</w:t>
      </w:r>
    </w:p>
    <w:p>
      <w:pPr>
        <w:spacing w:after="0" w:line="182" w:lineRule="exact"/>
        <w:rPr>
          <w:sz w:val="20"/>
          <w:szCs w:val="20"/>
          <w:color w:val="auto"/>
        </w:rPr>
      </w:pPr>
    </w:p>
    <w:p>
      <w:pPr>
        <w:jc w:val="both"/>
        <w:ind w:firstLine="1305"/>
        <w:spacing w:after="0" w:line="257" w:lineRule="auto"/>
        <w:tabs>
          <w:tab w:leader="none" w:pos="178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Deferral Amount</w:t>
      </w:r>
      <w:r>
        <w:rPr>
          <w:rFonts w:ascii="Times New Roman" w:cs="Times New Roman" w:eastAsia="Times New Roman" w:hAnsi="Times New Roman"/>
          <w:sz w:val="22"/>
          <w:szCs w:val="22"/>
          <w:color w:val="auto"/>
        </w:rPr>
        <w:t>. A Participant who has filed an Election Form with the Plan Administrator for the deferral of Monthly Compensation with respect to a Plan Year shall have the Deferral Amount deducted from the applicable compensation and credited to the Participant’s appropriate Account under the Plan. The Deferral Amount so credited shall be reduced by applicable tax withholding, distributions and expenses.</w:t>
      </w:r>
    </w:p>
    <w:p>
      <w:pPr>
        <w:spacing w:after="0" w:line="172" w:lineRule="exact"/>
        <w:rPr>
          <w:rFonts w:ascii="Times New Roman" w:cs="Times New Roman" w:eastAsia="Times New Roman" w:hAnsi="Times New Roman"/>
          <w:sz w:val="22"/>
          <w:szCs w:val="22"/>
          <w:color w:val="auto"/>
        </w:rPr>
      </w:pPr>
    </w:p>
    <w:p>
      <w:pPr>
        <w:jc w:val="both"/>
        <w:ind w:firstLine="1305"/>
        <w:spacing w:after="0" w:line="261" w:lineRule="auto"/>
        <w:tabs>
          <w:tab w:leader="none" w:pos="181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Share Allocation</w:t>
      </w:r>
      <w:r>
        <w:rPr>
          <w:rFonts w:ascii="Times New Roman" w:cs="Times New Roman" w:eastAsia="Times New Roman" w:hAnsi="Times New Roman"/>
          <w:sz w:val="22"/>
          <w:szCs w:val="22"/>
          <w:color w:val="auto"/>
        </w:rPr>
        <w:t>. On the Annual Allocation Date of each Plan Year, there shall be allocated to the Deferred Stock Account of each person who (i) is a Deferred Stock Participant on the Annual Valuation Date of that Plan Year or</w:t>
      </w:r>
    </w:p>
    <w:p>
      <w:pPr>
        <w:jc w:val="both"/>
        <w:ind w:firstLine="8"/>
        <w:spacing w:after="0" w:line="244" w:lineRule="auto"/>
        <w:tabs>
          <w:tab w:leader="none" w:pos="33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 Deferred Stock Participant at any time subsequent to the last Annual Valuation Date, as part of his or her compensation for service on the Board of Directors, the number of Shares specified from time to time by resolution of the Board of Directors. This allocation shall in no event be more than the lesser of (i) 7,500 Shares or (ii) the number of Shares equal in value to $800,000 minus the director’s total cash compensation for the Plan Year (including for this purpose, but not limited to, any cash compensation deferred into this Plan pursuant to an election under Section 4(a) above), as of the Annual Valuation Date.</w:t>
      </w:r>
    </w:p>
    <w:p>
      <w:pPr>
        <w:spacing w:after="0" w:line="189" w:lineRule="exact"/>
        <w:rPr>
          <w:rFonts w:ascii="Times New Roman" w:cs="Times New Roman" w:eastAsia="Times New Roman" w:hAnsi="Times New Roman"/>
          <w:sz w:val="22"/>
          <w:szCs w:val="22"/>
          <w:color w:val="auto"/>
        </w:rPr>
      </w:pPr>
    </w:p>
    <w:p>
      <w:pPr>
        <w:ind w:right="20" w:firstLine="1305"/>
        <w:spacing w:after="0" w:line="284" w:lineRule="auto"/>
        <w:tabs>
          <w:tab w:leader="none" w:pos="174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Credits</w:t>
      </w:r>
      <w:r>
        <w:rPr>
          <w:rFonts w:ascii="Times New Roman" w:cs="Times New Roman" w:eastAsia="Times New Roman" w:hAnsi="Times New Roman"/>
          <w:sz w:val="22"/>
          <w:szCs w:val="22"/>
          <w:color w:val="auto"/>
        </w:rPr>
        <w:t>. The Deferred Compensation Accounts of Participants shall be credited with interest computed each Plan Year or portion thereof at a rate equal to 120% of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long-term applicable federal rate, with monthly compounding (as prescribed under section 1274(d) of the Code), as in effect for the month of December for the immediately preceding Plan Year. Such interest shall accrue on all Deferral Amounts and prior earnings thereon of Deferred Compensation Accounts and be credited daily to such accounts.</w:t>
      </w:r>
    </w:p>
    <w:p>
      <w:pPr>
        <w:spacing w:after="0" w:line="173" w:lineRule="exact"/>
        <w:rPr>
          <w:sz w:val="20"/>
          <w:szCs w:val="20"/>
          <w:color w:val="auto"/>
        </w:rPr>
      </w:pPr>
    </w:p>
    <w:p>
      <w:pPr>
        <w:jc w:val="both"/>
        <w:ind w:firstLine="1305"/>
        <w:spacing w:after="0" w:line="253" w:lineRule="auto"/>
        <w:tabs>
          <w:tab w:leader="none" w:pos="175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Dividends</w:t>
      </w:r>
      <w:r>
        <w:rPr>
          <w:rFonts w:ascii="Times New Roman" w:cs="Times New Roman" w:eastAsia="Times New Roman" w:hAnsi="Times New Roman"/>
          <w:sz w:val="22"/>
          <w:szCs w:val="22"/>
          <w:color w:val="auto"/>
        </w:rPr>
        <w:t>. Cash dividends paid on Shares shall be deemed to have been paid on the Shares allocated to each Participant’s Deferred Stock Account as if the allocated Shares were actual Shares issued and outstanding on the Dividend Record Date. An amount equal to the amount of such dividends shall be credited in Shares to each Deferred Stock Account as of the last Business Day of each month in which a Dividend Payment Date occurs, based upon the closing price for Shares on the New York Stock Exchange on the Valuation Date for that month.</w:t>
      </w:r>
    </w:p>
    <w:p>
      <w:pPr>
        <w:spacing w:after="0" w:line="179"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Adjustments</w:t>
      </w:r>
      <w:r>
        <w:rPr>
          <w:rFonts w:ascii="Times New Roman" w:cs="Times New Roman" w:eastAsia="Times New Roman" w:hAnsi="Times New Roman"/>
          <w:sz w:val="22"/>
          <w:szCs w:val="22"/>
          <w:color w:val="auto"/>
        </w:rPr>
        <w:t>. The number of Shares referred to in the Preamble and Section 5 hereof and the number of Shares allocated to each Deferred Stock Account shall be adjusted by the Plan Administrator, in the event of any subdivision or combination of Shares or any stock dividend, stock split, reorganization, recapitalization, or consolidation or merger with the Company as the surviving corporation, or if additional shares or new or different shares or other securities of the Company or any other issuer are distributed with respect to Shares through a spin-off or other extraordinary distribution.</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Accounts</w:t>
      </w:r>
      <w:r>
        <w:rPr>
          <w:rFonts w:ascii="Times New Roman" w:cs="Times New Roman" w:eastAsia="Times New Roman" w:hAnsi="Times New Roman"/>
          <w:sz w:val="22"/>
          <w:szCs w:val="22"/>
          <w:color w:val="auto"/>
        </w:rPr>
        <w:t>. A Participant is fully vested in his or her Account.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b w:val="1"/>
          <w:bCs w:val="1"/>
          <w:u w:val="single" w:color="auto"/>
          <w:color w:val="auto"/>
        </w:rPr>
        <w:t>Distribution of Accounts</w:t>
      </w:r>
    </w:p>
    <w:p>
      <w:pPr>
        <w:spacing w:after="0" w:line="224" w:lineRule="exact"/>
        <w:rPr>
          <w:sz w:val="20"/>
          <w:szCs w:val="20"/>
          <w:color w:val="auto"/>
        </w:rPr>
      </w:pPr>
    </w:p>
    <w:p>
      <w:pPr>
        <w:jc w:val="both"/>
        <w:ind w:firstLine="1305"/>
        <w:spacing w:after="0" w:line="265" w:lineRule="auto"/>
        <w:tabs>
          <w:tab w:leader="none" w:pos="182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upon Separation from Service</w:t>
      </w:r>
      <w:r>
        <w:rPr>
          <w:rFonts w:ascii="Times New Roman" w:cs="Times New Roman" w:eastAsia="Times New Roman" w:hAnsi="Times New Roman"/>
          <w:sz w:val="21"/>
          <w:szCs w:val="21"/>
          <w:color w:val="auto"/>
        </w:rPr>
        <w:t>. A Participant shall specify on an Election Form the manner in which the amounts deferred in the Deferred Compensation Account and the Deferred Stock Account, as applicable, for a Plan Year (and earnings thereon) shall be distributed from the Participant’s Account upon the Participant’s Separation from Service. All elections are irrevocable, and no changes shall be permitted to any Election Form delivered to the Plan Administrator, except as specifically provided under the terms of the Plan. A Participant may elect, to the extent permitted by the Plan Administrator and set forth on the Election Form, that such portion of the Account be distributed upon a Participant’s Separation from Service either in:</w:t>
      </w:r>
    </w:p>
    <w:p>
      <w:pPr>
        <w:spacing w:after="0" w:line="169" w:lineRule="exact"/>
        <w:rPr>
          <w:rFonts w:ascii="Times New Roman" w:cs="Times New Roman" w:eastAsia="Times New Roman" w:hAnsi="Times New Roman"/>
          <w:sz w:val="21"/>
          <w:szCs w:val="21"/>
          <w:color w:val="auto"/>
        </w:rPr>
      </w:pPr>
    </w:p>
    <w:p>
      <w:pPr>
        <w:ind w:left="1300" w:firstLine="653"/>
        <w:spacing w:after="0" w:line="284" w:lineRule="auto"/>
        <w:tabs>
          <w:tab w:leader="none" w:pos="253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Lump Sum</w:t>
      </w:r>
      <w:r>
        <w:rPr>
          <w:rFonts w:ascii="Times New Roman" w:cs="Times New Roman" w:eastAsia="Times New Roman" w:hAnsi="Times New Roman"/>
          <w:sz w:val="22"/>
          <w:szCs w:val="22"/>
          <w:color w:val="auto"/>
        </w:rPr>
        <w:t xml:space="preserve"> payment in January of the second Plan Year following the Plan Year in which the Participant's Separation from Service occurs; or</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43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Installment</w:t>
      </w:r>
      <w:r>
        <w:rPr>
          <w:rFonts w:ascii="Times New Roman" w:cs="Times New Roman" w:eastAsia="Times New Roman" w:hAnsi="Times New Roman"/>
          <w:sz w:val="22"/>
          <w:szCs w:val="22"/>
          <w:color w:val="auto"/>
        </w:rPr>
        <w:t xml:space="preserve"> payments over a period of two (2) to ten (10) years commencing in January of the second Plan Year following the Plan Year in which the Participant's Separation from Service occurs, with subsequent installment payments to be made in each January within the applicable period.</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a Participant fails to make a timely payment election on the Election Form for a Plan Year, the amounts deferred in the Deferred Compensation Account and the Deferred Stock Account, as applicable, for such Plan Year (and earnings thereon) shall be distributed in a lump sum in accordance with Section 6(a)(i)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58" w:name="page59"/>
    <w:bookmarkEnd w:id="58"/>
    <w:p>
      <w:pPr>
        <w:jc w:val="both"/>
        <w:ind w:firstLine="1305"/>
        <w:spacing w:after="0" w:line="249" w:lineRule="auto"/>
        <w:tabs>
          <w:tab w:leader="none" w:pos="17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Distributions</w:t>
      </w:r>
      <w:r>
        <w:rPr>
          <w:rFonts w:ascii="Times New Roman" w:cs="Times New Roman" w:eastAsia="Times New Roman" w:hAnsi="Times New Roman"/>
          <w:sz w:val="22"/>
          <w:szCs w:val="22"/>
          <w:color w:val="auto"/>
        </w:rPr>
        <w:t>. All distributions of a Participant’s Deferred Compensation Account under the Plan shall be made in cash. Except as provided in Section 6(f), all distributions of a Participant’s Deferred Stock Account shall be paid in Shares, at which time the Shares shall be issued or transferred from the books of the Company to the Participant.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Deferred Stock Account shall be rounded up to the next whole Share and that number of whole Shares shall be issued or transferred. The value of the Deferred Stock Account is calculated with reference to the closing price of Shares on the last trading day of the prior Plan Year.</w:t>
      </w:r>
    </w:p>
    <w:p>
      <w:pPr>
        <w:spacing w:after="0" w:line="182"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Account</w:t>
      </w:r>
      <w:r>
        <w:rPr>
          <w:rFonts w:ascii="Times New Roman" w:cs="Times New Roman" w:eastAsia="Times New Roman" w:hAnsi="Times New Roman"/>
          <w:sz w:val="22"/>
          <w:szCs w:val="22"/>
          <w:color w:val="auto"/>
        </w:rPr>
        <w:t>. The Company shall distribute amounts from the Participant’s Deferred Compensation Account and the Deferred Stock Account in the manner and on the date(s) applicable under this Section 6. If the payment option described in Section 6(a)(i) hereof is applicable, the amount of the lump sum shall be calculated using the valuation of the applicable portion of the Participant’s Account as of the December 31 preceding the date of the payment. If the payment option described in Section 6(a)(ii) hereof is applicable, the amount of each installment shall be calculated using the valuation of the applicable portion of the Participant’s Account as of the December 31 preceding the date of the installment payment divided by the number of installment payments that have not yet been made.</w:t>
      </w:r>
    </w:p>
    <w:p>
      <w:pPr>
        <w:spacing w:after="0" w:line="181" w:lineRule="exact"/>
        <w:rPr>
          <w:rFonts w:ascii="Times New Roman" w:cs="Times New Roman" w:eastAsia="Times New Roman" w:hAnsi="Times New Roman"/>
          <w:sz w:val="22"/>
          <w:szCs w:val="22"/>
          <w:color w:val="auto"/>
        </w:rPr>
      </w:pPr>
    </w:p>
    <w:p>
      <w:pPr>
        <w:jc w:val="both"/>
        <w:ind w:firstLine="1305"/>
        <w:spacing w:after="0" w:line="248" w:lineRule="auto"/>
        <w:tabs>
          <w:tab w:leader="none" w:pos="18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upon Death</w:t>
      </w:r>
      <w:r>
        <w:rPr>
          <w:rFonts w:ascii="Times New Roman" w:cs="Times New Roman" w:eastAsia="Times New Roman" w:hAnsi="Times New Roman"/>
          <w:sz w:val="22"/>
          <w:szCs w:val="22"/>
          <w:color w:val="auto"/>
        </w:rPr>
        <w:t>. Notwithstanding any election made by a Participant or any other provision of this Section 6 to the contrary, if a Participant dies before full distribution of his or her Account balance, any remaining balance shall be distributed to the Participant’s Beneficiary in a lump sum within 90 days following the date of the Participant’s death. The amount of such lump sum distribution shall be calculated using the valuation of the Participant's Account as of the date preceding the date of distribution. Any payment required to be made to a Participant under the Plan that cannot be made due to the Participant’s death shall be made to the Participant’s Beneficiary, subject to applicable law. Each Participant shall have the right to designate one or more Beneficiaries, and to change a Beneficiary designation, from time to time by filing a written notice with the Plan Administrator. In the event that a Beneficiary does not survive the Participant and no successor Beneficiary is selected, or in the event no valid Beneficiary designation has been made, the Participant’s Beneficiary shall be the Participant’s estate.</w:t>
      </w:r>
    </w:p>
    <w:p>
      <w:pPr>
        <w:spacing w:after="0" w:line="186"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Upon the written request of a Participant, the Plan Administrator may permit the Participant to withdraw some or all of the Participant’s Account for the purpose of enabling the Participant to meet the immediate needs created by an Unforeseeable Emergency. The circumstances that will constitute an Unforeseeable Emergency will depend upon the facts of each case, but in any case, the amounts distributed with respect to an Unforeseeable Emergency shall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that the liquidation of such assets would not itself cause severe financial hardship, or by cessation of deferrals under the Plan.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59" w:name="page60"/>
    <w:bookmarkEnd w:id="59"/>
    <w:p>
      <w:pPr>
        <w:jc w:val="both"/>
        <w:ind w:firstLine="1305"/>
        <w:spacing w:after="0" w:line="257" w:lineRule="auto"/>
        <w:tabs>
          <w:tab w:leader="none" w:pos="16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Cash in Lieu of Shares</w:t>
      </w:r>
      <w:r>
        <w:rPr>
          <w:rFonts w:ascii="Times New Roman" w:cs="Times New Roman" w:eastAsia="Times New Roman" w:hAnsi="Times New Roman"/>
          <w:sz w:val="22"/>
          <w:szCs w:val="22"/>
          <w:color w:val="auto"/>
        </w:rPr>
        <w:t>. If at any time the Plan Administrator determines that payment of Shares to a Participant (or a Participant’s Beneficiary) or the ownership or subsequent disposition of such Shares by such Participant or Beneficiary may violate or conflict with any applicable law or regulation, the Plan Administrator shall pay all or a portion of the Participant’s Deferred Stock Account in cash.</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All distributions of a Participant’s Account under the Plan shall be subject to income tax and other withholdings that the Plan Administrator deems necessary or appropriate, and the Plan Administrator may reduce the amount credited to any Participant’s Account to the extent it deems necessary to satisfy tax withholding requirements. Participants or Beneficiaries receiving distributions under the Plan shall bear all taxes on amounts paid under the Plan to the extent that taxes are not withheld thereon, irrespective of whether withholding is required.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b w:val="1"/>
          <w:bCs w:val="1"/>
          <w:u w:val="single" w:color="auto"/>
          <w:color w:val="auto"/>
        </w:rPr>
        <w:t>Administrative Matters</w:t>
      </w:r>
    </w:p>
    <w:p>
      <w:pPr>
        <w:spacing w:after="0" w:line="224" w:lineRule="exact"/>
        <w:rPr>
          <w:sz w:val="20"/>
          <w:szCs w:val="20"/>
          <w:color w:val="auto"/>
        </w:rPr>
      </w:pPr>
    </w:p>
    <w:p>
      <w:pPr>
        <w:jc w:val="both"/>
        <w:ind w:firstLine="1305"/>
        <w:spacing w:after="0" w:line="248" w:lineRule="auto"/>
        <w:tabs>
          <w:tab w:leader="none" w:pos="177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Any person making a claim for benefits hereunder shall submit the claim in writing to the Plan Administrator. If the Plan Administrator denies the claim in whole or in part, it shall issue to the claimant a written notice explaining the reason for the denial and identifying any additional information or documentation that might enable the claimant to perfect the claim. The claimant may, within sixty (60) days of receiving a written notice of denial, submit a written request for reconsideration to the Plan Administrator, together with a written explanation of the basis of the request. The Plan Administrator shall consider any such request and shall provide the claimant with a written decision together with a written explanation thereof. No legal action may be commenced or maintained against the Plan more than one year after the Plan Administrator wholly or partially denies, or is deemed to have wholly or patially denied, a claim for Plan benefits. All interpretations, determinations, and decisions of the Plan Administrator in respect of any claim shall be final, binding and conclusive.</w:t>
      </w:r>
    </w:p>
    <w:p>
      <w:pPr>
        <w:spacing w:after="0" w:line="186"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Incapacity</w:t>
      </w:r>
      <w:r>
        <w:rPr>
          <w:rFonts w:ascii="Times New Roman" w:cs="Times New Roman" w:eastAsia="Times New Roman" w:hAnsi="Times New Roman"/>
          <w:sz w:val="22"/>
          <w:szCs w:val="22"/>
          <w:color w:val="auto"/>
        </w:rPr>
        <w:t>. If the Plan Administrator determines that any person entitled to benefits under the Plan is unable to care for his or her affairs because of illness, accident or other physical and mental incapacity, any payment due (unless a duly qualified guardian or other legal representative has been appointed) may be paid consistent with the terms described herein for the benefit of such person to such person’s spouse, parent, brother, sister, adult child or other party deemed by the Plan Administrator in its sole discretion to ensure proper care for such person.</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Locate</w:t>
      </w:r>
      <w:r>
        <w:rPr>
          <w:rFonts w:ascii="Times New Roman" w:cs="Times New Roman" w:eastAsia="Times New Roman" w:hAnsi="Times New Roman"/>
          <w:sz w:val="22"/>
          <w:szCs w:val="22"/>
          <w:color w:val="auto"/>
        </w:rPr>
        <w:t>. If the Plan Administrator is unable to locate a person to whom a payment is due under the Plan for a period of twelve (12) months, commencing with the first day of the month as of which the payment becomes payable, the total amount payable to such person shall be forfeited.</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Any decision made or action taken by the Board of Directors, the Plan Administrator, or any employee of the Company or any of its subsidiaries, arising out of or in connection with the construction, administration, interpretation, or effect of the Plan, shall be absolutely discretionary, and shall be conclusive and binding on all parties. Neither the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22"/>
          <w:szCs w:val="22"/>
          <w:color w:val="auto"/>
        </w:rPr>
        <w:t>Administrator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spacing w:after="0" w:line="180" w:lineRule="exact"/>
        <w:rPr>
          <w:sz w:val="20"/>
          <w:szCs w:val="20"/>
          <w:color w:val="auto"/>
        </w:rPr>
      </w:pPr>
    </w:p>
    <w:p>
      <w:pPr>
        <w:jc w:val="both"/>
        <w:ind w:firstLine="1305"/>
        <w:spacing w:after="0" w:line="263" w:lineRule="auto"/>
        <w:tabs>
          <w:tab w:leader="none" w:pos="190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 notice, election or communication in connection with the Plan made or submitted by any Participant, claimant or other person shall be effective unless duly executed and filed with the Plan Administrator (including any of its representatives, agents, or delegates) in the form and manner required by the Plan Administrator.</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term, condition, or provision of the Plan shall be deemed waived unless the purported waiver is in writing signed by the Plan Administrator. No waiver signed by the Plan Administrator shall be deemed a continuing waiver unless so specifically stated in the writing, and any such waiver shall operate only for the stated period and only as to the specific term, condition, or provision waived, and shall apply only to the individual or individuals seeking the waiver.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b w:val="1"/>
          <w:bCs w:val="1"/>
          <w:u w:val="single" w:color="auto"/>
          <w:color w:val="auto"/>
        </w:rPr>
        <w:t>Unfunded Status</w:t>
      </w:r>
    </w:p>
    <w:p>
      <w:pPr>
        <w:spacing w:after="0" w:line="224"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All Accounts and all rights of Participants to benefits under the Plan are unfunded obligations of the Company. Plan benefits shall be paid from the general assets of the Company, and Participants shall have the status of an unsecured general creditor of the Company with respect to all interests under the Plan. The Plan is a plan of unfunded deferred compensation. Notwithstanding the foregoing, the Company may, but shall not be required to, establish a trust or other funding vehicle under the Plan that does not affect the Plan’s status as a Plan of unfunded deferred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b w:val="1"/>
          <w:bCs w:val="1"/>
          <w:u w:val="single" w:color="auto"/>
          <w:color w:val="auto"/>
        </w:rPr>
        <w:t>Nontransferability; Successors</w:t>
      </w:r>
    </w:p>
    <w:p>
      <w:pPr>
        <w:spacing w:after="0" w:line="224"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No interest of any person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obligations of the Company under the Plan will be binding upon the Company’s successors, transferees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b w:val="1"/>
          <w:bCs w:val="1"/>
          <w:u w:val="single" w:color="auto"/>
          <w:color w:val="auto"/>
        </w:rPr>
        <w:t>Limitation of Rights</w:t>
      </w:r>
    </w:p>
    <w:p>
      <w:pPr>
        <w:spacing w:after="0" w:line="224"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Nothing in the Plan shall confer upon any Participant the right to continue to serve as a Director of the Company or to serve in the capacity in which the Participant is employed by the Company. Nothing in the Plan shall be interpreted as creating a right of a Participant to receive any compensation or benefit from the Company. A Participant shall have no rights as a shareholder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61" w:name="page62"/>
    <w:bookmarkEnd w:id="61"/>
    <w:p>
      <w:pPr>
        <w:jc w:val="both"/>
        <w:spacing w:after="0" w:line="271" w:lineRule="auto"/>
        <w:rPr>
          <w:sz w:val="20"/>
          <w:szCs w:val="20"/>
          <w:color w:val="auto"/>
        </w:rPr>
      </w:pPr>
      <w:r>
        <w:rPr>
          <w:rFonts w:ascii="Times New Roman" w:cs="Times New Roman" w:eastAsia="Times New Roman" w:hAnsi="Times New Roman"/>
          <w:sz w:val="22"/>
          <w:szCs w:val="22"/>
          <w:color w:val="auto"/>
        </w:rPr>
        <w:t>of the Company with respect to any Shares until the Shares are issued or transferred to the Participant on the books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b w:val="1"/>
          <w:bCs w:val="1"/>
          <w:u w:val="single" w:color="auto"/>
          <w:color w:val="auto"/>
        </w:rPr>
        <w:t>Enforceability and Governing Law</w:t>
      </w:r>
    </w:p>
    <w:p>
      <w:pPr>
        <w:spacing w:after="0" w:line="22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To the extent not preempted by federal law, the Plan shall be construed, administered and enforced in accordance with the laws of the State of Indiana, regardless of the law that might otherwise govern under applicable principles or provisions of choice or conflict of law doctrines. To the extent that any provision of the Plan or portion thereof shall be found to be invalid or unenforceable, such provision or portion of the Plan shall be considered deleted herefrom and the remainder of such provision and the Plan shall be construed and enforced as if such illegal or invalid provision had never been inserted herein. In addition, the remainder of the Plan shall be unaffected and shall continue in full force and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b w:val="1"/>
          <w:bCs w:val="1"/>
          <w:u w:val="single" w:color="auto"/>
          <w:color w:val="auto"/>
        </w:rPr>
        <w:t>Forum Selection</w:t>
      </w:r>
    </w:p>
    <w:p>
      <w:pPr>
        <w:spacing w:after="0" w:line="22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To the fullest extent permitted by law, any action brought in whole or in part relating to the Plan the lawfulness of any Plan provision, the administration of the Plan, or the performance or non-performance of the Plan’s administrators and fiduciaries, shall be filed in one of the following jurisdictions: (i) the jurisdiction in which the Plan is principally administered, which is currently the United States District Court for the Southern District of Indiana; or (ii) in the case of a putative class action, the jurisdiction in which the largest number of putative class members resides (or if that jurisdiction cannot be determined, the jurisdiction in which the largest number of class members is reasonably believed to reside).</w:t>
      </w:r>
    </w:p>
    <w:p>
      <w:pPr>
        <w:spacing w:after="0" w:line="181"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If any action is filed in a jurisdiction other than one of those described above, then the Plan, all parties to such action that are related to the Plan (such as a Plan fiduciary, administrator or party in interest) and all alleged Plan Participants and Beneficiaries shall take all necessary steps to have the action removed to, transferred to or re-filed in a jurisdiction described above. Such steps may include, but are not limited to, (i) a joint motion to transfer the action; or (ii) a joint motion to dismiss the action without prejudice to its re-filing in a jurisdiction described above, with any applicable time limits or statutes of limitations applied as if the suit or class action allegation had originally been filed or asserted in a jurisdiction described above at the same time that it was filed or asserted in a jurisdiction not described therein.</w:t>
      </w:r>
    </w:p>
    <w:p>
      <w:pPr>
        <w:spacing w:after="0" w:line="18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This forum selection provision is waived, with respect to an action, if no party invokes it within 120 days of the filing of an action. This provision does not relieve any claimant from any obligation existing under the Plan or by law to exhaust administrative remedies before initiating litigation.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b w:val="1"/>
          <w:bCs w:val="1"/>
          <w:u w:val="single" w:color="auto"/>
          <w:color w:val="auto"/>
        </w:rPr>
        <w:t>Scrivener’s Errors</w:t>
      </w:r>
    </w:p>
    <w:p>
      <w:pPr>
        <w:spacing w:after="0" w:line="224"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The Plan shall be applied and interpreted without regard to any scrivener's error in this instrument. The determination whether a scrivener's error has occurred shall be made by the Plan Administrator in the exercise of the Plan Administrator’s best judgment and sole discretion, based on the Plan Administrator’s understanding of the intent of the Company as settlor of the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and taking into account such evidence, written or oral, as the Plan Administrator deems appropriate or helpful. The Plan Administrator is authorized to correct any scrivener's errors the Plan Administrator discovers in this instrument, retroactively or prospectively.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b w:val="1"/>
          <w:bCs w:val="1"/>
          <w:u w:val="single" w:color="auto"/>
          <w:color w:val="auto"/>
        </w:rPr>
        <w:t>Rules of Construction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Plan, unless the contrary is clearly indicated by the context: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(a)the use of the masculine gender in this Plan shall also include within its meaning the feminine gender and vice versa;</w:t>
      </w:r>
    </w:p>
    <w:p>
      <w:pPr>
        <w:spacing w:after="0" w:line="22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singular shall also include within its meaning the plural and vice versa;</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"include" shall mean to include, but not to be limited to;</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statute or section of a statute shall further be a reference to any successor or amended statute or section, and any regulations or other guidance of general applicability issued thereunder;</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 of an officer, employee, or entity used in this Plan means the respective officer, employee, or entity of Eli Lilly and Company and means any successor title to such position as such title may be changed from time to time;</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Plan Administrator, or other named fiduciary, officer or employee of the Company, or other person or entity with responsibility or authority under the Plan shall include delegates (if any) of such entity or person, with respect to such entity's or person's delegated responsibilities; and</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and headings of each article, section, paragraph, and other provision of the Plan are for convenience and reference only and are not to be considered in interpreting the terms and conditions of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b w:val="1"/>
          <w:bCs w:val="1"/>
          <w:u w:val="single" w:color="auto"/>
          <w:color w:val="auto"/>
        </w:rPr>
        <w:t>Effective Date; Amendment and Termination</w:t>
      </w:r>
    </w:p>
    <w:p>
      <w:pPr>
        <w:spacing w:after="0" w:line="224"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The Plan, as amended and restated, shall become effective for deferrals on and after January 1, 2017, and for each Plan Year thereafter until terminated by the Board, contingent upon receiving the approval of the Company’s shareholders at the Company’s 2017 annual meeting. The Board may amend or terminate the Plan at any time and in any manner; provided that no amendment or termination shall reduce the amount credited to a Participant’s Account at the time of any such amendment or termination, and no amendment shall be effective that shall cause the Plan to fail to meet the requirements of Section 409A. Upon termination of the Plan in accordance with the requirements of Section 409A, (i) all future deferrals of compensation will cease, (ii) all Plan Accounts will continue to receive interest credits (or be invested) as permitted under the Plan, and (iii) all Plan Accounts will be distributed in accordance with the Participant’s elections under the provisions of the Plan, unless the Company determines in its sole discretion that all such amounts shall be distributed upon termination in accordance with the requirements of Section 409A.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GRANDFATHERED AMOUNTS</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Distribution of amounts that were earned and vested (within the meaning of Section 409A) under the Plan prior to 2005 (and earnings thereon) and are exempt from the requirements of Section 409A shall be made in accordance with the Plan terms as in effect on January 1, 2004, as attached below.</w:t>
      </w:r>
    </w:p>
    <w:p>
      <w:pPr>
        <w:spacing w:after="0" w:line="21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THE LILLY DIRECTORS' DEFERRAL PLAN</w:t>
      </w:r>
    </w:p>
    <w:p>
      <w:pPr>
        <w:spacing w:after="0" w:line="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(As amended and restated through January 1, 2004)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 Establishment of the Plan and Shares Available.</w:t>
      </w:r>
    </w:p>
    <w:p>
      <w:pPr>
        <w:spacing w:after="0" w:line="26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1.1. Establishment of Plan.</w:t>
      </w:r>
      <w:r>
        <w:rPr>
          <w:rFonts w:ascii="Times New Roman" w:cs="Times New Roman" w:eastAsia="Times New Roman" w:hAnsi="Times New Roman"/>
          <w:sz w:val="22"/>
          <w:szCs w:val="22"/>
          <w:color w:val="auto"/>
        </w:rPr>
        <w:t xml:space="preserve"> This Plan was established effective January 1, 1996, to permit Directors of the Company who are not salaried employees of the Company to voluntarily defer receipt of some or all of their meeting fees and retainer and to share in the long-term growth of the Company by acquiring, on a deferred basis, an ownership interest in the Company. This amended and restated Plan is effective January 1, 2004.</w:t>
      </w:r>
    </w:p>
    <w:p>
      <w:pPr>
        <w:spacing w:after="0" w:line="220" w:lineRule="exact"/>
        <w:rPr>
          <w:sz w:val="20"/>
          <w:szCs w:val="20"/>
          <w:color w:val="auto"/>
        </w:rPr>
      </w:pPr>
    </w:p>
    <w:p>
      <w:pPr>
        <w:jc w:val="both"/>
        <w:ind w:right="4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1.2. Shares Available.</w:t>
      </w:r>
      <w:r>
        <w:rPr>
          <w:rFonts w:ascii="Times New Roman" w:cs="Times New Roman" w:eastAsia="Times New Roman" w:hAnsi="Times New Roman"/>
          <w:sz w:val="22"/>
          <w:szCs w:val="22"/>
          <w:color w:val="auto"/>
        </w:rPr>
        <w:t xml:space="preserve"> Subject to adjustment as provided in Section 7.5, the aggregate number of shares of Eli Lilly and Company common stock that may be issued or transferred under this Plan after April 28, 2003, is 750,000. The shares may be authorized and unissued shares or treasury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2. Definitions.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shall have the definitions set forth in this Section 2:</w:t>
      </w:r>
    </w:p>
    <w:p>
      <w:pPr>
        <w:spacing w:after="0" w:line="26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2.1. Annual Allocation Date</w:t>
      </w:r>
      <w:r>
        <w:rPr>
          <w:rFonts w:ascii="Times New Roman" w:cs="Times New Roman" w:eastAsia="Times New Roman" w:hAnsi="Times New Roman"/>
          <w:sz w:val="22"/>
          <w:szCs w:val="22"/>
          <w:color w:val="auto"/>
        </w:rPr>
        <w:t>. The last Business Day in November of each calendar year, or such other annual date, not earlier than the third Monday in February, established by the Committee as the date as of which Shares are allocated to each Share Account in accordance with Section 6.</w:t>
      </w:r>
    </w:p>
    <w:p>
      <w:pPr>
        <w:spacing w:after="0" w:line="214"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2.2. Beneficiary</w:t>
      </w:r>
      <w:r>
        <w:rPr>
          <w:rFonts w:ascii="Times New Roman" w:cs="Times New Roman" w:eastAsia="Times New Roman" w:hAnsi="Times New Roman"/>
          <w:sz w:val="22"/>
          <w:szCs w:val="22"/>
          <w:color w:val="auto"/>
        </w:rPr>
        <w:t>. The beneficiary or beneficiaries (including any contingent beneficiary or beneficiaries) designated pursuant to subsection 8.3 hereof.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2.3 Business Day.</w:t>
      </w:r>
      <w:r>
        <w:rPr>
          <w:rFonts w:ascii="Times New Roman" w:cs="Times New Roman" w:eastAsia="Times New Roman" w:hAnsi="Times New Roman"/>
          <w:sz w:val="22"/>
          <w:szCs w:val="22"/>
          <w:color w:val="auto"/>
        </w:rPr>
        <w:t xml:space="preserve"> A day on which the Company’s corporate headquarters are open for regular business.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2.4. Board of Directors</w:t>
      </w:r>
      <w:r>
        <w:rPr>
          <w:rFonts w:ascii="Times New Roman" w:cs="Times New Roman" w:eastAsia="Times New Roman" w:hAnsi="Times New Roman"/>
          <w:sz w:val="22"/>
          <w:szCs w:val="22"/>
          <w:color w:val="auto"/>
        </w:rPr>
        <w:t>. The Board of Directors of the Company.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5" w:right="239" w:bottom="1440" w:gutter="0" w:footer="0" w:header="0"/>
        </w:sectPr>
      </w:pPr>
    </w:p>
    <w:bookmarkStart w:id="64" w:name="page65"/>
    <w:bookmarkEnd w:id="64"/>
    <w:p>
      <w:pPr>
        <w:jc w:val="both"/>
        <w:ind w:right="920"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2.5. Committee</w:t>
      </w:r>
      <w:r>
        <w:rPr>
          <w:rFonts w:ascii="Times New Roman" w:cs="Times New Roman" w:eastAsia="Times New Roman" w:hAnsi="Times New Roman"/>
          <w:sz w:val="21"/>
          <w:szCs w:val="21"/>
          <w:color w:val="auto"/>
        </w:rPr>
        <w:t>. The Directors and Corporate Governance Committee of the Board of Directors, or any successor committee of the Board of Directors that is charged with matters relating to the compensation of non-employee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2.6. Company</w:t>
      </w:r>
      <w:r>
        <w:rPr>
          <w:rFonts w:ascii="Times New Roman" w:cs="Times New Roman" w:eastAsia="Times New Roman" w:hAnsi="Times New Roman"/>
          <w:sz w:val="22"/>
          <w:szCs w:val="22"/>
          <w:color w:val="auto"/>
        </w:rPr>
        <w:t>. Eli Lilly and Company.</w:t>
      </w:r>
    </w:p>
    <w:p>
      <w:pPr>
        <w:spacing w:after="0" w:line="260"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2.7. Company Credit</w:t>
      </w:r>
      <w:r>
        <w:rPr>
          <w:rFonts w:ascii="Times New Roman" w:cs="Times New Roman" w:eastAsia="Times New Roman" w:hAnsi="Times New Roman"/>
          <w:sz w:val="22"/>
          <w:szCs w:val="22"/>
          <w:color w:val="auto"/>
        </w:rPr>
        <w:t>. For any calendar year or part thereof, an amount computed, and credited annually to a Participant's Deferred Compensation Account at an annual rate that is equal to one hundred twenty percent (120%) of the applicable federal long-term rate, with compounding (as prescribed under Section 1274(d) of the Internal Revenue Code) that was in effect for the month of December immediately preceding the calendar year.</w:t>
      </w:r>
    </w:p>
    <w:p>
      <w:pPr>
        <w:spacing w:after="0" w:line="22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2.8. Deferred Amount</w:t>
      </w:r>
      <w:r>
        <w:rPr>
          <w:rFonts w:ascii="Times New Roman" w:cs="Times New Roman" w:eastAsia="Times New Roman" w:hAnsi="Times New Roman"/>
          <w:sz w:val="22"/>
          <w:szCs w:val="22"/>
          <w:color w:val="auto"/>
        </w:rPr>
        <w:t>. The amount of a Monthly Deferral Participant's Monthly Compensation that the Participant elects to defer in accordance with Section 4 hereof.</w:t>
      </w:r>
    </w:p>
    <w:p>
      <w:pPr>
        <w:spacing w:after="0" w:line="198"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2.9. Deferred Stock Participant</w:t>
      </w:r>
      <w:r>
        <w:rPr>
          <w:rFonts w:ascii="Times New Roman" w:cs="Times New Roman" w:eastAsia="Times New Roman" w:hAnsi="Times New Roman"/>
          <w:sz w:val="22"/>
          <w:szCs w:val="22"/>
          <w:color w:val="auto"/>
        </w:rPr>
        <w:t>. A Director who is not, and for the preceding 12 months has not been, a salaried employee of the Company and who becomes a Participant in the Plan in accordance with Section 3 hereof.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2.10. Director</w:t>
      </w:r>
      <w:r>
        <w:rPr>
          <w:rFonts w:ascii="Times New Roman" w:cs="Times New Roman" w:eastAsia="Times New Roman" w:hAnsi="Times New Roman"/>
          <w:sz w:val="22"/>
          <w:szCs w:val="22"/>
          <w:color w:val="auto"/>
        </w:rPr>
        <w:t>. A member of the Board of Directors.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2.11. Dividend Payment Date</w:t>
      </w:r>
      <w:r>
        <w:rPr>
          <w:rFonts w:ascii="Times New Roman" w:cs="Times New Roman" w:eastAsia="Times New Roman" w:hAnsi="Times New Roman"/>
          <w:sz w:val="22"/>
          <w:szCs w:val="22"/>
          <w:color w:val="auto"/>
        </w:rPr>
        <w:t>. The date as of which the Company pays a cash dividend on Shares.</w:t>
      </w:r>
    </w:p>
    <w:p>
      <w:pPr>
        <w:spacing w:after="0" w:line="26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2.12. Dividend Record Date</w:t>
      </w:r>
      <w:r>
        <w:rPr>
          <w:rFonts w:ascii="Times New Roman" w:cs="Times New Roman" w:eastAsia="Times New Roman" w:hAnsi="Times New Roman"/>
          <w:sz w:val="22"/>
          <w:szCs w:val="22"/>
          <w:color w:val="auto"/>
        </w:rPr>
        <w:t>. With respect to any Dividend Payment Date, the date established by the Board of Directors as the record date for determining shareholders entitled to the dividend.</w:t>
      </w:r>
    </w:p>
    <w:p>
      <w:pPr>
        <w:spacing w:after="0" w:line="198"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2.13. Individual Accounts or Accounts</w:t>
      </w:r>
      <w:r>
        <w:rPr>
          <w:rFonts w:ascii="Times New Roman" w:cs="Times New Roman" w:eastAsia="Times New Roman" w:hAnsi="Times New Roman"/>
          <w:sz w:val="21"/>
          <w:szCs w:val="21"/>
          <w:color w:val="auto"/>
        </w:rPr>
        <w:t>. The separate accounts (the Deferred Compensation Account and the Share Account) described in Section 7 hereof. When used in the singular, the term shall refer to one of these two accounts, as the context requires.</w:t>
      </w:r>
    </w:p>
    <w:p>
      <w:pPr>
        <w:spacing w:after="0" w:line="176"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2.14. Monthly Compensation</w:t>
      </w:r>
      <w:r>
        <w:rPr>
          <w:rFonts w:ascii="Times New Roman" w:cs="Times New Roman" w:eastAsia="Times New Roman" w:hAnsi="Times New Roman"/>
          <w:sz w:val="22"/>
          <w:szCs w:val="22"/>
          <w:color w:val="auto"/>
        </w:rPr>
        <w:t>. For any month, the monthly retainer and the aggregate of all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6 of this Plan.</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2.15. Monthly Deferral Participant</w:t>
      </w:r>
      <w:r>
        <w:rPr>
          <w:rFonts w:ascii="Times New Roman" w:cs="Times New Roman" w:eastAsia="Times New Roman" w:hAnsi="Times New Roman"/>
          <w:sz w:val="22"/>
          <w:szCs w:val="22"/>
          <w:color w:val="auto"/>
        </w:rPr>
        <w:t>. A Director who is not a salaried employee of the Company and who has elected to defer all or part of his or her Compensation pursuant to the Plan in accordance with Section 4 hereof.</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00"/>
          </w:cols>
          <w:pgMar w:left="240" w:top="369" w:right="25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2"/>
          <w:szCs w:val="22"/>
          <w:u w:val="single" w:color="auto"/>
          <w:color w:val="auto"/>
        </w:rPr>
        <w:t>2.16. Participant</w:t>
      </w:r>
      <w:r>
        <w:rPr>
          <w:rFonts w:ascii="Times New Roman" w:cs="Times New Roman" w:eastAsia="Times New Roman" w:hAnsi="Times New Roman"/>
          <w:sz w:val="22"/>
          <w:szCs w:val="22"/>
          <w:color w:val="auto"/>
        </w:rPr>
        <w:t>. A Director who is a Deferred Stock Participant, a Monthly Deferral Participant, or both.</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2.17. Plan</w:t>
      </w:r>
      <w:r>
        <w:rPr>
          <w:rFonts w:ascii="Times New Roman" w:cs="Times New Roman" w:eastAsia="Times New Roman" w:hAnsi="Times New Roman"/>
          <w:sz w:val="22"/>
          <w:szCs w:val="22"/>
          <w:color w:val="auto"/>
        </w:rPr>
        <w:t>. The Lilly Directors' Deferral Plan, as set forth herein and as it may be amended from time to time.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2.18. Share</w:t>
      </w:r>
      <w:r>
        <w:rPr>
          <w:rFonts w:ascii="Times New Roman" w:cs="Times New Roman" w:eastAsia="Times New Roman" w:hAnsi="Times New Roman"/>
          <w:sz w:val="22"/>
          <w:szCs w:val="22"/>
          <w:color w:val="auto"/>
        </w:rPr>
        <w:t>. A share of common stock of the Company.</w:t>
      </w:r>
    </w:p>
    <w:p>
      <w:pPr>
        <w:spacing w:after="0" w:line="260"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2.19. Valuation Date</w:t>
      </w:r>
      <w:r>
        <w:rPr>
          <w:rFonts w:ascii="Times New Roman" w:cs="Times New Roman" w:eastAsia="Times New Roman" w:hAnsi="Times New Roman"/>
          <w:sz w:val="22"/>
          <w:szCs w:val="22"/>
          <w:color w:val="auto"/>
        </w:rPr>
        <w:t>. For any month, the third Monday of the month, or if Shares are not traded on the New York Stock Exchange on such third Monday, the next day on which Shares are traded on the New York Stock Exchange.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3. Deferred Stock Participants.</w:t>
      </w:r>
    </w:p>
    <w:p>
      <w:pPr>
        <w:spacing w:after="0" w:line="2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Each Director who participated in The Lilly Non-Employee Directors' Deferred Stock Plan immediately before the effective date of this Plan shall continue as a Deferred Stock Participant on such effective date, and all elections in effect under The Lilly Non-Employee Directors' Deferred Stock Plan shall remain in effect under this Plan, unless and until amended in accordance with this Plan. Thereafter, each person who becomes a Director, and who is not, and for the preceding 12 months has not been, a salaried employee of the Company, shall become a Deferred Stock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 Monthly Deferral Participants.</w:t>
      </w:r>
    </w:p>
    <w:p>
      <w:pPr>
        <w:spacing w:after="0" w:line="2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Each Director who participated in The Lilly Directors' Deferred Compensation Plan immediately before the effective date of the Plan shall continue as a Monthly Deferral Participant on such effective date, and all elections in effect under The Lilly Directors' Deferred Compensation Plan shall remain in effect under this Plan, unless and until amended in accordance with this Plan. Prior to the beginning of each calendar year, any Director who is not a salaried employee of the Company may defer the receipt of Monthly Compensation to be earned by the Director during such year by filing with the Company a written election that:</w:t>
      </w:r>
    </w:p>
    <w:p>
      <w:pPr>
        <w:spacing w:after="0" w:line="222" w:lineRule="exact"/>
        <w:rPr>
          <w:sz w:val="20"/>
          <w:szCs w:val="20"/>
          <w:color w:val="auto"/>
        </w:rPr>
      </w:pPr>
    </w:p>
    <w:p>
      <w:pPr>
        <w:ind w:right="240" w:firstLine="1305"/>
        <w:spacing w:after="0" w:line="295" w:lineRule="auto"/>
        <w:tabs>
          <w:tab w:leader="none" w:pos="155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defers payment of a designated amount (of one Thousand Dollars ($1,000) or more) or percentage of his or her Monthly Compensation for services attributable to the following calendar year or portion thereof (the "Deferred Amount");</w:t>
      </w:r>
    </w:p>
    <w:p>
      <w:pPr>
        <w:spacing w:after="0" w:line="176" w:lineRule="exact"/>
        <w:rPr>
          <w:rFonts w:ascii="Times New Roman" w:cs="Times New Roman" w:eastAsia="Times New Roman" w:hAnsi="Times New Roman"/>
          <w:sz w:val="21"/>
          <w:szCs w:val="21"/>
          <w:color w:val="auto"/>
        </w:rPr>
      </w:pPr>
    </w:p>
    <w:p>
      <w:pPr>
        <w:ind w:left="1620" w:hanging="315"/>
        <w:spacing w:after="0"/>
        <w:tabs>
          <w:tab w:leader="none" w:pos="16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specifies the payment option selected by the Participant pursuant to subsection 8.2 hereof for such Deferred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and</w:t>
      </w:r>
    </w:p>
    <w:p>
      <w:pPr>
        <w:spacing w:after="0" w:line="236"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specifies the option selected by the Participant pursuant to Section 5 hereof for such Deferred Amount.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80"/>
          </w:cols>
          <w:pgMar w:left="240" w:top="369" w:right="279" w:bottom="1440" w:gutter="0" w:footer="0" w:header="0"/>
        </w:sectPr>
      </w:pPr>
    </w:p>
    <w:bookmarkStart w:id="66" w:name="page67"/>
    <w:bookmarkEnd w:id="66"/>
    <w:p>
      <w:pPr>
        <w:ind w:right="40"/>
        <w:spacing w:after="0" w:line="247" w:lineRule="auto"/>
        <w:rPr>
          <w:sz w:val="20"/>
          <w:szCs w:val="20"/>
          <w:color w:val="auto"/>
        </w:rPr>
      </w:pPr>
      <w:r>
        <w:rPr>
          <w:rFonts w:ascii="Times New Roman" w:cs="Times New Roman" w:eastAsia="Times New Roman" w:hAnsi="Times New Roman"/>
          <w:sz w:val="22"/>
          <w:szCs w:val="22"/>
          <w:color w:val="auto"/>
        </w:rPr>
        <w:t>The amount deferred may not exceed the Director's aggregate Monthly Compensation for the calendar year. Notwithstanding the foregoing, any individual who is newly elected or appointed to serve as a Director may, not later than thirty (30) days after his election or appointment becomes effective, elect in accordance with the preceding provisions of this Section 4, to defer the receipt of Monthly Compensation earned during the portion of the current calendar year that follows the filing of the election with the Company. Except as provided in subsections 8.2 and 8.4 hereof, any elections made pursuant to this Section 4 with respect to a calendar year shall be irrevocable when made. If a Participant fails to make an election under section 5 with respect to his or her Deferred Amount for a future calendar year, the Participant's previous election shall remain in effect, provided that the Participant may amend his or her election with regard to a future calendar year at any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5. Form of Deferred Compensation Credits.</w:t>
      </w:r>
    </w:p>
    <w:p>
      <w:pPr>
        <w:spacing w:after="0" w:line="264" w:lineRule="exact"/>
        <w:rPr>
          <w:sz w:val="20"/>
          <w:szCs w:val="20"/>
          <w:color w:val="auto"/>
        </w:rPr>
      </w:pPr>
    </w:p>
    <w:p>
      <w:pPr>
        <w:jc w:val="both"/>
        <w:ind w:right="420"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5.1. Deferred Compensation Account</w:t>
      </w:r>
      <w:r>
        <w:rPr>
          <w:rFonts w:ascii="Times New Roman" w:cs="Times New Roman" w:eastAsia="Times New Roman" w:hAnsi="Times New Roman"/>
          <w:sz w:val="21"/>
          <w:szCs w:val="21"/>
          <w:color w:val="auto"/>
        </w:rPr>
        <w:t>. Except with respect to Deferred Amounts which a Monthly Deferral Participant elects to have credited in Shares in accordance with subsection 5.2 hereof, the Deferred Amount shall be denominated in U.S. dollars and credited to the Participant's Deferred Compensation Account pursuant to subsection 7.1 hereof.</w:t>
      </w:r>
    </w:p>
    <w:p>
      <w:pPr>
        <w:spacing w:after="0" w:line="196" w:lineRule="exact"/>
        <w:rPr>
          <w:sz w:val="20"/>
          <w:szCs w:val="20"/>
          <w:color w:val="auto"/>
        </w:rPr>
      </w:pPr>
    </w:p>
    <w:p>
      <w:pPr>
        <w:ind w:right="48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5.2. Shares</w:t>
      </w:r>
      <w:r>
        <w:rPr>
          <w:rFonts w:ascii="Times New Roman" w:cs="Times New Roman" w:eastAsia="Times New Roman" w:hAnsi="Times New Roman"/>
          <w:sz w:val="22"/>
          <w:szCs w:val="22"/>
          <w:color w:val="auto"/>
        </w:rPr>
        <w:t>. Prior to the beginning of each calendar year, a Monthly Deferral Participant may elect to have all or a percentage of the Deferred Amount for the following calendar year credited in Shares and allocated to the Participant's Share Account pursuant to subsection 7.2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6. Annual Allocations to Share Accounts.</w:t>
      </w:r>
    </w:p>
    <w:p>
      <w:pPr>
        <w:spacing w:after="0" w:line="26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6.1. Annual Allocation of Shares</w:t>
      </w:r>
      <w:r>
        <w:rPr>
          <w:rFonts w:ascii="Times New Roman" w:cs="Times New Roman" w:eastAsia="Times New Roman" w:hAnsi="Times New Roman"/>
          <w:sz w:val="22"/>
          <w:szCs w:val="22"/>
          <w:color w:val="auto"/>
        </w:rPr>
        <w:t>. As of the Annual Allocation Date of each calendar year, there shall be allocated to the Share Account (as described in Section 7.2 below) of each Deferred Stock Participant who is a Director on that date, as part of his or her compensation for service on the Board of Directors, seven hundred (700) Shares or such other number of Shares, not to exceed 3,000 shares, as may be specified from time to time by resolution of the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7. Individual Accounts.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shall maintain Individual Accounts for Participants as follows:</w:t>
      </w:r>
    </w:p>
    <w:p>
      <w:pPr>
        <w:spacing w:after="0" w:line="26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7.1. Deferred Compensation Account</w:t>
      </w:r>
      <w:r>
        <w:rPr>
          <w:rFonts w:ascii="Times New Roman" w:cs="Times New Roman" w:eastAsia="Times New Roman" w:hAnsi="Times New Roman"/>
          <w:sz w:val="21"/>
          <w:szCs w:val="21"/>
          <w:color w:val="auto"/>
        </w:rPr>
        <w:t>. The Company shall maintain a Deferred Compensation Account in the name of each Monthly Deferral Participant who elects to defer the receipt of Monthly Compensation pursuant to Section 4 hereof for a calendar year and does not elect to have the Deferred Amount for such calendar year credited in Shares pursuant to subsection 5.2 hereof.</w:t>
      </w:r>
    </w:p>
    <w:p>
      <w:pPr>
        <w:spacing w:after="0" w:line="3"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2"/>
          <w:szCs w:val="22"/>
          <w:color w:val="auto"/>
        </w:rPr>
        <w:t>The Deferred Compensation Account shall be denominated in U.S. dollars, rounded to the nearest whole cent. For each month, Deferred Amounts allocated to a</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00"/>
          </w:cols>
          <w:pgMar w:left="240" w:top="369" w:right="359" w:bottom="1440" w:gutter="0" w:footer="0" w:header="0"/>
        </w:sectPr>
      </w:pPr>
    </w:p>
    <w:bookmarkStart w:id="67" w:name="page68"/>
    <w:bookmarkEnd w:id="67"/>
    <w:p>
      <w:pPr>
        <w:ind w:right="240"/>
        <w:spacing w:after="0" w:line="271" w:lineRule="auto"/>
        <w:rPr>
          <w:sz w:val="20"/>
          <w:szCs w:val="20"/>
          <w:color w:val="auto"/>
        </w:rPr>
      </w:pPr>
      <w:r>
        <w:rPr>
          <w:rFonts w:ascii="Times New Roman" w:cs="Times New Roman" w:eastAsia="Times New Roman" w:hAnsi="Times New Roman"/>
          <w:sz w:val="22"/>
          <w:szCs w:val="22"/>
          <w:color w:val="auto"/>
        </w:rPr>
        <w:t>Deferred Compensation Account pursuant to subsection 5.1 hereof shall be credited to the Deferred Compensation Account as of the last Business Day of the month.</w:t>
      </w:r>
    </w:p>
    <w:p>
      <w:pPr>
        <w:spacing w:after="0" w:line="19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7.2. Share Account</w:t>
      </w:r>
      <w:r>
        <w:rPr>
          <w:rFonts w:ascii="Times New Roman" w:cs="Times New Roman" w:eastAsia="Times New Roman" w:hAnsi="Times New Roman"/>
          <w:sz w:val="22"/>
          <w:szCs w:val="22"/>
          <w:color w:val="auto"/>
        </w:rPr>
        <w:t>. The Company shall maintain a Share Account for each Deferred Stock Participant and for each Monthly Deferral Participant who elects to have a Deferred Amount credited in Shares pursuant to subsection 5.2 hereof. The Share Account shall be denominated in Shares and maintained in fractions rounded to three (3) decimal places. Shares allocated to each Share Account shall be hypothetical and not issued or transferred by the Company until payment is made pursuant to Section 8 hereof.</w:t>
      </w:r>
    </w:p>
    <w:p>
      <w:pPr>
        <w:spacing w:after="0" w:line="222"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For each month, Deferred Amounts allocated to a Share Account pursuant to subsection 5.2 hereof shall be credited to the Share Account as of the last Business Day of the month. Shares and, if necessary, fractional Shares, shall be credited based upon the average of the high and low price of Shares on the New York Stock Exchange on the Valuation Date for that month.</w:t>
      </w:r>
    </w:p>
    <w:p>
      <w:pPr>
        <w:spacing w:after="0" w:line="214" w:lineRule="exact"/>
        <w:rPr>
          <w:sz w:val="20"/>
          <w:szCs w:val="20"/>
          <w:color w:val="auto"/>
        </w:rPr>
      </w:pPr>
    </w:p>
    <w:p>
      <w:pPr>
        <w:ind w:right="26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7.3. Accrual of Company Credit</w:t>
      </w:r>
      <w:r>
        <w:rPr>
          <w:rFonts w:ascii="Times New Roman" w:cs="Times New Roman" w:eastAsia="Times New Roman" w:hAnsi="Times New Roman"/>
          <w:sz w:val="22"/>
          <w:szCs w:val="22"/>
          <w:color w:val="auto"/>
        </w:rPr>
        <w:t>. The Treasurer of the Company shall determine the annual rate of Company Credit on or before December 31 of each calendar year. This rate shall be effective for the following calendar year. The Company Credit shall accrue monthly, at one-twelfth of the applicable annual rate, on all amounts credited to a Participant's Deferred Compensation Account, including the Company Credits for prior years. The Company Credit shall not accrue on any amount distributed to a Participant (or to the Participant's Beneficiary) during the month for which the accrual is determined, except where an amount is distributed to a Beneficiary in the month of the Participant's death. The Company Credit for each year shall be credited to each Deferred Compensation Account as of December 31 of that year and shall be compounded monthly.</w:t>
      </w:r>
    </w:p>
    <w:p>
      <w:pPr>
        <w:spacing w:after="0" w:line="22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7.4. Cash Dividends</w:t>
      </w:r>
      <w:r>
        <w:rPr>
          <w:rFonts w:ascii="Times New Roman" w:cs="Times New Roman" w:eastAsia="Times New Roman" w:hAnsi="Times New Roman"/>
          <w:sz w:val="22"/>
          <w:szCs w:val="22"/>
          <w:color w:val="auto"/>
        </w:rPr>
        <w:t>. Cash dividends paid on Shares shall be deemed to have been paid on the Shares allocated to each Participant's Share Account as if the allocated Shares were actual Shares issued and outstanding on the Dividend Record Date. An amount equal to the amount of such dividends shall be credited in Shares to each Share Account as of the last Business Day of each month in which a Dividend Payment Date occurs, based upon the average of the high and low prices for Shares on the New York Stock Exchange on the Valuation Date for that month.</w:t>
      </w:r>
    </w:p>
    <w:p>
      <w:pPr>
        <w:spacing w:after="0" w:line="222"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7.5. Capital Adjustments</w:t>
      </w:r>
      <w:r>
        <w:rPr>
          <w:rFonts w:ascii="Times New Roman" w:cs="Times New Roman" w:eastAsia="Times New Roman" w:hAnsi="Times New Roman"/>
          <w:sz w:val="21"/>
          <w:szCs w:val="21"/>
          <w:color w:val="auto"/>
        </w:rPr>
        <w:t>. The number of Shares referred to in Sections 1.2 and 6 hereof and the number of Shares allocated to each Share Account shall be adjusted by the Committee, as it deems appropriate in its discretion, in the event of any subdivision or combination of Shares or any stock dividend, stock split, reorganization, recapitalization, or consolidation or merger with Eli Lilly and Company as the surviving corporation, or if additional shares or new or different shares or other securities of the Company or any other issuer are distributed with respect to Shares through a spin-off or other extraordinary distribution.</w:t>
      </w:r>
    </w:p>
    <w:p>
      <w:pPr>
        <w:spacing w:after="0" w:line="206"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7.6. Account Statements</w:t>
      </w:r>
      <w:r>
        <w:rPr>
          <w:rFonts w:ascii="Times New Roman" w:cs="Times New Roman" w:eastAsia="Times New Roman" w:hAnsi="Times New Roman"/>
          <w:sz w:val="22"/>
          <w:szCs w:val="22"/>
          <w:color w:val="auto"/>
        </w:rPr>
        <w:t>. Within a reasonable time following the end of each calendar year, the Company shall render an annual statement to each Participant. The annual statement shall report the number of Shares credited to the Participant's Share Account as of December 31</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68" w:name="page69"/>
    <w:bookmarkEnd w:id="68"/>
    <w:p>
      <w:pPr>
        <w:ind w:right="240"/>
        <w:spacing w:after="0" w:line="271" w:lineRule="auto"/>
        <w:rPr>
          <w:sz w:val="20"/>
          <w:szCs w:val="20"/>
          <w:color w:val="auto"/>
        </w:rPr>
      </w:pPr>
      <w:r>
        <w:rPr>
          <w:rFonts w:ascii="Times New Roman" w:cs="Times New Roman" w:eastAsia="Times New Roman" w:hAnsi="Times New Roman"/>
          <w:sz w:val="22"/>
          <w:szCs w:val="22"/>
          <w:color w:val="auto"/>
        </w:rPr>
        <w:t>of that year and the dollar amount, if any, credited to the Participant's Deferred Compensation Account as of December 31 of that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8. Payment Provisions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8.l. Method of Payment</w:t>
      </w:r>
      <w:r>
        <w:rPr>
          <w:rFonts w:ascii="Times New Roman" w:cs="Times New Roman" w:eastAsia="Times New Roman" w:hAnsi="Times New Roman"/>
          <w:sz w:val="22"/>
          <w:szCs w:val="22"/>
          <w:color w:val="auto"/>
        </w:rPr>
        <w:t>. All payments to a Participant (or to a Participant's Beneficiary) with respect to the Participant's Deferred Compensation Account shall be paid in cash. Except as provided in Section 8.5, all payments to a Participant (or to a Participant's Beneficiary) with respect to the Participant's Share Account shall be paid in Shares, at which time the Shares shall be issued or transferred on the books of the Company.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Share Account shall be rounded up to the next whole Share and that number of whole Shares shall be issued or transferred. If Shares are not traded on the New York Stock Exchange on any day on which a payment of Shares is to be made under the Plan, then that payment shall be made on the next day on which Shares are traded on the New York Stock Exchange.</w:t>
      </w:r>
    </w:p>
    <w:p>
      <w:pPr>
        <w:spacing w:after="0" w:line="232"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8.2. Payment Options</w:t>
      </w:r>
      <w:r>
        <w:rPr>
          <w:rFonts w:ascii="Times New Roman" w:cs="Times New Roman" w:eastAsia="Times New Roman" w:hAnsi="Times New Roman"/>
          <w:sz w:val="22"/>
          <w:szCs w:val="22"/>
          <w:color w:val="auto"/>
        </w:rPr>
        <w:t>. Prior to each calendar year, or within 30 days after becoming a Participant, the Participant shall select a payment election with respect to the payment of one or both of the Participant's Individual Accounts from the following payment elections:</w:t>
      </w:r>
    </w:p>
    <w:p>
      <w:pPr>
        <w:spacing w:after="0" w:line="214" w:lineRule="exact"/>
        <w:rPr>
          <w:sz w:val="20"/>
          <w:szCs w:val="20"/>
          <w:color w:val="auto"/>
        </w:rPr>
      </w:pPr>
    </w:p>
    <w:p>
      <w:pPr>
        <w:ind w:right="460" w:firstLine="1305"/>
        <w:spacing w:after="0" w:line="271" w:lineRule="auto"/>
        <w:tabs>
          <w:tab w:leader="none" w:pos="15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in January of the calendar year immediately following the calendar year in which the Participant ceases to be a Director;</w:t>
      </w:r>
    </w:p>
    <w:p>
      <w:pPr>
        <w:spacing w:after="0" w:line="198"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in January of the second calendar year following the calendar year in which the Participant ceases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a Director;</w:t>
      </w:r>
    </w:p>
    <w:p>
      <w:pPr>
        <w:spacing w:after="0" w:line="236" w:lineRule="exact"/>
        <w:rPr>
          <w:rFonts w:ascii="Times New Roman" w:cs="Times New Roman" w:eastAsia="Times New Roman" w:hAnsi="Times New Roman"/>
          <w:sz w:val="21"/>
          <w:szCs w:val="21"/>
          <w:color w:val="auto"/>
        </w:rPr>
      </w:pPr>
    </w:p>
    <w:p>
      <w:pPr>
        <w:ind w:right="160" w:firstLine="1305"/>
        <w:spacing w:after="0" w:line="257" w:lineRule="auto"/>
        <w:tabs>
          <w:tab w:leader="none" w:pos="16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in the case of the Deferred Compensation Account only, monthly) installments over a period of two to ten years commencing in January of the calendar year following the calendar year during which the Participant ceases to be a Director; or</w:t>
      </w:r>
    </w:p>
    <w:p>
      <w:pPr>
        <w:spacing w:after="0" w:line="213" w:lineRule="exact"/>
        <w:rPr>
          <w:rFonts w:ascii="Times New Roman" w:cs="Times New Roman" w:eastAsia="Times New Roman" w:hAnsi="Times New Roman"/>
          <w:sz w:val="22"/>
          <w:szCs w:val="22"/>
          <w:color w:val="auto"/>
        </w:rPr>
      </w:pPr>
    </w:p>
    <w:p>
      <w:pPr>
        <w:ind w:right="100" w:firstLine="1305"/>
        <w:spacing w:after="0" w:line="257" w:lineRule="auto"/>
        <w:tabs>
          <w:tab w:leader="none" w:pos="166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in the case of the Deferred Compensation Account only, monthly) installments over a period of two to ten years commencing in January of the second calendar year following the calendar year in which the Participant ceases to be a director.</w:t>
      </w: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If a payment option described in paragraphs (i) or (ii), above, has been elected, the amount of the lump sum with respect to the Participant's Deferred Compensation Account shall be equal to the amount credited to the Participant's Deferred Compensation Account as of the December 31 immediately preceding the date of the payment, and the amount of the lump sum with respect to the Participant's Share Account shall be equal to the number of Shares credited to the Share Account as of the December 31 immediately preceding the date of payment. If a payment option described in paragraphs (iii) or (iv), above, has been elected, the amount of each installment with respect to the Participant's Deferred Compensation Account shall be equal to the amount credited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69" w:name="page70"/>
    <w:bookmarkEnd w:id="69"/>
    <w:p>
      <w:pPr>
        <w:ind w:right="40"/>
        <w:spacing w:after="0" w:line="265" w:lineRule="auto"/>
        <w:rPr>
          <w:sz w:val="20"/>
          <w:szCs w:val="20"/>
          <w:color w:val="auto"/>
        </w:rPr>
      </w:pPr>
      <w:r>
        <w:rPr>
          <w:rFonts w:ascii="Times New Roman" w:cs="Times New Roman" w:eastAsia="Times New Roman" w:hAnsi="Times New Roman"/>
          <w:sz w:val="21"/>
          <w:szCs w:val="21"/>
          <w:color w:val="auto"/>
        </w:rPr>
        <w:t>to the Participant's Deferred Compensation Account as of the last day of the month immediately preceding the date of a monthly installment payment, or the December 31 immediately preceding the date of an annual installment payment, divided by the number of installment payments that have not yet been made. The amount of each installment with respect to the Participant's Share Account shall be equal to the number of Shares credited to the Participant's Share Account as of the December 31 immediately preceding the date of an annual installment payment, divided by the number of installment payments that have not yet been made.</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A Participant may elect that his or her final payment election may control over all prior payment elections. If the Participant fails to elect a payment option, the amount credited to the Participant's Individual Account shall be distributed in a lump sum in accordance with the payment option described in paragraph (i) above. At the time of any scheduled payment, if the amount credited to a Participant's Deferred Compensation Account or the value of Shares credited to a Participant's Share Account is less than $25,000, the Committee, in its sole discretion, may pay out the Account in a lump sum.</w:t>
      </w:r>
    </w:p>
    <w:p>
      <w:pPr>
        <w:spacing w:after="0" w:line="222" w:lineRule="exact"/>
        <w:rPr>
          <w:sz w:val="20"/>
          <w:szCs w:val="20"/>
          <w:color w:val="auto"/>
        </w:rPr>
      </w:pPr>
    </w:p>
    <w:p>
      <w:pPr>
        <w:ind w:right="240"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8.3. Payment Upon Death</w:t>
      </w:r>
      <w:r>
        <w:rPr>
          <w:rFonts w:ascii="Times New Roman" w:cs="Times New Roman" w:eastAsia="Times New Roman" w:hAnsi="Times New Roman"/>
          <w:sz w:val="22"/>
          <w:szCs w:val="22"/>
          <w:color w:val="auto"/>
        </w:rPr>
        <w:t>. Within a reasonable period of time following the death of a Participant, the amount credited to the Participant's Deferred Compensation Account and the Shares credited to the Participant's Share Account shall be paid by the Company in a lump sum to the Participant's Beneficiary. For purposes of this subsection 8.3, the amount credited to the Participant's Deferred Compensation Account and the number of Shares credited to the Participant's Share Account shall be determined as of the later of the date of death or the last Business Day of the month prior to the month in which the payment occurs.</w:t>
      </w:r>
    </w:p>
    <w:p>
      <w:pPr>
        <w:spacing w:after="0" w:line="221"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2"/>
          <w:szCs w:val="22"/>
          <w:color w:val="auto"/>
        </w:rPr>
        <w:t>A Participant may designate the Beneficiary, in writing, in a form acceptable to the Committee before the Participant's death. A Participant may revoke a prior designation of Beneficiary and may also designate a new Beneficiary without the consent of the previously designated Beneficiary, provided that such revocation and new designation (if any) are in writing, in a form acceptable to the Committee, and filed with the Committee before the Participant's death. If the Participant does not designate a Beneficiary, or if no designated Beneficiary survives the Participant, any amount not distributed to the Participant during the Participant's life shall be paid to the Participant's estate in a lump sum in accordance with this subsection 8.3.</w:t>
      </w:r>
    </w:p>
    <w:p>
      <w:pPr>
        <w:spacing w:after="0" w:line="221"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8.4. Payment on Unforeseeable Emergency</w:t>
      </w:r>
      <w:r>
        <w:rPr>
          <w:rFonts w:ascii="Times New Roman" w:cs="Times New Roman" w:eastAsia="Times New Roman" w:hAnsi="Times New Roman"/>
          <w:sz w:val="22"/>
          <w:szCs w:val="22"/>
          <w:color w:val="auto"/>
        </w:rPr>
        <w:t>. The Committee may, in its sole discretion, direct payment to a Participant of all or of any portion of the Participant's Individual Account balance, notwithstanding an election under subsection 8.2 above, at any time that it determines that such Participant has an unforeseeable emergency, and then only to the extent reasonably necessary to meet the emergency. For purposes of this section, "unforeseeable emergency" means severe financial hardship to the Participant resulting from a sudden and unexpected illness or accident of the Participant or of a dependent of the Participant, loss of the Participant's property due to casualty, or other similar extraordinary and unforeseeable circumstances arising as a result of events beyond the control of the Participant. The circumstances that will constitute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00"/>
          </w:cols>
          <w:pgMar w:left="240" w:top="369" w:right="259" w:bottom="1440" w:gutter="0" w:footer="0" w:header="0"/>
        </w:sectPr>
      </w:pPr>
    </w:p>
    <w:bookmarkStart w:id="70" w:name="page71"/>
    <w:bookmarkEnd w:id="70"/>
    <w:p>
      <w:pPr>
        <w:ind w:right="160"/>
        <w:spacing w:after="0" w:line="271" w:lineRule="auto"/>
        <w:rPr>
          <w:sz w:val="20"/>
          <w:szCs w:val="20"/>
          <w:color w:val="auto"/>
        </w:rPr>
      </w:pPr>
      <w:r>
        <w:rPr>
          <w:rFonts w:ascii="Times New Roman" w:cs="Times New Roman" w:eastAsia="Times New Roman" w:hAnsi="Times New Roman"/>
          <w:sz w:val="22"/>
          <w:szCs w:val="22"/>
          <w:color w:val="auto"/>
        </w:rPr>
        <w:t>an unforeseeable emergency will depend upon the facts of each case, but, in any case, payment may not be made to the extent that such hardship is, or may be, relieved --</w:t>
      </w:r>
    </w:p>
    <w:p>
      <w:pPr>
        <w:spacing w:after="0" w:line="198" w:lineRule="exact"/>
        <w:rPr>
          <w:sz w:val="20"/>
          <w:szCs w:val="20"/>
          <w:color w:val="auto"/>
        </w:rPr>
      </w:pPr>
    </w:p>
    <w:p>
      <w:pPr>
        <w:ind w:left="1560" w:hanging="255"/>
        <w:spacing w:after="0"/>
        <w:tabs>
          <w:tab w:leader="none" w:pos="15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reimbursement or compensation by insurance or otherwise;</w:t>
      </w:r>
    </w:p>
    <w:p>
      <w:pPr>
        <w:spacing w:after="0" w:line="260" w:lineRule="exact"/>
        <w:rPr>
          <w:rFonts w:ascii="Times New Roman" w:cs="Times New Roman" w:eastAsia="Times New Roman" w:hAnsi="Times New Roman"/>
          <w:sz w:val="22"/>
          <w:szCs w:val="22"/>
          <w:color w:val="auto"/>
        </w:rPr>
      </w:pPr>
    </w:p>
    <w:p>
      <w:pPr>
        <w:ind w:right="60" w:firstLine="1305"/>
        <w:spacing w:after="0" w:line="271" w:lineRule="auto"/>
        <w:tabs>
          <w:tab w:leader="none" w:pos="161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liquidation of the Participant's assets, to the extent the liquidation of such assets would not itself cause severe financial hardship; or</w:t>
      </w:r>
    </w:p>
    <w:p>
      <w:pPr>
        <w:spacing w:after="0" w:line="198"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cessation of deferrals under the Plan.</w:t>
      </w:r>
    </w:p>
    <w:p>
      <w:pPr>
        <w:spacing w:after="0" w:line="260"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Examples of what are not considered to be unforeseeable emergencies include the need to send a Participant's child to college or the desire to purchase a home.</w:t>
      </w:r>
    </w:p>
    <w:p>
      <w:pPr>
        <w:spacing w:after="0" w:line="198"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8.5. Payment of Cash in Lieu of Shares</w:t>
      </w:r>
      <w:r>
        <w:rPr>
          <w:rFonts w:ascii="Times New Roman" w:cs="Times New Roman" w:eastAsia="Times New Roman" w:hAnsi="Times New Roman"/>
          <w:sz w:val="22"/>
          <w:szCs w:val="22"/>
          <w:color w:val="auto"/>
        </w:rPr>
        <w:t>. If at any time the Committee shall determine that payment of Shares to a Participant (or a Participant’s Beneficiary) or the ownership or subsequent disposition of such Shares by such Participant or Beneficiary may violate or conflict with any applicable law or regulation, the Committee may, in its discretion, pay all or a portion of the Participant’s Share Account in cash. In this case, the amount of cash shall be determined with reference to the average of the high and low trading price for Shares on the December 31 next preceding the date of payment, or if Shares are not traded on that day, the next preceding trading day.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9. Ownership of Shares.</w:t>
      </w:r>
    </w:p>
    <w:p>
      <w:pPr>
        <w:spacing w:after="0" w:line="264"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A Participant shall have no rights as a shareholder of the Company with respect to any Shares until the Shares are issued or transferred to the Participant on the books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10. Prohibition Against Transfer.</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The right of a Participant to receive payments of Shares and cash under the Plan may not be transferred except by will or applicable laws of descent and distribution. A Participant may not assign, sell, pledge, or otherwise transfer Shares or cash to which he is entitled hereunder prior to transfer or payment thereof to the Participant, and any such attempted assignment, sale, pledge or transfer shall be void.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11. General Provisions.</w:t>
      </w:r>
    </w:p>
    <w:p>
      <w:pPr>
        <w:spacing w:after="0" w:line="264"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11.1. Director's Rights Unsecured</w:t>
      </w:r>
      <w:r>
        <w:rPr>
          <w:rFonts w:ascii="Times New Roman" w:cs="Times New Roman" w:eastAsia="Times New Roman" w:hAnsi="Times New Roman"/>
          <w:sz w:val="22"/>
          <w:szCs w:val="22"/>
          <w:color w:val="auto"/>
        </w:rPr>
        <w:t>. The Plan is unfunded. The right of any Participant to receive payments of cash or Shares under the provisions of the Plan shall be an unsecured claim against the general assets of the Company.</w:t>
      </w:r>
    </w:p>
    <w:p>
      <w:pPr>
        <w:spacing w:after="0" w:line="198"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11.2. Administration</w:t>
      </w:r>
      <w:r>
        <w:rPr>
          <w:rFonts w:ascii="Times New Roman" w:cs="Times New Roman" w:eastAsia="Times New Roman" w:hAnsi="Times New Roman"/>
          <w:sz w:val="22"/>
          <w:szCs w:val="22"/>
          <w:color w:val="auto"/>
        </w:rPr>
        <w:t>. Except as otherwise provided in the Plan, the Plan shall be administered by the Committee, which shall have the final authority to adopt rules and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00"/>
          </w:cols>
          <w:pgMar w:left="240" w:top="369"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regulations for carrying out the Plan, and to interpret, construe, and implement the provisions of the Plan.</w:t>
      </w:r>
    </w:p>
    <w:p>
      <w:pPr>
        <w:spacing w:after="0" w:line="260"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11.3. Legal Opinions</w:t>
      </w:r>
      <w:r>
        <w:rPr>
          <w:rFonts w:ascii="Times New Roman" w:cs="Times New Roman" w:eastAsia="Times New Roman" w:hAnsi="Times New Roman"/>
          <w:sz w:val="21"/>
          <w:szCs w:val="21"/>
          <w:color w:val="auto"/>
        </w:rPr>
        <w:t>. The Committee may consult with legal counsel, who may be counsel for the Company or other counsel, with respect to its obligations and duties under the Plan, or with respect to any action, proceeding, or any questions of law, and shall not be liable with respect to any action taken, or omitted, by it in good faith pursuant to the advice of such counsel.</w:t>
      </w:r>
    </w:p>
    <w:p>
      <w:pPr>
        <w:spacing w:after="0" w:line="196"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11.4. Liability</w:t>
      </w:r>
      <w:r>
        <w:rPr>
          <w:rFonts w:ascii="Times New Roman" w:cs="Times New Roman" w:eastAsia="Times New Roman" w:hAnsi="Times New Roman"/>
          <w:sz w:val="22"/>
          <w:szCs w:val="22"/>
          <w:color w:val="auto"/>
        </w:rPr>
        <w:t>. Any decision made or action taken by the Board of Directors, the Committee, or any employee of the Company or any of its subsidiaries, arising out of or in connection with the construction, administration, interpretation, or effect of the Plan, shall be absolutely discretionary, and shall be conclusive and binding on all parties. Neither the Committee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11.5. Withholding</w:t>
      </w:r>
      <w:r>
        <w:rPr>
          <w:rFonts w:ascii="Times New Roman" w:cs="Times New Roman" w:eastAsia="Times New Roman" w:hAnsi="Times New Roman"/>
          <w:sz w:val="22"/>
          <w:szCs w:val="22"/>
          <w:color w:val="auto"/>
        </w:rPr>
        <w:t>. The Company shall have the right to deduct from all payments hereunder any taxes required by law to be withheld from such payments. The recipients of such payments shall bear all taxes on amounts paid under the Plan to the extent that no taxes are withheld thereon, irrespective of whether withholding is required.</w:t>
      </w:r>
    </w:p>
    <w:p>
      <w:pPr>
        <w:spacing w:after="0" w:line="214"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11.6. Legal Holidays</w:t>
      </w:r>
      <w:r>
        <w:rPr>
          <w:rFonts w:ascii="Times New Roman" w:cs="Times New Roman" w:eastAsia="Times New Roman" w:hAnsi="Times New Roman"/>
          <w:sz w:val="22"/>
          <w:szCs w:val="22"/>
          <w:color w:val="auto"/>
        </w:rPr>
        <w:t>. If any day on which action under the Plan must be taken falls on a Saturday, Sunday, or legal holiday, such action may be taken on the next succeeding day that is not a Saturday, Sunday, or legal holiday; provided, that this subsection 11.8 shall not permit any action that must be taken in one calendar year to be taken in any subsequent calendar year.</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11.7. Participant Who Becomes Employee.</w:t>
      </w:r>
      <w:r>
        <w:rPr>
          <w:rFonts w:ascii="Times New Roman" w:cs="Times New Roman" w:eastAsia="Times New Roman" w:hAnsi="Times New Roman"/>
          <w:sz w:val="22"/>
          <w:szCs w:val="22"/>
          <w:color w:val="auto"/>
        </w:rPr>
        <w:t xml:space="preserve"> If a Participant becomes an employee of the Company but remains a Director, he or she will no longer be entitled to new deferrals under the Plan as a Deferred Stock Participant or Monthly Deferral Participant. However, the individual’s Account balances will continue to be administered under the Plan (including eligibility for the Company Credit and Cash Dividends under Sections 7.3 and 7.4) until they are paid out in accordance with Section 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12. Term, Amendment, Suspension, and Termination.</w:t>
      </w:r>
    </w:p>
    <w:p>
      <w:pPr>
        <w:spacing w:after="0" w:line="26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The Plan shall remain in effect until terminated by the Board of Directors. The Board of Directors shall have the right at any time, and from time to time, to amend, suspend, or terminate the Plan, subject to the following:</w:t>
      </w:r>
    </w:p>
    <w:p>
      <w:pPr>
        <w:spacing w:after="0" w:line="198" w:lineRule="exact"/>
        <w:rPr>
          <w:sz w:val="20"/>
          <w:szCs w:val="20"/>
          <w:color w:val="auto"/>
        </w:rPr>
      </w:pPr>
    </w:p>
    <w:p>
      <w:pPr>
        <w:ind w:left="5600" w:right="1620" w:hanging="5592"/>
        <w:spacing w:after="0" w:line="707" w:lineRule="auto"/>
        <w:tabs>
          <w:tab w:leader="none" w:pos="2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termination shall reduce the number of Shares or the cash balance in an Individual Account; 21</w:t>
      </w:r>
    </w:p>
    <w:p>
      <w:pPr>
        <w:sectPr>
          <w:pgSz w:w="11900" w:h="16838" w:orient="portrait"/>
          <w:cols w:equalWidth="0" w:num="1">
            <w:col w:w="11420"/>
          </w:cols>
          <w:pgMar w:left="240" w:top="369" w:right="239" w:bottom="1440" w:gutter="0" w:footer="0" w:header="0"/>
        </w:sectPr>
      </w:pPr>
    </w:p>
    <w:bookmarkStart w:id="72" w:name="page73"/>
    <w:bookmarkEnd w:id="72"/>
    <w:p>
      <w:pPr>
        <w:ind w:firstLine="1305"/>
        <w:spacing w:after="0" w:line="271" w:lineRule="auto"/>
        <w:tabs>
          <w:tab w:leader="none" w:pos="16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allocated annually pursuant to Section 6 hereof may not be changed more frequently than every calendar year; and</w:t>
      </w:r>
    </w:p>
    <w:p>
      <w:pPr>
        <w:spacing w:after="0" w:line="198" w:lineRule="exact"/>
        <w:rPr>
          <w:rFonts w:ascii="Times New Roman" w:cs="Times New Roman" w:eastAsia="Times New Roman" w:hAnsi="Times New Roman"/>
          <w:sz w:val="22"/>
          <w:szCs w:val="22"/>
          <w:color w:val="auto"/>
        </w:rPr>
      </w:pPr>
    </w:p>
    <w:p>
      <w:pPr>
        <w:ind w:right="40" w:firstLine="1305"/>
        <w:spacing w:after="0" w:line="271" w:lineRule="auto"/>
        <w:tabs>
          <w:tab w:leader="none" w:pos="16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New York Stock Exchange listing rules or applicable law, material amendments shall be submitted to the Company’s shareholders for approval.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13. Applicable Law.</w:t>
      </w:r>
    </w:p>
    <w:p>
      <w:pPr>
        <w:spacing w:after="0" w:line="26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 Plan shall be governed by, and construed in accordance with, the laws of the State of Indiana, except to the extent that such laws are preempted by Federal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14. Effective Date.</w:t>
      </w:r>
    </w:p>
    <w:p>
      <w:pPr>
        <w:spacing w:after="0" w:line="26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The effective date of this Plan is January 1, 1996. Nothing herein shall invalidate or adversely affect any previous election, designation, deferral, or accrual in accordance with the terms of The Lilly Directors' Deferred Compensation Plan or The Lilly Non-Employee Directors' Deferred Stock Plan that were in effect prior to the effective date of this Plan.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240" w:top="625" w:right="419" w:bottom="1440" w:gutter="0" w:footer="0" w:header="0"/>
        </w:sectPr>
      </w:pPr>
    </w:p>
    <w:bookmarkStart w:id="73" w:name="page74"/>
    <w:bookmarkEnd w:id="73"/>
    <w:p>
      <w:pPr>
        <w:jc w:val="center"/>
        <w:ind w:left="260" w:right="2540"/>
        <w:spacing w:after="0" w:line="44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1,321.7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5,889.3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128.0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198.8</w:t>
            </w:r>
          </w:p>
        </w:tc>
      </w:tr>
      <w:tr>
        <w:trPr>
          <w:trHeight w:val="26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1"/>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1,421.9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3,559.2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3,149.1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6,049.4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128.0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r>
    </w:tbl>
    <w:p>
      <w:pPr>
        <w:spacing w:after="0" w:line="139" w:lineRule="exact"/>
        <w:rPr>
          <w:sz w:val="20"/>
          <w:szCs w:val="20"/>
          <w:color w:val="auto"/>
        </w:rPr>
      </w:pPr>
    </w:p>
    <w:p>
      <w:pPr>
        <w:ind w:left="500" w:right="180" w:hanging="465"/>
        <w:spacing w:after="0" w:line="232" w:lineRule="auto"/>
        <w:tabs>
          <w:tab w:leader="none" w:pos="50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76"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19"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19"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Quarterly Report on Form 10-Q for the quarter ended June 30, 2017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9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July 28, 2017</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80" w:type="dxa"/>
            <w:vAlign w:val="bottom"/>
          </w:tcPr>
          <w:p>
            <w:pPr>
              <w:spacing w:after="0"/>
              <w:rPr>
                <w:sz w:val="20"/>
                <w:szCs w:val="20"/>
                <w:color w:val="auto"/>
              </w:rPr>
            </w:pPr>
            <w:r>
              <w:rPr>
                <w:rFonts w:ascii="Arial" w:cs="Arial" w:eastAsia="Arial" w:hAnsi="Arial"/>
                <w:sz w:val="18"/>
                <w:szCs w:val="18"/>
                <w:color w:val="auto"/>
              </w:rPr>
              <w:t>Date:   July 28, 2017</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5"/>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16"/>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3"/>
    </w:lvl>
  </w:abstractNum>
  <w:abstractNum w:abstractNumId="24">
    <w:nsid w:val="77465F01"/>
    <w:multiLevelType w:val="hybridMultilevel"/>
    <w:lvl w:ilvl="0">
      <w:lvlJc w:val="left"/>
      <w:lvlText w:val="(%1)"/>
      <w:numFmt w:val="lowerLetter"/>
      <w:start w:val="17"/>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4"/>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lvl w:ilvl="1">
      <w:lvlJc w:val="left"/>
      <w:lvlText w:val="(%2)"/>
      <w:numFmt w:val="lowerRoman"/>
      <w:start w:val="1"/>
    </w:lvl>
  </w:abstractNum>
  <w:abstractNum w:abstractNumId="30">
    <w:nsid w:val="2D517796"/>
    <w:multiLevelType w:val="hybridMultilevel"/>
    <w:lvl w:ilvl="0">
      <w:lvlJc w:val="left"/>
      <w:lvlText w:val="(%1)"/>
      <w:numFmt w:val="lowerLetter"/>
      <w:start w:val="1"/>
    </w:lvl>
    <w:lvl w:ilvl="1">
      <w:lvlJc w:val="left"/>
      <w:lvlText w:val="(%2)"/>
      <w:numFmt w:val="lowerLetter"/>
      <w:start w:val="9"/>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lowerLetter"/>
      <w:start w:val="1"/>
    </w:lvl>
    <w:lvl w:ilvl="1">
      <w:lvlJc w:val="left"/>
      <w:lvlText w:val="(%2)"/>
      <w:numFmt w:val="lowerLetter"/>
      <w:start w:val="2"/>
    </w:lvl>
  </w:abstractNum>
  <w:abstractNum w:abstractNumId="33">
    <w:nsid w:val="3855585C"/>
    <w:multiLevelType w:val="hybridMultilevel"/>
    <w:lvl w:ilvl="0">
      <w:lvlJc w:val="left"/>
      <w:lvlText w:val="(%1)"/>
      <w:numFmt w:val="lowerLetter"/>
      <w:start w:val="35"/>
    </w:lvl>
    <w:lvl w:ilvl="1">
      <w:lvlJc w:val="left"/>
      <w:lvlText w:val="(%2)"/>
      <w:numFmt w:val="lowerLetter"/>
      <w:start w:val="4"/>
    </w:lvl>
  </w:abstractNum>
  <w:abstractNum w:abstractNumId="34">
    <w:nsid w:val="70A64E2A"/>
    <w:multiLevelType w:val="hybridMultilevel"/>
    <w:lvl w:ilvl="0">
      <w:lvlJc w:val="left"/>
      <w:lvlText w:val="(%1)"/>
      <w:numFmt w:val="lowerLetter"/>
      <w:start w:val="5"/>
    </w:lvl>
  </w:abstractNum>
  <w:abstractNum w:abstractNumId="35">
    <w:nsid w:val="6A2342EC"/>
    <w:multiLevelType w:val="hybridMultilevel"/>
    <w:lvl w:ilvl="0">
      <w:lvlJc w:val="left"/>
      <w:lvlText w:val="(%1)"/>
      <w:numFmt w:val="lowerLetter"/>
      <w:start w:val="1"/>
    </w:lvl>
    <w:lvl w:ilvl="1">
      <w:lvlJc w:val="left"/>
      <w:lvlText w:val="(%2)"/>
      <w:numFmt w:val="lowerRoman"/>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Letter"/>
      <w:start w:val="6"/>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5"/>
    </w:lvl>
  </w:abstractNum>
  <w:abstractNum w:abstractNumId="40">
    <w:nsid w:val="57E4CCAF"/>
    <w:multiLevelType w:val="hybridMultilevel"/>
    <w:lvl w:ilvl="0">
      <w:lvlJc w:val="left"/>
      <w:lvlText w:val="(%1)"/>
      <w:numFmt w:val="lowerLetter"/>
      <w:start w:val="2"/>
    </w:lvl>
  </w:abstractNum>
  <w:abstractNum w:abstractNumId="41">
    <w:nsid w:val="7A6D8D3C"/>
    <w:multiLevelType w:val="hybridMultilevel"/>
    <w:lvl w:ilvl="0">
      <w:lvlJc w:val="left"/>
      <w:lvlText w:val="(%1)"/>
      <w:numFmt w:val="lowerRoman"/>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2"/>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36" Type="http://schemas.openxmlformats.org/officeDocument/2006/relationships/hyperlink" Target="http://www.sec.gov/Archives/edgar/data/59478/000005947814000078/lly-20131231x10kexhibit31.htm" TargetMode="External"/><Relationship Id="rId37" Type="http://schemas.openxmlformats.org/officeDocument/2006/relationships/hyperlink" Target="http://www.sec.gov/Archives/edgar/data/59478/000119312512080333/d30670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2019-12-29T05:45:37Z</dcterms:created>
  <dcterms:modified xsi:type="dcterms:W3CDTF">2019-12-29T05:45:37Z</dcterms:modified>
</cp:coreProperties>
</file>