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216535</wp:posOffset>
            </wp:positionH>
            <wp:positionV relativeFrom="page">
              <wp:posOffset>706120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662940</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8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 of the</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001-6351</w:t>
      </w:r>
    </w:p>
    <w:p>
      <w:pPr>
        <w:spacing w:after="0" w:line="110"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ELI LILLY AND COMPANY</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33" w:lineRule="exact"/>
        <w:rPr>
          <w:sz w:val="24"/>
          <w:szCs w:val="24"/>
          <w:color w:val="auto"/>
        </w:rPr>
      </w:pPr>
    </w:p>
    <w:tbl>
      <w:tblPr>
        <w:tblLayout w:type="fixed"/>
        <w:tblInd w:w="1700" w:type="dxa"/>
        <w:tblCellMar>
          <w:top w:w="0" w:type="dxa"/>
          <w:left w:w="0" w:type="dxa"/>
          <w:bottom w:w="0" w:type="dxa"/>
          <w:right w:w="0" w:type="dxa"/>
        </w:tblCellMar>
      </w:tblPr>
      <w:tr>
        <w:trPr>
          <w:trHeight w:val="195"/>
        </w:trPr>
        <w:tc>
          <w:tcPr>
            <w:tcW w:w="4160" w:type="dxa"/>
            <w:vAlign w:val="bottom"/>
          </w:tcPr>
          <w:p>
            <w:pPr>
              <w:jc w:val="center"/>
              <w:ind w:right="1979"/>
              <w:spacing w:after="0"/>
              <w:rPr>
                <w:sz w:val="20"/>
                <w:szCs w:val="20"/>
                <w:color w:val="auto"/>
              </w:rPr>
            </w:pPr>
            <w:r>
              <w:rPr>
                <w:rFonts w:ascii="Arial" w:cs="Arial" w:eastAsia="Arial" w:hAnsi="Arial"/>
                <w:sz w:val="16"/>
                <w:szCs w:val="16"/>
                <w:color w:val="auto"/>
              </w:rPr>
              <w:t>Indiana</w:t>
            </w:r>
          </w:p>
        </w:tc>
        <w:tc>
          <w:tcPr>
            <w:tcW w:w="3340" w:type="dxa"/>
            <w:vAlign w:val="bottom"/>
          </w:tcPr>
          <w:p>
            <w:pPr>
              <w:jc w:val="center"/>
              <w:ind w:left="1979"/>
              <w:spacing w:after="0"/>
              <w:rPr>
                <w:sz w:val="20"/>
                <w:szCs w:val="20"/>
                <w:color w:val="auto"/>
              </w:rPr>
            </w:pPr>
            <w:r>
              <w:rPr>
                <w:rFonts w:ascii="Arial" w:cs="Arial" w:eastAsia="Arial" w:hAnsi="Arial"/>
                <w:sz w:val="16"/>
                <w:szCs w:val="16"/>
                <w:color w:val="auto"/>
              </w:rPr>
              <w:t>35-0470950</w:t>
            </w:r>
          </w:p>
        </w:tc>
      </w:tr>
      <w:tr>
        <w:trPr>
          <w:trHeight w:val="216"/>
        </w:trPr>
        <w:tc>
          <w:tcPr>
            <w:tcW w:w="4160" w:type="dxa"/>
            <w:vAlign w:val="bottom"/>
          </w:tcPr>
          <w:p>
            <w:pPr>
              <w:jc w:val="center"/>
              <w:ind w:right="1979"/>
              <w:spacing w:after="0"/>
              <w:rPr>
                <w:sz w:val="20"/>
                <w:szCs w:val="20"/>
                <w:color w:val="auto"/>
              </w:rPr>
            </w:pPr>
            <w:r>
              <w:rPr>
                <w:rFonts w:ascii="Arial" w:cs="Arial" w:eastAsia="Arial" w:hAnsi="Arial"/>
                <w:sz w:val="16"/>
                <w:szCs w:val="16"/>
                <w:color w:val="auto"/>
              </w:rPr>
              <w:t>(State or other jurisdiction of</w:t>
            </w:r>
          </w:p>
        </w:tc>
        <w:tc>
          <w:tcPr>
            <w:tcW w:w="3340" w:type="dxa"/>
            <w:vAlign w:val="bottom"/>
          </w:tcPr>
          <w:p>
            <w:pPr>
              <w:jc w:val="center"/>
              <w:ind w:left="1979"/>
              <w:spacing w:after="0"/>
              <w:rPr>
                <w:sz w:val="20"/>
                <w:szCs w:val="20"/>
                <w:color w:val="auto"/>
              </w:rPr>
            </w:pPr>
            <w:r>
              <w:rPr>
                <w:rFonts w:ascii="Arial" w:cs="Arial" w:eastAsia="Arial" w:hAnsi="Arial"/>
                <w:sz w:val="16"/>
                <w:szCs w:val="16"/>
                <w:color w:val="auto"/>
              </w:rPr>
              <w:t>(I.R.S. Employer</w:t>
            </w:r>
          </w:p>
        </w:tc>
      </w:tr>
      <w:tr>
        <w:trPr>
          <w:trHeight w:val="216"/>
        </w:trPr>
        <w:tc>
          <w:tcPr>
            <w:tcW w:w="4160" w:type="dxa"/>
            <w:vAlign w:val="bottom"/>
          </w:tcPr>
          <w:p>
            <w:pPr>
              <w:jc w:val="center"/>
              <w:ind w:right="1979"/>
              <w:spacing w:after="0"/>
              <w:rPr>
                <w:sz w:val="20"/>
                <w:szCs w:val="20"/>
                <w:color w:val="auto"/>
              </w:rPr>
            </w:pPr>
            <w:r>
              <w:rPr>
                <w:rFonts w:ascii="Arial" w:cs="Arial" w:eastAsia="Arial" w:hAnsi="Arial"/>
                <w:sz w:val="16"/>
                <w:szCs w:val="16"/>
                <w:color w:val="auto"/>
              </w:rPr>
              <w:t>incorporation or organization)</w:t>
            </w:r>
          </w:p>
        </w:tc>
        <w:tc>
          <w:tcPr>
            <w:tcW w:w="3340" w:type="dxa"/>
            <w:vAlign w:val="bottom"/>
          </w:tcPr>
          <w:p>
            <w:pPr>
              <w:jc w:val="center"/>
              <w:ind w:left="1999"/>
              <w:spacing w:after="0"/>
              <w:rPr>
                <w:sz w:val="20"/>
                <w:szCs w:val="20"/>
                <w:color w:val="auto"/>
              </w:rPr>
            </w:pPr>
            <w:r>
              <w:rPr>
                <w:rFonts w:ascii="Arial" w:cs="Arial" w:eastAsia="Arial" w:hAnsi="Arial"/>
                <w:sz w:val="16"/>
                <w:szCs w:val="16"/>
                <w:color w:val="auto"/>
              </w:rPr>
              <w:t>Identification No.)</w:t>
            </w:r>
          </w:p>
        </w:tc>
      </w:tr>
    </w:tbl>
    <w:p>
      <w:pPr>
        <w:spacing w:after="0" w:line="170" w:lineRule="exact"/>
        <w:rPr>
          <w:sz w:val="24"/>
          <w:szCs w:val="24"/>
          <w:color w:val="auto"/>
        </w:rPr>
      </w:pPr>
    </w:p>
    <w:p>
      <w:pPr>
        <w:ind w:left="3800"/>
        <w:spacing w:after="0"/>
        <w:rPr>
          <w:sz w:val="20"/>
          <w:szCs w:val="20"/>
          <w:color w:val="auto"/>
        </w:rPr>
      </w:pPr>
      <w:r>
        <w:rPr>
          <w:rFonts w:ascii="Arial" w:cs="Arial" w:eastAsia="Arial" w:hAnsi="Arial"/>
          <w:sz w:val="16"/>
          <w:szCs w:val="16"/>
          <w:color w:val="auto"/>
        </w:rPr>
        <w:t>Lilly Corporate Center, Indianapolis, Indiana 46285</w:t>
      </w:r>
    </w:p>
    <w:p>
      <w:pPr>
        <w:spacing w:after="0" w:line="5" w:lineRule="exact"/>
        <w:rPr>
          <w:sz w:val="24"/>
          <w:szCs w:val="24"/>
          <w:color w:val="auto"/>
        </w:rPr>
      </w:pPr>
    </w:p>
    <w:p>
      <w:pPr>
        <w:ind w:left="3760"/>
        <w:spacing w:after="0"/>
        <w:rPr>
          <w:sz w:val="20"/>
          <w:szCs w:val="20"/>
          <w:color w:val="auto"/>
        </w:rPr>
      </w:pPr>
      <w:r>
        <w:rPr>
          <w:rFonts w:ascii="Arial" w:cs="Arial" w:eastAsia="Arial" w:hAnsi="Arial"/>
          <w:sz w:val="16"/>
          <w:szCs w:val="16"/>
          <w:color w:val="auto"/>
        </w:rPr>
        <w:t>(Address and zip code of principal executive offices)</w:t>
      </w:r>
    </w:p>
    <w:p>
      <w:pPr>
        <w:spacing w:after="0" w:line="59" w:lineRule="exact"/>
        <w:rPr>
          <w:sz w:val="24"/>
          <w:szCs w:val="24"/>
          <w:color w:val="auto"/>
        </w:rPr>
      </w:pPr>
    </w:p>
    <w:p>
      <w:pPr>
        <w:ind w:left="3200"/>
        <w:spacing w:after="0"/>
        <w:rPr>
          <w:sz w:val="20"/>
          <w:szCs w:val="20"/>
          <w:color w:val="auto"/>
        </w:rPr>
      </w:pPr>
      <w:r>
        <w:rPr>
          <w:rFonts w:ascii="Arial" w:cs="Arial" w:eastAsia="Arial" w:hAnsi="Arial"/>
          <w:sz w:val="16"/>
          <w:szCs w:val="16"/>
          <w:color w:val="auto"/>
        </w:rPr>
        <w:t>Registrant’s telephone number, including area code (317) 276-2000</w:t>
      </w:r>
    </w:p>
    <w:p>
      <w:pPr>
        <w:spacing w:after="0" w:line="3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Securities registered pursuant to Section 12(b) of the Exchange Act:</w:t>
      </w:r>
    </w:p>
    <w:p>
      <w:pPr>
        <w:spacing w:after="0" w:line="199" w:lineRule="exact"/>
        <w:rPr>
          <w:sz w:val="24"/>
          <w:szCs w:val="24"/>
          <w:color w:val="auto"/>
        </w:rPr>
      </w:pPr>
    </w:p>
    <w:tbl>
      <w:tblPr>
        <w:tblLayout w:type="fixed"/>
        <w:tblInd w:w="20" w:type="dxa"/>
        <w:tblCellMar>
          <w:top w:w="0" w:type="dxa"/>
          <w:left w:w="0" w:type="dxa"/>
          <w:bottom w:w="0" w:type="dxa"/>
          <w:right w:w="0" w:type="dxa"/>
        </w:tblCellMar>
      </w:tblPr>
      <w:tr>
        <w:trPr>
          <w:trHeight w:val="162"/>
        </w:trPr>
        <w:tc>
          <w:tcPr>
            <w:tcW w:w="3740" w:type="dxa"/>
            <w:vAlign w:val="bottom"/>
            <w:gridSpan w:val="2"/>
          </w:tcPr>
          <w:p>
            <w:pPr>
              <w:spacing w:after="0"/>
              <w:rPr>
                <w:sz w:val="20"/>
                <w:szCs w:val="20"/>
                <w:color w:val="auto"/>
              </w:rPr>
            </w:pPr>
            <w:r>
              <w:rPr>
                <w:rFonts w:ascii="Arial" w:cs="Arial" w:eastAsia="Arial" w:hAnsi="Arial"/>
                <w:sz w:val="14"/>
                <w:szCs w:val="14"/>
                <w:b w:val="1"/>
                <w:bCs w:val="1"/>
                <w:color w:val="auto"/>
              </w:rPr>
              <w:t>Title of Each Class</w:t>
            </w:r>
          </w:p>
        </w:tc>
        <w:tc>
          <w:tcPr>
            <w:tcW w:w="2100" w:type="dxa"/>
            <w:vAlign w:val="bottom"/>
            <w:gridSpan w:val="2"/>
          </w:tcPr>
          <w:p>
            <w:pPr>
              <w:spacing w:after="0"/>
              <w:rPr>
                <w:sz w:val="20"/>
                <w:szCs w:val="20"/>
                <w:color w:val="auto"/>
              </w:rPr>
            </w:pPr>
            <w:r>
              <w:rPr>
                <w:rFonts w:ascii="Arial" w:cs="Arial" w:eastAsia="Arial" w:hAnsi="Arial"/>
                <w:sz w:val="14"/>
                <w:szCs w:val="14"/>
                <w:b w:val="1"/>
                <w:bCs w:val="1"/>
                <w:color w:val="auto"/>
              </w:rPr>
              <w:t>Trading Symbols</w:t>
            </w:r>
          </w:p>
        </w:tc>
        <w:tc>
          <w:tcPr>
            <w:tcW w:w="4100" w:type="dxa"/>
            <w:vAlign w:val="bottom"/>
            <w:gridSpan w:val="2"/>
          </w:tcPr>
          <w:p>
            <w:pPr>
              <w:ind w:left="920"/>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
        </w:trPr>
        <w:tc>
          <w:tcPr>
            <w:tcW w:w="128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198"/>
        </w:trPr>
        <w:tc>
          <w:tcPr>
            <w:tcW w:w="3740" w:type="dxa"/>
            <w:vAlign w:val="bottom"/>
            <w:gridSpan w:val="2"/>
          </w:tcPr>
          <w:p>
            <w:pPr>
              <w:spacing w:after="0"/>
              <w:rPr>
                <w:sz w:val="20"/>
                <w:szCs w:val="20"/>
                <w:color w:val="auto"/>
              </w:rPr>
            </w:pPr>
            <w:r>
              <w:rPr>
                <w:rFonts w:ascii="Arial" w:cs="Arial" w:eastAsia="Arial" w:hAnsi="Arial"/>
                <w:sz w:val="14"/>
                <w:szCs w:val="14"/>
                <w:color w:val="auto"/>
              </w:rPr>
              <w:t>Common Stock (no par value)</w:t>
            </w:r>
          </w:p>
        </w:tc>
        <w:tc>
          <w:tcPr>
            <w:tcW w:w="2100" w:type="dxa"/>
            <w:vAlign w:val="bottom"/>
            <w:gridSpan w:val="2"/>
          </w:tcPr>
          <w:p>
            <w:pPr>
              <w:spacing w:after="0"/>
              <w:rPr>
                <w:sz w:val="20"/>
                <w:szCs w:val="20"/>
                <w:color w:val="auto"/>
              </w:rPr>
            </w:pPr>
            <w:r>
              <w:rPr>
                <w:rFonts w:ascii="Arial" w:cs="Arial" w:eastAsia="Arial" w:hAnsi="Arial"/>
                <w:sz w:val="14"/>
                <w:szCs w:val="14"/>
                <w:color w:val="auto"/>
              </w:rPr>
              <w:t>LLY</w:t>
            </w:r>
          </w:p>
        </w:tc>
        <w:tc>
          <w:tcPr>
            <w:tcW w:w="4100" w:type="dxa"/>
            <w:vAlign w:val="bottom"/>
            <w:gridSpan w:val="2"/>
          </w:tcPr>
          <w:p>
            <w:pPr>
              <w:ind w:left="920"/>
              <w:spacing w:after="0"/>
              <w:rPr>
                <w:sz w:val="20"/>
                <w:szCs w:val="20"/>
                <w:color w:val="auto"/>
              </w:rPr>
            </w:pPr>
            <w:r>
              <w:rPr>
                <w:rFonts w:ascii="Arial" w:cs="Arial" w:eastAsia="Arial" w:hAnsi="Arial"/>
                <w:sz w:val="14"/>
                <w:szCs w:val="14"/>
                <w:color w:val="auto"/>
              </w:rPr>
              <w:t>New York Stock Exchange</w:t>
            </w:r>
          </w:p>
        </w:tc>
      </w:tr>
      <w:tr>
        <w:trPr>
          <w:trHeight w:val="189"/>
        </w:trPr>
        <w:tc>
          <w:tcPr>
            <w:tcW w:w="3740" w:type="dxa"/>
            <w:vAlign w:val="bottom"/>
            <w:gridSpan w:val="2"/>
          </w:tcPr>
          <w:p>
            <w:pPr>
              <w:spacing w:after="0"/>
              <w:rPr>
                <w:sz w:val="20"/>
                <w:szCs w:val="20"/>
                <w:color w:val="auto"/>
              </w:rPr>
            </w:pPr>
            <w:r>
              <w:rPr>
                <w:rFonts w:ascii="Arial" w:cs="Arial" w:eastAsia="Arial" w:hAnsi="Arial"/>
                <w:sz w:val="14"/>
                <w:szCs w:val="14"/>
                <w:color w:val="auto"/>
              </w:rPr>
              <w:t>1.000% Notes due 2022</w:t>
            </w:r>
          </w:p>
        </w:tc>
        <w:tc>
          <w:tcPr>
            <w:tcW w:w="2100" w:type="dxa"/>
            <w:vAlign w:val="bottom"/>
            <w:gridSpan w:val="2"/>
          </w:tcPr>
          <w:p>
            <w:pPr>
              <w:spacing w:after="0"/>
              <w:rPr>
                <w:sz w:val="20"/>
                <w:szCs w:val="20"/>
                <w:color w:val="auto"/>
              </w:rPr>
            </w:pPr>
            <w:r>
              <w:rPr>
                <w:rFonts w:ascii="Arial" w:cs="Arial" w:eastAsia="Arial" w:hAnsi="Arial"/>
                <w:sz w:val="14"/>
                <w:szCs w:val="14"/>
                <w:color w:val="auto"/>
              </w:rPr>
              <w:t>LLY22</w:t>
            </w:r>
          </w:p>
        </w:tc>
        <w:tc>
          <w:tcPr>
            <w:tcW w:w="4100" w:type="dxa"/>
            <w:vAlign w:val="bottom"/>
            <w:gridSpan w:val="2"/>
          </w:tcPr>
          <w:p>
            <w:pPr>
              <w:ind w:left="920"/>
              <w:spacing w:after="0"/>
              <w:rPr>
                <w:sz w:val="20"/>
                <w:szCs w:val="20"/>
                <w:color w:val="auto"/>
              </w:rPr>
            </w:pPr>
            <w:r>
              <w:rPr>
                <w:rFonts w:ascii="Arial" w:cs="Arial" w:eastAsia="Arial" w:hAnsi="Arial"/>
                <w:sz w:val="14"/>
                <w:szCs w:val="14"/>
                <w:color w:val="auto"/>
              </w:rPr>
              <w:t>New York Stock Exchange</w:t>
            </w:r>
          </w:p>
        </w:tc>
      </w:tr>
      <w:tr>
        <w:trPr>
          <w:trHeight w:val="189"/>
        </w:trPr>
        <w:tc>
          <w:tcPr>
            <w:tcW w:w="3740" w:type="dxa"/>
            <w:vAlign w:val="bottom"/>
            <w:gridSpan w:val="2"/>
          </w:tcPr>
          <w:p>
            <w:pPr>
              <w:spacing w:after="0"/>
              <w:rPr>
                <w:sz w:val="20"/>
                <w:szCs w:val="20"/>
                <w:color w:val="auto"/>
              </w:rPr>
            </w:pPr>
            <w:r>
              <w:rPr>
                <w:rFonts w:ascii="Arial" w:cs="Arial" w:eastAsia="Arial" w:hAnsi="Arial"/>
                <w:sz w:val="14"/>
                <w:szCs w:val="14"/>
                <w:color w:val="auto"/>
              </w:rPr>
              <w:t>7 1/8% Notes due 2025</w:t>
            </w:r>
          </w:p>
        </w:tc>
        <w:tc>
          <w:tcPr>
            <w:tcW w:w="2100" w:type="dxa"/>
            <w:vAlign w:val="bottom"/>
            <w:gridSpan w:val="2"/>
          </w:tcPr>
          <w:p>
            <w:pPr>
              <w:spacing w:after="0"/>
              <w:rPr>
                <w:sz w:val="20"/>
                <w:szCs w:val="20"/>
                <w:color w:val="auto"/>
              </w:rPr>
            </w:pPr>
            <w:r>
              <w:rPr>
                <w:rFonts w:ascii="Arial" w:cs="Arial" w:eastAsia="Arial" w:hAnsi="Arial"/>
                <w:sz w:val="14"/>
                <w:szCs w:val="14"/>
                <w:color w:val="auto"/>
              </w:rPr>
              <w:t>LLY25</w:t>
            </w:r>
          </w:p>
        </w:tc>
        <w:tc>
          <w:tcPr>
            <w:tcW w:w="4100" w:type="dxa"/>
            <w:vAlign w:val="bottom"/>
            <w:gridSpan w:val="2"/>
          </w:tcPr>
          <w:p>
            <w:pPr>
              <w:ind w:left="920"/>
              <w:spacing w:after="0"/>
              <w:rPr>
                <w:sz w:val="20"/>
                <w:szCs w:val="20"/>
                <w:color w:val="auto"/>
              </w:rPr>
            </w:pPr>
            <w:r>
              <w:rPr>
                <w:rFonts w:ascii="Arial" w:cs="Arial" w:eastAsia="Arial" w:hAnsi="Arial"/>
                <w:sz w:val="14"/>
                <w:szCs w:val="14"/>
                <w:color w:val="auto"/>
              </w:rPr>
              <w:t>New York Stock Exchange</w:t>
            </w:r>
          </w:p>
        </w:tc>
      </w:tr>
      <w:tr>
        <w:trPr>
          <w:trHeight w:val="189"/>
        </w:trPr>
        <w:tc>
          <w:tcPr>
            <w:tcW w:w="3740" w:type="dxa"/>
            <w:vAlign w:val="bottom"/>
            <w:gridSpan w:val="2"/>
          </w:tcPr>
          <w:p>
            <w:pPr>
              <w:spacing w:after="0"/>
              <w:rPr>
                <w:sz w:val="20"/>
                <w:szCs w:val="20"/>
                <w:color w:val="auto"/>
              </w:rPr>
            </w:pPr>
            <w:r>
              <w:rPr>
                <w:rFonts w:ascii="Arial" w:cs="Arial" w:eastAsia="Arial" w:hAnsi="Arial"/>
                <w:sz w:val="14"/>
                <w:szCs w:val="14"/>
                <w:color w:val="auto"/>
              </w:rPr>
              <w:t>1.625% Notes due 2026</w:t>
            </w:r>
          </w:p>
        </w:tc>
        <w:tc>
          <w:tcPr>
            <w:tcW w:w="2100" w:type="dxa"/>
            <w:vAlign w:val="bottom"/>
            <w:gridSpan w:val="2"/>
          </w:tcPr>
          <w:p>
            <w:pPr>
              <w:spacing w:after="0"/>
              <w:rPr>
                <w:sz w:val="20"/>
                <w:szCs w:val="20"/>
                <w:color w:val="auto"/>
              </w:rPr>
            </w:pPr>
            <w:r>
              <w:rPr>
                <w:rFonts w:ascii="Arial" w:cs="Arial" w:eastAsia="Arial" w:hAnsi="Arial"/>
                <w:sz w:val="14"/>
                <w:szCs w:val="14"/>
                <w:color w:val="auto"/>
              </w:rPr>
              <w:t>LLY26</w:t>
            </w:r>
          </w:p>
        </w:tc>
        <w:tc>
          <w:tcPr>
            <w:tcW w:w="4100" w:type="dxa"/>
            <w:vAlign w:val="bottom"/>
            <w:gridSpan w:val="2"/>
          </w:tcPr>
          <w:p>
            <w:pPr>
              <w:ind w:left="920"/>
              <w:spacing w:after="0"/>
              <w:rPr>
                <w:sz w:val="20"/>
                <w:szCs w:val="20"/>
                <w:color w:val="auto"/>
              </w:rPr>
            </w:pPr>
            <w:r>
              <w:rPr>
                <w:rFonts w:ascii="Arial" w:cs="Arial" w:eastAsia="Arial" w:hAnsi="Arial"/>
                <w:sz w:val="14"/>
                <w:szCs w:val="14"/>
                <w:color w:val="auto"/>
              </w:rPr>
              <w:t>New York Stock Exchange</w:t>
            </w:r>
          </w:p>
        </w:tc>
      </w:tr>
      <w:tr>
        <w:trPr>
          <w:trHeight w:val="189"/>
        </w:trPr>
        <w:tc>
          <w:tcPr>
            <w:tcW w:w="3740" w:type="dxa"/>
            <w:vAlign w:val="bottom"/>
            <w:gridSpan w:val="2"/>
          </w:tcPr>
          <w:p>
            <w:pPr>
              <w:spacing w:after="0"/>
              <w:rPr>
                <w:sz w:val="20"/>
                <w:szCs w:val="20"/>
                <w:color w:val="auto"/>
              </w:rPr>
            </w:pPr>
            <w:r>
              <w:rPr>
                <w:rFonts w:ascii="Arial" w:cs="Arial" w:eastAsia="Arial" w:hAnsi="Arial"/>
                <w:sz w:val="14"/>
                <w:szCs w:val="14"/>
                <w:color w:val="auto"/>
              </w:rPr>
              <w:t>2.125% Notes due 2030</w:t>
            </w:r>
          </w:p>
        </w:tc>
        <w:tc>
          <w:tcPr>
            <w:tcW w:w="2100" w:type="dxa"/>
            <w:vAlign w:val="bottom"/>
            <w:gridSpan w:val="2"/>
          </w:tcPr>
          <w:p>
            <w:pPr>
              <w:spacing w:after="0"/>
              <w:rPr>
                <w:sz w:val="20"/>
                <w:szCs w:val="20"/>
                <w:color w:val="auto"/>
              </w:rPr>
            </w:pPr>
            <w:r>
              <w:rPr>
                <w:rFonts w:ascii="Arial" w:cs="Arial" w:eastAsia="Arial" w:hAnsi="Arial"/>
                <w:sz w:val="14"/>
                <w:szCs w:val="14"/>
                <w:color w:val="auto"/>
              </w:rPr>
              <w:t>LLY30</w:t>
            </w:r>
          </w:p>
        </w:tc>
        <w:tc>
          <w:tcPr>
            <w:tcW w:w="4100" w:type="dxa"/>
            <w:vAlign w:val="bottom"/>
            <w:gridSpan w:val="2"/>
          </w:tcPr>
          <w:p>
            <w:pPr>
              <w:ind w:left="920"/>
              <w:spacing w:after="0"/>
              <w:rPr>
                <w:sz w:val="20"/>
                <w:szCs w:val="20"/>
                <w:color w:val="auto"/>
              </w:rPr>
            </w:pPr>
            <w:r>
              <w:rPr>
                <w:rFonts w:ascii="Arial" w:cs="Arial" w:eastAsia="Arial" w:hAnsi="Arial"/>
                <w:sz w:val="14"/>
                <w:szCs w:val="14"/>
                <w:color w:val="auto"/>
              </w:rPr>
              <w:t>New York Stock Exchange</w:t>
            </w:r>
          </w:p>
        </w:tc>
      </w:tr>
      <w:tr>
        <w:trPr>
          <w:trHeight w:val="189"/>
        </w:trPr>
        <w:tc>
          <w:tcPr>
            <w:tcW w:w="3740" w:type="dxa"/>
            <w:vAlign w:val="bottom"/>
            <w:gridSpan w:val="2"/>
          </w:tcPr>
          <w:p>
            <w:pPr>
              <w:spacing w:after="0"/>
              <w:rPr>
                <w:sz w:val="20"/>
                <w:szCs w:val="20"/>
                <w:color w:val="auto"/>
              </w:rPr>
            </w:pPr>
            <w:r>
              <w:rPr>
                <w:rFonts w:ascii="Arial" w:cs="Arial" w:eastAsia="Arial" w:hAnsi="Arial"/>
                <w:sz w:val="14"/>
                <w:szCs w:val="14"/>
                <w:color w:val="auto"/>
              </w:rPr>
              <w:t>0.625% Notes due 2031</w:t>
            </w:r>
          </w:p>
        </w:tc>
        <w:tc>
          <w:tcPr>
            <w:tcW w:w="2100" w:type="dxa"/>
            <w:vAlign w:val="bottom"/>
            <w:gridSpan w:val="2"/>
          </w:tcPr>
          <w:p>
            <w:pPr>
              <w:spacing w:after="0"/>
              <w:rPr>
                <w:sz w:val="20"/>
                <w:szCs w:val="20"/>
                <w:color w:val="auto"/>
              </w:rPr>
            </w:pPr>
            <w:r>
              <w:rPr>
                <w:rFonts w:ascii="Arial" w:cs="Arial" w:eastAsia="Arial" w:hAnsi="Arial"/>
                <w:sz w:val="14"/>
                <w:szCs w:val="14"/>
                <w:color w:val="auto"/>
              </w:rPr>
              <w:t>LLY31</w:t>
            </w:r>
          </w:p>
        </w:tc>
        <w:tc>
          <w:tcPr>
            <w:tcW w:w="4100" w:type="dxa"/>
            <w:vAlign w:val="bottom"/>
            <w:gridSpan w:val="2"/>
          </w:tcPr>
          <w:p>
            <w:pPr>
              <w:ind w:left="920"/>
              <w:spacing w:after="0"/>
              <w:rPr>
                <w:sz w:val="20"/>
                <w:szCs w:val="20"/>
                <w:color w:val="auto"/>
              </w:rPr>
            </w:pPr>
            <w:r>
              <w:rPr>
                <w:rFonts w:ascii="Arial" w:cs="Arial" w:eastAsia="Arial" w:hAnsi="Arial"/>
                <w:sz w:val="14"/>
                <w:szCs w:val="14"/>
                <w:color w:val="auto"/>
              </w:rPr>
              <w:t>New York Stock Exchange</w:t>
            </w:r>
          </w:p>
        </w:tc>
      </w:tr>
      <w:tr>
        <w:trPr>
          <w:trHeight w:val="189"/>
        </w:trPr>
        <w:tc>
          <w:tcPr>
            <w:tcW w:w="3740" w:type="dxa"/>
            <w:vAlign w:val="bottom"/>
            <w:gridSpan w:val="2"/>
          </w:tcPr>
          <w:p>
            <w:pPr>
              <w:spacing w:after="0"/>
              <w:rPr>
                <w:sz w:val="20"/>
                <w:szCs w:val="20"/>
                <w:color w:val="auto"/>
              </w:rPr>
            </w:pPr>
            <w:r>
              <w:rPr>
                <w:rFonts w:ascii="Arial" w:cs="Arial" w:eastAsia="Arial" w:hAnsi="Arial"/>
                <w:sz w:val="14"/>
                <w:szCs w:val="14"/>
                <w:color w:val="auto"/>
              </w:rPr>
              <w:t>6.77% Notes due 2036</w:t>
            </w:r>
          </w:p>
        </w:tc>
        <w:tc>
          <w:tcPr>
            <w:tcW w:w="2100" w:type="dxa"/>
            <w:vAlign w:val="bottom"/>
            <w:gridSpan w:val="2"/>
          </w:tcPr>
          <w:p>
            <w:pPr>
              <w:spacing w:after="0"/>
              <w:rPr>
                <w:sz w:val="20"/>
                <w:szCs w:val="20"/>
                <w:color w:val="auto"/>
              </w:rPr>
            </w:pPr>
            <w:r>
              <w:rPr>
                <w:rFonts w:ascii="Arial" w:cs="Arial" w:eastAsia="Arial" w:hAnsi="Arial"/>
                <w:sz w:val="14"/>
                <w:szCs w:val="14"/>
                <w:color w:val="auto"/>
              </w:rPr>
              <w:t>LLY36</w:t>
            </w:r>
          </w:p>
        </w:tc>
        <w:tc>
          <w:tcPr>
            <w:tcW w:w="4100" w:type="dxa"/>
            <w:vAlign w:val="bottom"/>
            <w:gridSpan w:val="2"/>
          </w:tcPr>
          <w:p>
            <w:pPr>
              <w:ind w:left="920"/>
              <w:spacing w:after="0"/>
              <w:rPr>
                <w:sz w:val="20"/>
                <w:szCs w:val="20"/>
                <w:color w:val="auto"/>
              </w:rPr>
            </w:pPr>
            <w:r>
              <w:rPr>
                <w:rFonts w:ascii="Arial" w:cs="Arial" w:eastAsia="Arial" w:hAnsi="Arial"/>
                <w:sz w:val="14"/>
                <w:szCs w:val="14"/>
                <w:color w:val="auto"/>
              </w:rPr>
              <w:t>New York Stock Exchange</w:t>
            </w:r>
          </w:p>
        </w:tc>
      </w:tr>
      <w:tr>
        <w:trPr>
          <w:trHeight w:val="189"/>
        </w:trPr>
        <w:tc>
          <w:tcPr>
            <w:tcW w:w="3740" w:type="dxa"/>
            <w:vAlign w:val="bottom"/>
            <w:gridSpan w:val="2"/>
          </w:tcPr>
          <w:p>
            <w:pPr>
              <w:spacing w:after="0"/>
              <w:rPr>
                <w:sz w:val="20"/>
                <w:szCs w:val="20"/>
                <w:color w:val="auto"/>
              </w:rPr>
            </w:pPr>
            <w:r>
              <w:rPr>
                <w:rFonts w:ascii="Arial" w:cs="Arial" w:eastAsia="Arial" w:hAnsi="Arial"/>
                <w:sz w:val="14"/>
                <w:szCs w:val="14"/>
                <w:color w:val="auto"/>
              </w:rPr>
              <w:t>1.700% Notes due 2049</w:t>
            </w:r>
          </w:p>
        </w:tc>
        <w:tc>
          <w:tcPr>
            <w:tcW w:w="2100" w:type="dxa"/>
            <w:vAlign w:val="bottom"/>
            <w:gridSpan w:val="2"/>
          </w:tcPr>
          <w:p>
            <w:pPr>
              <w:spacing w:after="0"/>
              <w:rPr>
                <w:sz w:val="20"/>
                <w:szCs w:val="20"/>
                <w:color w:val="auto"/>
              </w:rPr>
            </w:pPr>
            <w:r>
              <w:rPr>
                <w:rFonts w:ascii="Arial" w:cs="Arial" w:eastAsia="Arial" w:hAnsi="Arial"/>
                <w:sz w:val="14"/>
                <w:szCs w:val="14"/>
                <w:color w:val="auto"/>
              </w:rPr>
              <w:t>LLY49A</w:t>
            </w:r>
          </w:p>
        </w:tc>
        <w:tc>
          <w:tcPr>
            <w:tcW w:w="4100" w:type="dxa"/>
            <w:vAlign w:val="bottom"/>
            <w:gridSpan w:val="2"/>
          </w:tcPr>
          <w:p>
            <w:pPr>
              <w:ind w:left="920"/>
              <w:spacing w:after="0"/>
              <w:rPr>
                <w:sz w:val="20"/>
                <w:szCs w:val="20"/>
                <w:color w:val="auto"/>
              </w:rPr>
            </w:pPr>
            <w:r>
              <w:rPr>
                <w:rFonts w:ascii="Arial" w:cs="Arial" w:eastAsia="Arial" w:hAnsi="Arial"/>
                <w:sz w:val="14"/>
                <w:szCs w:val="14"/>
                <w:color w:val="auto"/>
              </w:rPr>
              <w:t>New York Stock Exchange</w:t>
            </w:r>
          </w:p>
        </w:tc>
      </w:tr>
    </w:tbl>
    <w:p>
      <w:pPr>
        <w:spacing w:after="0" w:line="95" w:lineRule="exact"/>
        <w:rPr>
          <w:sz w:val="24"/>
          <w:szCs w:val="24"/>
          <w:color w:val="auto"/>
        </w:rPr>
      </w:pPr>
    </w:p>
    <w:p>
      <w:pPr>
        <w:ind w:right="400"/>
        <w:spacing w:after="0" w:line="243"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96"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1" w:lineRule="exact"/>
        <w:rPr>
          <w:sz w:val="24"/>
          <w:szCs w:val="24"/>
          <w:color w:val="auto"/>
        </w:rPr>
      </w:pPr>
    </w:p>
    <w:p>
      <w:pPr>
        <w:ind w:right="160"/>
        <w:spacing w:after="0" w:line="20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8" w:lineRule="exact"/>
        <w:rPr>
          <w:sz w:val="24"/>
          <w:szCs w:val="24"/>
          <w:color w:val="auto"/>
        </w:rPr>
      </w:pPr>
    </w:p>
    <w:p>
      <w:pPr>
        <w:ind w:right="20"/>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2" w:lineRule="exact"/>
        <w:rPr>
          <w:sz w:val="24"/>
          <w:szCs w:val="24"/>
          <w:color w:val="auto"/>
        </w:rPr>
      </w:pPr>
    </w:p>
    <w:tbl>
      <w:tblPr>
        <w:tblLayout w:type="fixed"/>
        <w:tblInd w:w="660" w:type="dxa"/>
        <w:tblCellMar>
          <w:top w:w="0" w:type="dxa"/>
          <w:left w:w="0" w:type="dxa"/>
          <w:bottom w:w="0" w:type="dxa"/>
          <w:right w:w="0" w:type="dxa"/>
        </w:tblCellMar>
      </w:tblPr>
      <w:tr>
        <w:trPr>
          <w:trHeight w:val="237"/>
        </w:trPr>
        <w:tc>
          <w:tcPr>
            <w:tcW w:w="5040" w:type="dxa"/>
            <w:vAlign w:val="bottom"/>
          </w:tcPr>
          <w:p>
            <w:pPr>
              <w:spacing w:after="0" w:line="196"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7"/>
                <w:szCs w:val="17"/>
                <w:color w:val="auto"/>
              </w:rPr>
              <w:t>☒</w:t>
            </w:r>
          </w:p>
        </w:tc>
        <w:tc>
          <w:tcPr>
            <w:tcW w:w="5280" w:type="dxa"/>
            <w:vAlign w:val="bottom"/>
          </w:tcPr>
          <w:p>
            <w:pPr>
              <w:jc w:val="right"/>
              <w:ind w:right="19"/>
              <w:spacing w:after="0"/>
              <w:rPr>
                <w:sz w:val="20"/>
                <w:szCs w:val="20"/>
                <w:color w:val="auto"/>
              </w:rPr>
            </w:pPr>
            <w:r>
              <w:rPr>
                <w:rFonts w:ascii="Arial" w:cs="Arial" w:eastAsia="Arial" w:hAnsi="Arial"/>
                <w:sz w:val="16"/>
                <w:szCs w:val="16"/>
                <w:color w:val="auto"/>
              </w:rPr>
              <w:t>Accelerated filer</w:t>
            </w:r>
          </w:p>
        </w:tc>
        <w:tc>
          <w:tcPr>
            <w:tcW w:w="240" w:type="dxa"/>
            <w:vAlign w:val="bottom"/>
          </w:tcPr>
          <w:p>
            <w:pPr>
              <w:ind w:left="1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5040" w:type="dxa"/>
            <w:vAlign w:val="bottom"/>
          </w:tcPr>
          <w:p>
            <w:pPr>
              <w:ind w:left="12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tc>
        <w:tc>
          <w:tcPr>
            <w:tcW w:w="5280" w:type="dxa"/>
            <w:vAlign w:val="bottom"/>
          </w:tcPr>
          <w:p>
            <w:pPr>
              <w:jc w:val="right"/>
              <w:ind w:right="19"/>
              <w:spacing w:after="0"/>
              <w:rPr>
                <w:sz w:val="20"/>
                <w:szCs w:val="20"/>
                <w:color w:val="auto"/>
              </w:rPr>
            </w:pPr>
            <w:r>
              <w:rPr>
                <w:rFonts w:ascii="Arial" w:cs="Arial" w:eastAsia="Arial" w:hAnsi="Arial"/>
                <w:sz w:val="16"/>
                <w:szCs w:val="16"/>
                <w:color w:val="auto"/>
              </w:rPr>
              <w:t>Smaller reporting company</w:t>
            </w:r>
          </w:p>
        </w:tc>
        <w:tc>
          <w:tcPr>
            <w:tcW w:w="240" w:type="dxa"/>
            <w:vAlign w:val="bottom"/>
          </w:tcPr>
          <w:p>
            <w:pPr>
              <w:ind w:left="1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5040" w:type="dxa"/>
            <w:vAlign w:val="bottom"/>
          </w:tcPr>
          <w:p>
            <w:pPr>
              <w:spacing w:after="0"/>
              <w:rPr>
                <w:sz w:val="22"/>
                <w:szCs w:val="22"/>
                <w:color w:val="auto"/>
              </w:rPr>
            </w:pPr>
          </w:p>
        </w:tc>
        <w:tc>
          <w:tcPr>
            <w:tcW w:w="5280" w:type="dxa"/>
            <w:vAlign w:val="bottom"/>
          </w:tcPr>
          <w:p>
            <w:pPr>
              <w:jc w:val="right"/>
              <w:ind w:right="19"/>
              <w:spacing w:after="0"/>
              <w:rPr>
                <w:sz w:val="20"/>
                <w:szCs w:val="20"/>
                <w:color w:val="auto"/>
              </w:rPr>
            </w:pPr>
            <w:r>
              <w:rPr>
                <w:rFonts w:ascii="Arial" w:cs="Arial" w:eastAsia="Arial" w:hAnsi="Arial"/>
                <w:sz w:val="16"/>
                <w:szCs w:val="16"/>
                <w:color w:val="auto"/>
              </w:rPr>
              <w:t>Emerging growth company</w:t>
            </w:r>
          </w:p>
        </w:tc>
        <w:tc>
          <w:tcPr>
            <w:tcW w:w="240" w:type="dxa"/>
            <w:vAlign w:val="bottom"/>
          </w:tcPr>
          <w:p>
            <w:pPr>
              <w:ind w:left="1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84" w:lineRule="exact"/>
        <w:rPr>
          <w:sz w:val="24"/>
          <w:szCs w:val="24"/>
          <w:color w:val="auto"/>
        </w:rPr>
      </w:pPr>
    </w:p>
    <w:p>
      <w:pPr>
        <w:ind w:right="6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11" w:lineRule="exact"/>
        <w:rPr>
          <w:sz w:val="24"/>
          <w:szCs w:val="24"/>
          <w:color w:val="auto"/>
        </w:rPr>
      </w:pPr>
    </w:p>
    <w:p>
      <w:pPr>
        <w:spacing w:after="0" w:line="196"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69"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common stock outstanding as of July 30, 2021:</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20" w:type="dxa"/>
            <w:vAlign w:val="bottom"/>
            <w:tcBorders>
              <w:bottom w:val="single" w:sz="8" w:color="auto"/>
            </w:tcBorders>
          </w:tcPr>
          <w:p>
            <w:pPr>
              <w:spacing w:after="0"/>
              <w:rPr>
                <w:sz w:val="14"/>
                <w:szCs w:val="14"/>
                <w:color w:val="auto"/>
              </w:rPr>
            </w:pP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Class</w:t>
            </w:r>
          </w:p>
        </w:tc>
        <w:tc>
          <w:tcPr>
            <w:tcW w:w="420" w:type="dxa"/>
            <w:vAlign w:val="bottom"/>
          </w:tcPr>
          <w:p>
            <w:pPr>
              <w:spacing w:after="0"/>
              <w:rPr>
                <w:sz w:val="14"/>
                <w:szCs w:val="14"/>
                <w:color w:val="auto"/>
              </w:rPr>
            </w:pPr>
          </w:p>
        </w:tc>
        <w:tc>
          <w:tcPr>
            <w:tcW w:w="5320" w:type="dxa"/>
            <w:vAlign w:val="bottom"/>
            <w:tcBorders>
              <w:bottom w:val="single" w:sz="8" w:color="auto"/>
            </w:tcBorders>
          </w:tcPr>
          <w:p>
            <w:pPr>
              <w:jc w:val="right"/>
              <w:ind w:right="1579"/>
              <w:spacing w:after="0"/>
              <w:rPr>
                <w:sz w:val="20"/>
                <w:szCs w:val="20"/>
                <w:color w:val="auto"/>
              </w:rPr>
            </w:pPr>
            <w:r>
              <w:rPr>
                <w:rFonts w:ascii="Arial" w:cs="Arial" w:eastAsia="Arial" w:hAnsi="Arial"/>
                <w:sz w:val="14"/>
                <w:szCs w:val="14"/>
                <w:color w:val="auto"/>
              </w:rPr>
              <w:t>Number of Shares Outstanding</w:t>
            </w:r>
          </w:p>
        </w:tc>
        <w:tc>
          <w:tcPr>
            <w:tcW w:w="2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5880" w:type="dxa"/>
            <w:vAlign w:val="bottom"/>
            <w:gridSpan w:val="2"/>
          </w:tcPr>
          <w:p>
            <w:pPr>
              <w:jc w:val="center"/>
              <w:ind w:right="420"/>
              <w:spacing w:after="0"/>
              <w:rPr>
                <w:sz w:val="20"/>
                <w:szCs w:val="20"/>
                <w:color w:val="auto"/>
              </w:rPr>
            </w:pPr>
            <w:r>
              <w:rPr>
                <w:rFonts w:ascii="Arial" w:cs="Arial" w:eastAsia="Arial" w:hAnsi="Arial"/>
                <w:sz w:val="18"/>
                <w:szCs w:val="18"/>
                <w:color w:val="auto"/>
              </w:rPr>
              <w:t>Common</w:t>
            </w:r>
          </w:p>
        </w:tc>
        <w:tc>
          <w:tcPr>
            <w:tcW w:w="5320" w:type="dxa"/>
            <w:vAlign w:val="bottom"/>
          </w:tcPr>
          <w:p>
            <w:pPr>
              <w:jc w:val="right"/>
              <w:spacing w:after="0"/>
              <w:rPr>
                <w:sz w:val="20"/>
                <w:szCs w:val="20"/>
                <w:color w:val="auto"/>
              </w:rPr>
            </w:pPr>
            <w:r>
              <w:rPr>
                <w:rFonts w:ascii="Arial" w:cs="Arial" w:eastAsia="Arial" w:hAnsi="Arial"/>
                <w:sz w:val="18"/>
                <w:szCs w:val="18"/>
                <w:color w:val="auto"/>
              </w:rPr>
              <w:t>956,580,893</w:t>
            </w:r>
          </w:p>
        </w:tc>
        <w:tc>
          <w:tcPr>
            <w:tcW w:w="20" w:type="dxa"/>
            <w:vAlign w:val="bottom"/>
          </w:tcPr>
          <w:p>
            <w:pPr>
              <w:spacing w:after="0"/>
              <w:rPr>
                <w:sz w:val="19"/>
                <w:szCs w:val="19"/>
                <w:color w:val="auto"/>
              </w:rPr>
            </w:pPr>
          </w:p>
        </w:tc>
      </w:tr>
      <w:tr>
        <w:trPr>
          <w:trHeight w:val="121"/>
        </w:trPr>
        <w:tc>
          <w:tcPr>
            <w:tcW w:w="20" w:type="dxa"/>
            <w:vAlign w:val="bottom"/>
          </w:tcPr>
          <w:p>
            <w:pPr>
              <w:spacing w:after="0"/>
              <w:rPr>
                <w:sz w:val="10"/>
                <w:szCs w:val="10"/>
                <w:color w:val="auto"/>
              </w:rPr>
            </w:pPr>
          </w:p>
        </w:tc>
        <w:tc>
          <w:tcPr>
            <w:tcW w:w="54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53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8"/>
        </w:trPr>
        <w:tc>
          <w:tcPr>
            <w:tcW w:w="20" w:type="dxa"/>
            <w:vAlign w:val="bottom"/>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3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979"/>
        </w:trPr>
        <w:tc>
          <w:tcPr>
            <w:tcW w:w="20" w:type="dxa"/>
            <w:vAlign w:val="bottom"/>
            <w:tcBorders>
              <w:bottom w:val="single" w:sz="8" w:color="9A9A9A"/>
            </w:tcBorders>
          </w:tcPr>
          <w:p>
            <w:pPr>
              <w:spacing w:after="0"/>
              <w:rPr>
                <w:sz w:val="24"/>
                <w:szCs w:val="24"/>
                <w:color w:val="auto"/>
              </w:rPr>
            </w:pPr>
          </w:p>
        </w:tc>
        <w:tc>
          <w:tcPr>
            <w:tcW w:w="54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9" w:right="339" w:bottom="1440" w:gutter="0" w:footer="0" w:header="0"/>
        </w:sectPr>
      </w:pPr>
    </w:p>
    <w:bookmarkStart w:id="1" w:name="page2"/>
    <w:bookmarkEnd w:id="1"/>
    <w:p>
      <w:pPr>
        <w:ind w:left="4680"/>
        <w:spacing w:after="0"/>
        <w:rPr>
          <w:sz w:val="20"/>
          <w:szCs w:val="20"/>
          <w:color w:val="auto"/>
        </w:rPr>
      </w:pPr>
      <w:r>
        <w:rPr>
          <w:rFonts w:ascii="Arial" w:cs="Arial" w:eastAsia="Arial" w:hAnsi="Arial"/>
          <w:sz w:val="18"/>
          <w:szCs w:val="18"/>
          <w:b w:val="1"/>
          <w:bCs w:val="1"/>
          <w:color w:val="auto"/>
        </w:rPr>
        <w:t>Eli Lilly and Company</w:t>
      </w:r>
    </w:p>
    <w:p>
      <w:pPr>
        <w:spacing w:after="0" w:line="11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Form 10-Q</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2021</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gridSpan w:val="4"/>
          </w:tcPr>
          <w:p>
            <w:pPr>
              <w:spacing w:after="0"/>
              <w:rPr>
                <w:sz w:val="20"/>
                <w:szCs w:val="20"/>
                <w:color w:val="auto"/>
              </w:rPr>
            </w:pPr>
            <w:r>
              <w:rPr>
                <w:rFonts w:ascii="Arial" w:cs="Arial" w:eastAsia="Arial" w:hAnsi="Arial"/>
                <w:sz w:val="18"/>
                <w:szCs w:val="18"/>
                <w:b w:val="1"/>
                <w:bCs w:val="1"/>
                <w:color w:val="auto"/>
              </w:rPr>
              <w:t>Page</w:t>
            </w:r>
          </w:p>
        </w:tc>
      </w:tr>
      <w:tr>
        <w:trPr>
          <w:trHeight w:val="209"/>
        </w:trPr>
        <w:tc>
          <w:tcPr>
            <w:tcW w:w="20" w:type="dxa"/>
            <w:vAlign w:val="bottom"/>
          </w:tcPr>
          <w:p>
            <w:pPr>
              <w:spacing w:after="0"/>
              <w:rPr>
                <w:sz w:val="18"/>
                <w:szCs w:val="18"/>
                <w:color w:val="auto"/>
              </w:rPr>
            </w:pPr>
          </w:p>
        </w:tc>
        <w:tc>
          <w:tcPr>
            <w:tcW w:w="2340" w:type="dxa"/>
            <w:vAlign w:val="bottom"/>
            <w:gridSpan w:val="5"/>
          </w:tcPr>
          <w:p>
            <w:pPr>
              <w:spacing w:after="0"/>
              <w:rPr>
                <w:rFonts w:ascii="Arial" w:cs="Arial" w:eastAsia="Arial" w:hAnsi="Arial"/>
                <w:sz w:val="18"/>
                <w:szCs w:val="18"/>
                <w:color w:val="0000FF"/>
                <w:w w:val="98"/>
              </w:rPr>
            </w:pPr>
            <w:hyperlink w:anchor="page4">
              <w:r>
                <w:rPr>
                  <w:rFonts w:ascii="Arial" w:cs="Arial" w:eastAsia="Arial" w:hAnsi="Arial"/>
                  <w:sz w:val="18"/>
                  <w:szCs w:val="18"/>
                  <w:color w:val="0000FF"/>
                  <w:w w:val="98"/>
                </w:rPr>
                <w:t>PART I. Financial Information</w:t>
              </w:r>
            </w:hyperlink>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Borders>
              <w:top w:val="single" w:sz="8" w:color="auto"/>
            </w:tcBorders>
            <w:gridSpan w:val="2"/>
          </w:tcPr>
          <w:p>
            <w:pPr>
              <w:jc w:val="center"/>
              <w:ind w:left="70"/>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5</w:t>
              </w:r>
            </w:hyperlink>
          </w:p>
        </w:tc>
        <w:tc>
          <w:tcPr>
            <w:tcW w:w="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560" w:type="dxa"/>
            <w:vAlign w:val="bottom"/>
          </w:tcPr>
          <w:p>
            <w:pPr>
              <w:spacing w:after="0"/>
              <w:rPr>
                <w:rFonts w:ascii="Arial" w:cs="Arial" w:eastAsia="Arial" w:hAnsi="Arial"/>
                <w:sz w:val="18"/>
                <w:szCs w:val="18"/>
                <w:color w:val="0000FF"/>
                <w:w w:val="98"/>
              </w:rPr>
            </w:pPr>
            <w:hyperlink w:anchor="page5">
              <w:r>
                <w:rPr>
                  <w:rFonts w:ascii="Arial" w:cs="Arial" w:eastAsia="Arial" w:hAnsi="Arial"/>
                  <w:sz w:val="18"/>
                  <w:szCs w:val="18"/>
                  <w:color w:val="0000FF"/>
                  <w:w w:val="98"/>
                </w:rPr>
                <w:t>Item 1.</w:t>
              </w:r>
            </w:hyperlink>
          </w:p>
        </w:tc>
        <w:tc>
          <w:tcPr>
            <w:tcW w:w="1780" w:type="dxa"/>
            <w:vAlign w:val="bottom"/>
            <w:gridSpan w:val="4"/>
          </w:tcPr>
          <w:p>
            <w:pPr>
              <w:spacing w:after="0"/>
              <w:rPr>
                <w:sz w:val="24"/>
                <w:szCs w:val="24"/>
                <w:color w:val="auto"/>
              </w:rPr>
            </w:pPr>
          </w:p>
        </w:tc>
        <w:tc>
          <w:tcPr>
            <w:tcW w:w="780" w:type="dxa"/>
            <w:vAlign w:val="bottom"/>
          </w:tcPr>
          <w:p>
            <w:pPr>
              <w:spacing w:after="0"/>
              <w:rPr>
                <w:sz w:val="24"/>
                <w:szCs w:val="24"/>
                <w:color w:val="auto"/>
              </w:rPr>
            </w:pPr>
          </w:p>
        </w:tc>
        <w:tc>
          <w:tcPr>
            <w:tcW w:w="7560" w:type="dxa"/>
            <w:vAlign w:val="bottom"/>
            <w:gridSpan w:val="20"/>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Financial Statements</w:t>
              </w:r>
            </w:hyperlink>
          </w:p>
        </w:tc>
        <w:tc>
          <w:tcPr>
            <w:tcW w:w="260" w:type="dxa"/>
            <w:vAlign w:val="bottom"/>
            <w:gridSpan w:val="2"/>
          </w:tcPr>
          <w:p>
            <w:pPr>
              <w:jc w:val="center"/>
              <w:ind w:left="70"/>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5</w:t>
              </w:r>
            </w:hyperlink>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120" w:type="dxa"/>
            <w:vAlign w:val="bottom"/>
            <w:gridSpan w:val="13"/>
          </w:tcPr>
          <w:p>
            <w:pP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Consolidated Condensed Statements of Operations</w:t>
              </w:r>
            </w:hyperlink>
          </w:p>
        </w:tc>
        <w:tc>
          <w:tcPr>
            <w:tcW w:w="3240" w:type="dxa"/>
            <w:vAlign w:val="bottom"/>
            <w:gridSpan w:val="6"/>
          </w:tcPr>
          <w:p>
            <w:pPr>
              <w:spacing w:after="0"/>
              <w:rPr>
                <w:sz w:val="18"/>
                <w:szCs w:val="18"/>
                <w:color w:val="auto"/>
              </w:rPr>
            </w:pPr>
          </w:p>
        </w:tc>
        <w:tc>
          <w:tcPr>
            <w:tcW w:w="260" w:type="dxa"/>
            <w:vAlign w:val="bottom"/>
            <w:gridSpan w:val="2"/>
          </w:tcPr>
          <w:p>
            <w:pPr>
              <w:jc w:val="center"/>
              <w:ind w:left="70"/>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5</w:t>
              </w:r>
            </w:hyperlink>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360" w:type="dxa"/>
            <w:vAlign w:val="bottom"/>
            <w:gridSpan w:val="19"/>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Consolidated Condensed Statements of Comprehensive Income (Loss)</w:t>
              </w:r>
            </w:hyperlink>
          </w:p>
        </w:tc>
        <w:tc>
          <w:tcPr>
            <w:tcW w:w="260" w:type="dxa"/>
            <w:vAlign w:val="bottom"/>
            <w:gridSpan w:val="2"/>
          </w:tcPr>
          <w:p>
            <w:pPr>
              <w:jc w:val="center"/>
              <w:ind w:left="70"/>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6</w:t>
              </w:r>
            </w:hyperlink>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40" w:type="dxa"/>
            <w:vAlign w:val="bottom"/>
            <w:gridSpan w:val="11"/>
          </w:tcPr>
          <w:p>
            <w:pPr>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Consolidated Condensed Balance Sheets</w:t>
              </w:r>
            </w:hyperlink>
          </w:p>
        </w:tc>
        <w:tc>
          <w:tcPr>
            <w:tcW w:w="2340" w:type="dxa"/>
            <w:vAlign w:val="bottom"/>
            <w:gridSpan w:val="6"/>
          </w:tcPr>
          <w:p>
            <w:pPr>
              <w:spacing w:after="0"/>
              <w:rPr>
                <w:sz w:val="18"/>
                <w:szCs w:val="18"/>
                <w:color w:val="auto"/>
              </w:rPr>
            </w:pPr>
          </w:p>
        </w:tc>
        <w:tc>
          <w:tcPr>
            <w:tcW w:w="1680" w:type="dxa"/>
            <w:vAlign w:val="bottom"/>
            <w:gridSpan w:val="2"/>
          </w:tcPr>
          <w:p>
            <w:pPr>
              <w:spacing w:after="0"/>
              <w:rPr>
                <w:sz w:val="18"/>
                <w:szCs w:val="18"/>
                <w:color w:val="auto"/>
              </w:rPr>
            </w:pPr>
          </w:p>
        </w:tc>
        <w:tc>
          <w:tcPr>
            <w:tcW w:w="260" w:type="dxa"/>
            <w:vAlign w:val="bottom"/>
            <w:gridSpan w:val="2"/>
          </w:tcPr>
          <w:p>
            <w:pPr>
              <w:jc w:val="center"/>
              <w:ind w:left="70"/>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7</w:t>
              </w:r>
            </w:hyperlink>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40" w:type="dxa"/>
            <w:vAlign w:val="bottom"/>
            <w:gridSpan w:val="12"/>
          </w:tcPr>
          <w:p>
            <w:pPr>
              <w:spacing w:after="0"/>
              <w:rPr>
                <w:rFonts w:ascii="Arial" w:cs="Arial" w:eastAsia="Arial" w:hAnsi="Arial"/>
                <w:sz w:val="18"/>
                <w:szCs w:val="18"/>
                <w:color w:val="0000FF"/>
                <w:w w:val="99"/>
              </w:rPr>
            </w:pPr>
            <w:hyperlink w:anchor="page7">
              <w:r>
                <w:rPr>
                  <w:rFonts w:ascii="Arial" w:cs="Arial" w:eastAsia="Arial" w:hAnsi="Arial"/>
                  <w:sz w:val="18"/>
                  <w:szCs w:val="18"/>
                  <w:color w:val="0000FF"/>
                  <w:w w:val="99"/>
                </w:rPr>
                <w:t>Consolidated Condensed Statements of Equity</w:t>
              </w:r>
            </w:hyperlink>
          </w:p>
        </w:tc>
        <w:tc>
          <w:tcPr>
            <w:tcW w:w="3620" w:type="dxa"/>
            <w:vAlign w:val="bottom"/>
            <w:gridSpan w:val="7"/>
          </w:tcPr>
          <w:p>
            <w:pPr>
              <w:spacing w:after="0"/>
              <w:rPr>
                <w:sz w:val="18"/>
                <w:szCs w:val="18"/>
                <w:color w:val="auto"/>
              </w:rPr>
            </w:pPr>
          </w:p>
        </w:tc>
        <w:tc>
          <w:tcPr>
            <w:tcW w:w="260" w:type="dxa"/>
            <w:vAlign w:val="bottom"/>
            <w:gridSpan w:val="2"/>
          </w:tcPr>
          <w:p>
            <w:pPr>
              <w:jc w:val="center"/>
              <w:ind w:left="70"/>
              <w:spacing w:after="0"/>
              <w:rPr>
                <w:rFonts w:ascii="Arial" w:cs="Arial" w:eastAsia="Arial" w:hAnsi="Arial"/>
                <w:sz w:val="18"/>
                <w:szCs w:val="18"/>
                <w:color w:val="0000FF"/>
                <w:w w:val="99"/>
              </w:rPr>
            </w:pPr>
            <w:hyperlink w:anchor="page7">
              <w:r>
                <w:rPr>
                  <w:rFonts w:ascii="Arial" w:cs="Arial" w:eastAsia="Arial" w:hAnsi="Arial"/>
                  <w:sz w:val="18"/>
                  <w:szCs w:val="18"/>
                  <w:color w:val="0000FF"/>
                  <w:w w:val="99"/>
                </w:rPr>
                <w:t>8</w:t>
              </w:r>
            </w:hyperlink>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180" w:type="dxa"/>
            <w:vAlign w:val="bottom"/>
            <w:gridSpan w:val="14"/>
          </w:tcPr>
          <w:p>
            <w:pPr>
              <w:spacing w:after="0"/>
              <w:rPr>
                <w:rFonts w:ascii="Arial" w:cs="Arial" w:eastAsia="Arial" w:hAnsi="Arial"/>
                <w:sz w:val="18"/>
                <w:szCs w:val="18"/>
                <w:color w:val="0000FF"/>
                <w:w w:val="99"/>
              </w:rPr>
            </w:pPr>
            <w:hyperlink w:anchor="page9">
              <w:r>
                <w:rPr>
                  <w:rFonts w:ascii="Arial" w:cs="Arial" w:eastAsia="Arial" w:hAnsi="Arial"/>
                  <w:sz w:val="18"/>
                  <w:szCs w:val="18"/>
                  <w:color w:val="0000FF"/>
                  <w:w w:val="99"/>
                </w:rPr>
                <w:t>Consolidated Condensed Statements of Cash Flows</w:t>
              </w:r>
            </w:hyperlink>
          </w:p>
        </w:tc>
        <w:tc>
          <w:tcPr>
            <w:tcW w:w="3180" w:type="dxa"/>
            <w:vAlign w:val="bottom"/>
            <w:gridSpan w:val="5"/>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gridSpan w:val="2"/>
          </w:tcPr>
          <w:p>
            <w:pPr>
              <w:jc w:val="center"/>
              <w:ind w:right="120"/>
              <w:spacing w:after="0"/>
              <w:rPr>
                <w:rFonts w:ascii="Arial" w:cs="Arial" w:eastAsia="Arial" w:hAnsi="Arial"/>
                <w:sz w:val="17"/>
                <w:szCs w:val="17"/>
                <w:color w:val="0000FF"/>
                <w:w w:val="73"/>
              </w:rPr>
            </w:pPr>
            <w:hyperlink w:anchor="page9">
              <w:r>
                <w:rPr>
                  <w:rFonts w:ascii="Arial" w:cs="Arial" w:eastAsia="Arial" w:hAnsi="Arial"/>
                  <w:sz w:val="17"/>
                  <w:szCs w:val="17"/>
                  <w:color w:val="0000FF"/>
                  <w:w w:val="73"/>
                </w:rPr>
                <w:t>10</w:t>
              </w:r>
            </w:hyperlink>
          </w:p>
        </w:tc>
        <w:tc>
          <w:tcPr>
            <w:tcW w:w="1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80" w:type="dxa"/>
            <w:vAlign w:val="bottom"/>
            <w:gridSpan w:val="16"/>
          </w:tcPr>
          <w:p>
            <w:pPr>
              <w:spacing w:after="0"/>
              <w:rPr>
                <w:rFonts w:ascii="Arial" w:cs="Arial" w:eastAsia="Arial" w:hAnsi="Arial"/>
                <w:sz w:val="18"/>
                <w:szCs w:val="18"/>
                <w:color w:val="0000FF"/>
                <w:w w:val="99"/>
              </w:rPr>
            </w:pPr>
            <w:hyperlink w:anchor="page10">
              <w:r>
                <w:rPr>
                  <w:rFonts w:ascii="Arial" w:cs="Arial" w:eastAsia="Arial" w:hAnsi="Arial"/>
                  <w:sz w:val="18"/>
                  <w:szCs w:val="18"/>
                  <w:color w:val="0000FF"/>
                  <w:w w:val="99"/>
                </w:rPr>
                <w:t>Notes to Consolidated Condensed Financial Statements</w:t>
              </w:r>
            </w:hyperlink>
          </w:p>
        </w:tc>
        <w:tc>
          <w:tcPr>
            <w:tcW w:w="3080" w:type="dxa"/>
            <w:vAlign w:val="bottom"/>
            <w:gridSpan w:val="4"/>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gridSpan w:val="2"/>
          </w:tcPr>
          <w:p>
            <w:pPr>
              <w:jc w:val="center"/>
              <w:ind w:right="120"/>
              <w:spacing w:after="0"/>
              <w:rPr>
                <w:rFonts w:ascii="Arial" w:cs="Arial" w:eastAsia="Arial" w:hAnsi="Arial"/>
                <w:sz w:val="17"/>
                <w:szCs w:val="17"/>
                <w:color w:val="0000FF"/>
                <w:w w:val="73"/>
              </w:rPr>
            </w:pPr>
            <w:hyperlink w:anchor="page10">
              <w:r>
                <w:rPr>
                  <w:rFonts w:ascii="Arial" w:cs="Arial" w:eastAsia="Arial" w:hAnsi="Arial"/>
                  <w:sz w:val="17"/>
                  <w:szCs w:val="17"/>
                  <w:color w:val="0000FF"/>
                  <w:w w:val="73"/>
                </w:rPr>
                <w:t>11</w:t>
              </w:r>
            </w:hyperlink>
          </w:p>
        </w:tc>
        <w:tc>
          <w:tcPr>
            <w:tcW w:w="1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0" w:type="dxa"/>
            <w:vAlign w:val="bottom"/>
            <w:gridSpan w:val="5"/>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rFonts w:ascii="Arial" w:cs="Arial" w:eastAsia="Arial" w:hAnsi="Arial"/>
                <w:sz w:val="18"/>
                <w:szCs w:val="18"/>
                <w:color w:val="0000FF"/>
                <w:w w:val="98"/>
              </w:rPr>
            </w:pPr>
            <w:hyperlink w:anchor="page39">
              <w:r>
                <w:rPr>
                  <w:rFonts w:ascii="Arial" w:cs="Arial" w:eastAsia="Arial" w:hAnsi="Arial"/>
                  <w:sz w:val="18"/>
                  <w:szCs w:val="18"/>
                  <w:color w:val="0000FF"/>
                  <w:w w:val="98"/>
                </w:rPr>
                <w:t>Item 2.</w:t>
              </w:r>
            </w:hyperlink>
          </w:p>
        </w:tc>
        <w:tc>
          <w:tcPr>
            <w:tcW w:w="2560" w:type="dxa"/>
            <w:vAlign w:val="bottom"/>
            <w:gridSpan w:val="5"/>
          </w:tcPr>
          <w:p>
            <w:pPr>
              <w:spacing w:after="0"/>
              <w:rPr>
                <w:sz w:val="18"/>
                <w:szCs w:val="18"/>
                <w:color w:val="auto"/>
              </w:rPr>
            </w:pPr>
          </w:p>
        </w:tc>
        <w:tc>
          <w:tcPr>
            <w:tcW w:w="7080" w:type="dxa"/>
            <w:vAlign w:val="bottom"/>
            <w:gridSpan w:val="19"/>
          </w:tcPr>
          <w:p>
            <w:pPr>
              <w:spacing w:after="0"/>
              <w:rPr>
                <w:rFonts w:ascii="Arial" w:cs="Arial" w:eastAsia="Arial" w:hAnsi="Arial"/>
                <w:sz w:val="18"/>
                <w:szCs w:val="18"/>
                <w:color w:val="0000FF"/>
                <w:w w:val="99"/>
              </w:rPr>
            </w:pPr>
            <w:hyperlink w:anchor="page39">
              <w:r>
                <w:rPr>
                  <w:rFonts w:ascii="Arial" w:cs="Arial" w:eastAsia="Arial" w:hAnsi="Arial"/>
                  <w:sz w:val="18"/>
                  <w:szCs w:val="18"/>
                  <w:color w:val="0000FF"/>
                  <w:w w:val="99"/>
                </w:rPr>
                <w:t>Management's Discussion and Analysis of Results of Operations and Financial Condition</w:t>
              </w:r>
            </w:hyperlink>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gridSpan w:val="2"/>
          </w:tcPr>
          <w:p>
            <w:pPr>
              <w:jc w:val="center"/>
              <w:ind w:right="120"/>
              <w:spacing w:after="0"/>
              <w:rPr>
                <w:rFonts w:ascii="Arial" w:cs="Arial" w:eastAsia="Arial" w:hAnsi="Arial"/>
                <w:sz w:val="17"/>
                <w:szCs w:val="17"/>
                <w:color w:val="0000FF"/>
                <w:w w:val="73"/>
              </w:rPr>
            </w:pPr>
            <w:hyperlink w:anchor="page39">
              <w:r>
                <w:rPr>
                  <w:rFonts w:ascii="Arial" w:cs="Arial" w:eastAsia="Arial" w:hAnsi="Arial"/>
                  <w:sz w:val="17"/>
                  <w:szCs w:val="17"/>
                  <w:color w:val="0000FF"/>
                  <w:w w:val="73"/>
                </w:rPr>
                <w:t>40</w:t>
              </w:r>
            </w:hyperlink>
          </w:p>
        </w:tc>
        <w:tc>
          <w:tcPr>
            <w:tcW w:w="1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780" w:type="dxa"/>
            <w:vAlign w:val="bottom"/>
            <w:gridSpan w:val="6"/>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80" w:type="dxa"/>
            <w:vAlign w:val="bottom"/>
            <w:gridSpan w:val="18"/>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Executive Overview</w:t>
              </w:r>
            </w:hyperlink>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gridSpan w:val="2"/>
          </w:tcPr>
          <w:p>
            <w:pPr>
              <w:jc w:val="center"/>
              <w:ind w:right="120"/>
              <w:spacing w:after="0"/>
              <w:rPr>
                <w:rFonts w:ascii="Arial" w:cs="Arial" w:eastAsia="Arial" w:hAnsi="Arial"/>
                <w:sz w:val="17"/>
                <w:szCs w:val="17"/>
                <w:color w:val="0000FF"/>
                <w:w w:val="73"/>
              </w:rPr>
            </w:pPr>
            <w:hyperlink w:anchor="page40">
              <w:r>
                <w:rPr>
                  <w:rFonts w:ascii="Arial" w:cs="Arial" w:eastAsia="Arial" w:hAnsi="Arial"/>
                  <w:sz w:val="17"/>
                  <w:szCs w:val="17"/>
                  <w:color w:val="0000FF"/>
                  <w:w w:val="73"/>
                </w:rPr>
                <w:t>40</w:t>
              </w:r>
            </w:hyperlink>
          </w:p>
        </w:tc>
        <w:tc>
          <w:tcPr>
            <w:tcW w:w="1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gridSpan w:val="6"/>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6"/>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Revenue</w:t>
              </w:r>
            </w:hyperlink>
          </w:p>
        </w:tc>
        <w:tc>
          <w:tcPr>
            <w:tcW w:w="5780" w:type="dxa"/>
            <w:vAlign w:val="bottom"/>
            <w:gridSpan w:val="13"/>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gridSpan w:val="2"/>
          </w:tcPr>
          <w:p>
            <w:pPr>
              <w:jc w:val="center"/>
              <w:ind w:right="120"/>
              <w:spacing w:after="0"/>
              <w:rPr>
                <w:rFonts w:ascii="Arial" w:cs="Arial" w:eastAsia="Arial" w:hAnsi="Arial"/>
                <w:sz w:val="17"/>
                <w:szCs w:val="17"/>
                <w:color w:val="0000FF"/>
                <w:w w:val="73"/>
              </w:rPr>
            </w:pPr>
            <w:hyperlink w:anchor="page51">
              <w:r>
                <w:rPr>
                  <w:rFonts w:ascii="Arial" w:cs="Arial" w:eastAsia="Arial" w:hAnsi="Arial"/>
                  <w:sz w:val="17"/>
                  <w:szCs w:val="17"/>
                  <w:color w:val="0000FF"/>
                  <w:w w:val="73"/>
                </w:rPr>
                <w:t>52</w:t>
              </w:r>
            </w:hyperlink>
          </w:p>
        </w:tc>
        <w:tc>
          <w:tcPr>
            <w:tcW w:w="1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gridSpan w:val="6"/>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360" w:type="dxa"/>
            <w:vAlign w:val="bottom"/>
            <w:gridSpan w:val="19"/>
          </w:tcPr>
          <w:p>
            <w:pPr>
              <w:spacing w:after="0"/>
              <w:rPr>
                <w:rFonts w:ascii="Arial" w:cs="Arial" w:eastAsia="Arial" w:hAnsi="Arial"/>
                <w:sz w:val="18"/>
                <w:szCs w:val="18"/>
                <w:color w:val="0000FF"/>
              </w:rPr>
            </w:pPr>
            <w:hyperlink w:anchor="page56">
              <w:r>
                <w:rPr>
                  <w:rFonts w:ascii="Arial" w:cs="Arial" w:eastAsia="Arial" w:hAnsi="Arial"/>
                  <w:sz w:val="18"/>
                  <w:szCs w:val="18"/>
                  <w:color w:val="0000FF"/>
                </w:rPr>
                <w:t>Gross Margin, Costs, and Expenses</w:t>
              </w:r>
            </w:hyperlink>
          </w:p>
        </w:tc>
        <w:tc>
          <w:tcPr>
            <w:tcW w:w="420" w:type="dxa"/>
            <w:vAlign w:val="bottom"/>
            <w:gridSpan w:val="3"/>
          </w:tcPr>
          <w:p>
            <w:pPr>
              <w:jc w:val="center"/>
              <w:ind w:right="20"/>
              <w:spacing w:after="0"/>
              <w:rPr>
                <w:rFonts w:ascii="Arial" w:cs="Arial" w:eastAsia="Arial" w:hAnsi="Arial"/>
                <w:sz w:val="18"/>
                <w:szCs w:val="18"/>
                <w:color w:val="0000FF"/>
                <w:w w:val="99"/>
              </w:rPr>
            </w:pPr>
            <w:hyperlink w:anchor="page56">
              <w:r>
                <w:rPr>
                  <w:rFonts w:ascii="Arial" w:cs="Arial" w:eastAsia="Arial" w:hAnsi="Arial"/>
                  <w:sz w:val="18"/>
                  <w:szCs w:val="18"/>
                  <w:color w:val="0000FF"/>
                  <w:w w:val="99"/>
                </w:rPr>
                <w:t>57</w:t>
              </w:r>
            </w:hyperlink>
          </w:p>
        </w:tc>
        <w:tc>
          <w:tcPr>
            <w:tcW w:w="1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780" w:type="dxa"/>
            <w:vAlign w:val="bottom"/>
            <w:gridSpan w:val="6"/>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gridSpan w:val="8"/>
          </w:tcPr>
          <w:p>
            <w:pPr>
              <w:spacing w:after="0"/>
              <w:rPr>
                <w:rFonts w:ascii="Arial" w:cs="Arial" w:eastAsia="Arial" w:hAnsi="Arial"/>
                <w:sz w:val="18"/>
                <w:szCs w:val="18"/>
                <w:color w:val="0000FF"/>
                <w:w w:val="99"/>
              </w:rPr>
            </w:pPr>
            <w:hyperlink w:anchor="page57">
              <w:r>
                <w:rPr>
                  <w:rFonts w:ascii="Arial" w:cs="Arial" w:eastAsia="Arial" w:hAnsi="Arial"/>
                  <w:sz w:val="18"/>
                  <w:szCs w:val="18"/>
                  <w:color w:val="0000FF"/>
                  <w:w w:val="99"/>
                </w:rPr>
                <w:t>Financial Condition and Liquidity</w:t>
              </w:r>
            </w:hyperlink>
          </w:p>
        </w:tc>
        <w:tc>
          <w:tcPr>
            <w:tcW w:w="280" w:type="dxa"/>
            <w:vAlign w:val="bottom"/>
            <w:gridSpan w:val="2"/>
          </w:tcPr>
          <w:p>
            <w:pPr>
              <w:spacing w:after="0"/>
              <w:rPr>
                <w:sz w:val="18"/>
                <w:szCs w:val="18"/>
                <w:color w:val="auto"/>
              </w:rPr>
            </w:pPr>
          </w:p>
        </w:tc>
        <w:tc>
          <w:tcPr>
            <w:tcW w:w="4480" w:type="dxa"/>
            <w:vAlign w:val="bottom"/>
            <w:gridSpan w:val="9"/>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gridSpan w:val="2"/>
          </w:tcPr>
          <w:p>
            <w:pPr>
              <w:jc w:val="center"/>
              <w:ind w:right="120"/>
              <w:spacing w:after="0"/>
              <w:rPr>
                <w:rFonts w:ascii="Arial" w:cs="Arial" w:eastAsia="Arial" w:hAnsi="Arial"/>
                <w:sz w:val="17"/>
                <w:szCs w:val="17"/>
                <w:color w:val="0000FF"/>
                <w:w w:val="73"/>
              </w:rPr>
            </w:pPr>
            <w:hyperlink w:anchor="page57">
              <w:r>
                <w:rPr>
                  <w:rFonts w:ascii="Arial" w:cs="Arial" w:eastAsia="Arial" w:hAnsi="Arial"/>
                  <w:sz w:val="17"/>
                  <w:szCs w:val="17"/>
                  <w:color w:val="0000FF"/>
                  <w:w w:val="73"/>
                </w:rPr>
                <w:t>58</w:t>
              </w:r>
            </w:hyperlink>
          </w:p>
        </w:tc>
        <w:tc>
          <w:tcPr>
            <w:tcW w:w="1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560" w:type="dxa"/>
            <w:vAlign w:val="bottom"/>
            <w:gridSpan w:val="20"/>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Financial Expectations</w:t>
              </w:r>
            </w:hyperlink>
          </w:p>
        </w:tc>
        <w:tc>
          <w:tcPr>
            <w:tcW w:w="420" w:type="dxa"/>
            <w:vAlign w:val="bottom"/>
            <w:gridSpan w:val="3"/>
          </w:tcPr>
          <w:p>
            <w:pPr>
              <w:jc w:val="center"/>
              <w:ind w:right="20"/>
              <w:spacing w:after="0"/>
              <w:rPr>
                <w:rFonts w:ascii="Arial" w:cs="Arial" w:eastAsia="Arial" w:hAnsi="Arial"/>
                <w:sz w:val="18"/>
                <w:szCs w:val="18"/>
                <w:color w:val="0000FF"/>
                <w:w w:val="99"/>
              </w:rPr>
            </w:pPr>
            <w:hyperlink w:anchor="page58">
              <w:r>
                <w:rPr>
                  <w:rFonts w:ascii="Arial" w:cs="Arial" w:eastAsia="Arial" w:hAnsi="Arial"/>
                  <w:sz w:val="18"/>
                  <w:szCs w:val="18"/>
                  <w:color w:val="0000FF"/>
                  <w:w w:val="99"/>
                </w:rPr>
                <w:t>59</w:t>
              </w:r>
            </w:hyperlink>
          </w:p>
        </w:tc>
        <w:tc>
          <w:tcPr>
            <w:tcW w:w="1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940" w:type="dxa"/>
            <w:vAlign w:val="bottom"/>
            <w:gridSpan w:val="10"/>
          </w:tcPr>
          <w:p>
            <w:pPr>
              <w:spacing w:after="0"/>
              <w:rPr>
                <w:rFonts w:ascii="Arial" w:cs="Arial" w:eastAsia="Arial" w:hAnsi="Arial"/>
                <w:sz w:val="18"/>
                <w:szCs w:val="18"/>
                <w:color w:val="0000FF"/>
                <w:w w:val="99"/>
              </w:rPr>
            </w:pPr>
            <w:hyperlink w:anchor="page59">
              <w:r>
                <w:rPr>
                  <w:rFonts w:ascii="Arial" w:cs="Arial" w:eastAsia="Arial" w:hAnsi="Arial"/>
                  <w:sz w:val="18"/>
                  <w:szCs w:val="18"/>
                  <w:color w:val="0000FF"/>
                  <w:w w:val="99"/>
                </w:rPr>
                <w:t>Available Information on our Website</w:t>
              </w:r>
            </w:hyperlink>
          </w:p>
        </w:tc>
        <w:tc>
          <w:tcPr>
            <w:tcW w:w="4620" w:type="dxa"/>
            <w:vAlign w:val="bottom"/>
            <w:gridSpan w:val="10"/>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gridSpan w:val="2"/>
          </w:tcPr>
          <w:p>
            <w:pPr>
              <w:jc w:val="center"/>
              <w:ind w:right="120"/>
              <w:spacing w:after="0"/>
              <w:rPr>
                <w:rFonts w:ascii="Arial" w:cs="Arial" w:eastAsia="Arial" w:hAnsi="Arial"/>
                <w:sz w:val="17"/>
                <w:szCs w:val="17"/>
                <w:color w:val="0000FF"/>
                <w:w w:val="73"/>
              </w:rPr>
            </w:pPr>
            <w:hyperlink w:anchor="page59">
              <w:r>
                <w:rPr>
                  <w:rFonts w:ascii="Arial" w:cs="Arial" w:eastAsia="Arial" w:hAnsi="Arial"/>
                  <w:sz w:val="17"/>
                  <w:szCs w:val="17"/>
                  <w:color w:val="0000FF"/>
                  <w:w w:val="73"/>
                </w:rPr>
                <w:t>59</w:t>
              </w:r>
            </w:hyperlink>
          </w:p>
        </w:tc>
        <w:tc>
          <w:tcPr>
            <w:tcW w:w="1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920" w:type="dxa"/>
            <w:vAlign w:val="bottom"/>
            <w:gridSpan w:val="7"/>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rFonts w:ascii="Arial" w:cs="Arial" w:eastAsia="Arial" w:hAnsi="Arial"/>
                <w:sz w:val="18"/>
                <w:szCs w:val="18"/>
                <w:color w:val="0000FF"/>
                <w:w w:val="98"/>
              </w:rPr>
            </w:pPr>
            <w:hyperlink w:anchor="page59">
              <w:r>
                <w:rPr>
                  <w:rFonts w:ascii="Arial" w:cs="Arial" w:eastAsia="Arial" w:hAnsi="Arial"/>
                  <w:sz w:val="18"/>
                  <w:szCs w:val="18"/>
                  <w:color w:val="0000FF"/>
                  <w:w w:val="98"/>
                </w:rPr>
                <w:t>Item 4.</w:t>
              </w:r>
            </w:hyperlink>
          </w:p>
        </w:tc>
        <w:tc>
          <w:tcPr>
            <w:tcW w:w="2560" w:type="dxa"/>
            <w:vAlign w:val="bottom"/>
            <w:gridSpan w:val="5"/>
          </w:tcPr>
          <w:p>
            <w:pPr>
              <w:spacing w:after="0"/>
              <w:rPr>
                <w:sz w:val="18"/>
                <w:szCs w:val="18"/>
                <w:color w:val="auto"/>
              </w:rPr>
            </w:pPr>
          </w:p>
        </w:tc>
        <w:tc>
          <w:tcPr>
            <w:tcW w:w="2000" w:type="dxa"/>
            <w:vAlign w:val="bottom"/>
            <w:gridSpan w:val="8"/>
          </w:tcPr>
          <w:p>
            <w:pPr>
              <w:spacing w:after="0"/>
              <w:rPr>
                <w:rFonts w:ascii="Arial" w:cs="Arial" w:eastAsia="Arial" w:hAnsi="Arial"/>
                <w:sz w:val="18"/>
                <w:szCs w:val="18"/>
                <w:color w:val="0000FF"/>
                <w:w w:val="99"/>
              </w:rPr>
            </w:pPr>
            <w:hyperlink w:anchor="page59">
              <w:r>
                <w:rPr>
                  <w:rFonts w:ascii="Arial" w:cs="Arial" w:eastAsia="Arial" w:hAnsi="Arial"/>
                  <w:sz w:val="18"/>
                  <w:szCs w:val="18"/>
                  <w:color w:val="0000FF"/>
                  <w:w w:val="99"/>
                </w:rPr>
                <w:t>Controls and Procedures</w:t>
              </w:r>
            </w:hyperlink>
          </w:p>
        </w:tc>
        <w:tc>
          <w:tcPr>
            <w:tcW w:w="940" w:type="dxa"/>
            <w:vAlign w:val="bottom"/>
            <w:gridSpan w:val="2"/>
          </w:tcPr>
          <w:p>
            <w:pPr>
              <w:spacing w:after="0"/>
              <w:rPr>
                <w:sz w:val="18"/>
                <w:szCs w:val="18"/>
                <w:color w:val="auto"/>
              </w:rPr>
            </w:pPr>
          </w:p>
        </w:tc>
        <w:tc>
          <w:tcPr>
            <w:tcW w:w="4620" w:type="dxa"/>
            <w:vAlign w:val="bottom"/>
            <w:gridSpan w:val="10"/>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gridSpan w:val="2"/>
          </w:tcPr>
          <w:p>
            <w:pPr>
              <w:jc w:val="center"/>
              <w:ind w:right="120"/>
              <w:spacing w:after="0"/>
              <w:rPr>
                <w:rFonts w:ascii="Arial" w:cs="Arial" w:eastAsia="Arial" w:hAnsi="Arial"/>
                <w:sz w:val="17"/>
                <w:szCs w:val="17"/>
                <w:color w:val="0000FF"/>
                <w:w w:val="73"/>
              </w:rPr>
            </w:pPr>
            <w:hyperlink w:anchor="page59">
              <w:r>
                <w:rPr>
                  <w:rFonts w:ascii="Arial" w:cs="Arial" w:eastAsia="Arial" w:hAnsi="Arial"/>
                  <w:sz w:val="17"/>
                  <w:szCs w:val="17"/>
                  <w:color w:val="0000FF"/>
                  <w:w w:val="73"/>
                </w:rPr>
                <w:t>60</w:t>
              </w:r>
            </w:hyperlink>
          </w:p>
        </w:tc>
        <w:tc>
          <w:tcPr>
            <w:tcW w:w="1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2120" w:type="dxa"/>
            <w:vAlign w:val="bottom"/>
            <w:gridSpan w:val="4"/>
          </w:tcPr>
          <w:p>
            <w:pPr>
              <w:spacing w:after="0"/>
              <w:rPr>
                <w:rFonts w:ascii="Arial" w:cs="Arial" w:eastAsia="Arial" w:hAnsi="Arial"/>
                <w:sz w:val="18"/>
                <w:szCs w:val="18"/>
                <w:color w:val="0000FF"/>
                <w:w w:val="98"/>
              </w:rPr>
            </w:pPr>
            <w:hyperlink w:anchor="page60">
              <w:r>
                <w:rPr>
                  <w:rFonts w:ascii="Arial" w:cs="Arial" w:eastAsia="Arial" w:hAnsi="Arial"/>
                  <w:sz w:val="18"/>
                  <w:szCs w:val="18"/>
                  <w:color w:val="0000FF"/>
                  <w:w w:val="98"/>
                </w:rPr>
                <w:t>PART II. Other Information</w:t>
              </w:r>
            </w:hyperlink>
          </w:p>
        </w:tc>
        <w:tc>
          <w:tcPr>
            <w:tcW w:w="100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gridSpan w:val="2"/>
          </w:tcPr>
          <w:p>
            <w:pPr>
              <w:jc w:val="center"/>
              <w:ind w:right="120"/>
              <w:spacing w:after="0"/>
              <w:rPr>
                <w:rFonts w:ascii="Arial" w:cs="Arial" w:eastAsia="Arial" w:hAnsi="Arial"/>
                <w:sz w:val="17"/>
                <w:szCs w:val="17"/>
                <w:color w:val="0000FF"/>
                <w:w w:val="73"/>
              </w:rPr>
            </w:pPr>
            <w:hyperlink w:anchor="page60">
              <w:r>
                <w:rPr>
                  <w:rFonts w:ascii="Arial" w:cs="Arial" w:eastAsia="Arial" w:hAnsi="Arial"/>
                  <w:sz w:val="17"/>
                  <w:szCs w:val="17"/>
                  <w:color w:val="0000FF"/>
                  <w:w w:val="73"/>
                </w:rPr>
                <w:t>61</w:t>
              </w:r>
            </w:hyperlink>
          </w:p>
        </w:tc>
        <w:tc>
          <w:tcPr>
            <w:tcW w:w="1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360" w:type="dxa"/>
            <w:vAlign w:val="bottom"/>
            <w:gridSpan w:val="12"/>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560" w:type="dxa"/>
            <w:vAlign w:val="bottom"/>
          </w:tcPr>
          <w:p>
            <w:pPr>
              <w:spacing w:after="0"/>
              <w:rPr>
                <w:rFonts w:ascii="Arial" w:cs="Arial" w:eastAsia="Arial" w:hAnsi="Arial"/>
                <w:sz w:val="18"/>
                <w:szCs w:val="18"/>
                <w:color w:val="0000FF"/>
                <w:w w:val="98"/>
              </w:rPr>
            </w:pPr>
            <w:hyperlink w:anchor="page61">
              <w:r>
                <w:rPr>
                  <w:rFonts w:ascii="Arial" w:cs="Arial" w:eastAsia="Arial" w:hAnsi="Arial"/>
                  <w:sz w:val="18"/>
                  <w:szCs w:val="18"/>
                  <w:color w:val="0000FF"/>
                  <w:w w:val="98"/>
                </w:rPr>
                <w:t>Item 1.</w:t>
              </w:r>
            </w:hyperlink>
          </w:p>
        </w:tc>
        <w:tc>
          <w:tcPr>
            <w:tcW w:w="1560" w:type="dxa"/>
            <w:vAlign w:val="bottom"/>
            <w:gridSpan w:val="3"/>
          </w:tcPr>
          <w:p>
            <w:pPr>
              <w:spacing w:after="0"/>
              <w:rPr>
                <w:sz w:val="24"/>
                <w:szCs w:val="24"/>
                <w:color w:val="auto"/>
              </w:rPr>
            </w:pPr>
          </w:p>
        </w:tc>
        <w:tc>
          <w:tcPr>
            <w:tcW w:w="1000" w:type="dxa"/>
            <w:vAlign w:val="bottom"/>
            <w:gridSpan w:val="2"/>
          </w:tcPr>
          <w:p>
            <w:pPr>
              <w:spacing w:after="0"/>
              <w:rPr>
                <w:sz w:val="24"/>
                <w:szCs w:val="24"/>
                <w:color w:val="auto"/>
              </w:rPr>
            </w:pPr>
          </w:p>
        </w:tc>
        <w:tc>
          <w:tcPr>
            <w:tcW w:w="1500" w:type="dxa"/>
            <w:vAlign w:val="bottom"/>
            <w:gridSpan w:val="5"/>
          </w:tcPr>
          <w:p>
            <w:pPr>
              <w:spacing w:after="0"/>
              <w:rPr>
                <w:rFonts w:ascii="Arial" w:cs="Arial" w:eastAsia="Arial" w:hAnsi="Arial"/>
                <w:sz w:val="18"/>
                <w:szCs w:val="18"/>
                <w:color w:val="0000FF"/>
                <w:w w:val="99"/>
              </w:rPr>
            </w:pPr>
            <w:hyperlink w:anchor="page61">
              <w:r>
                <w:rPr>
                  <w:rFonts w:ascii="Arial" w:cs="Arial" w:eastAsia="Arial" w:hAnsi="Arial"/>
                  <w:sz w:val="18"/>
                  <w:szCs w:val="18"/>
                  <w:color w:val="0000FF"/>
                  <w:w w:val="99"/>
                </w:rPr>
                <w:t>Legal Proceedings</w:t>
              </w:r>
            </w:hyperlink>
          </w:p>
        </w:tc>
        <w:tc>
          <w:tcPr>
            <w:tcW w:w="6060" w:type="dxa"/>
            <w:vAlign w:val="bottom"/>
            <w:gridSpan w:val="15"/>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gridSpan w:val="2"/>
          </w:tcPr>
          <w:p>
            <w:pPr>
              <w:jc w:val="center"/>
              <w:ind w:right="120"/>
              <w:spacing w:after="0"/>
              <w:rPr>
                <w:rFonts w:ascii="Arial" w:cs="Arial" w:eastAsia="Arial" w:hAnsi="Arial"/>
                <w:sz w:val="17"/>
                <w:szCs w:val="17"/>
                <w:color w:val="0000FF"/>
                <w:w w:val="73"/>
              </w:rPr>
            </w:pPr>
            <w:hyperlink w:anchor="page61">
              <w:r>
                <w:rPr>
                  <w:rFonts w:ascii="Arial" w:cs="Arial" w:eastAsia="Arial" w:hAnsi="Arial"/>
                  <w:sz w:val="17"/>
                  <w:szCs w:val="17"/>
                  <w:color w:val="0000FF"/>
                  <w:w w:val="73"/>
                </w:rPr>
                <w:t>61</w:t>
              </w:r>
            </w:hyperlink>
          </w:p>
        </w:tc>
        <w:tc>
          <w:tcPr>
            <w:tcW w:w="1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360" w:type="dxa"/>
            <w:vAlign w:val="bottom"/>
            <w:gridSpan w:val="12"/>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gridSpan w:val="2"/>
          </w:tcPr>
          <w:p>
            <w:pPr>
              <w:spacing w:after="0"/>
              <w:rPr>
                <w:rFonts w:ascii="Arial" w:cs="Arial" w:eastAsia="Arial" w:hAnsi="Arial"/>
                <w:sz w:val="18"/>
                <w:szCs w:val="18"/>
                <w:color w:val="0000FF"/>
                <w:w w:val="98"/>
              </w:rPr>
            </w:pPr>
            <w:hyperlink w:anchor="page61">
              <w:r>
                <w:rPr>
                  <w:rFonts w:ascii="Arial" w:cs="Arial" w:eastAsia="Arial" w:hAnsi="Arial"/>
                  <w:sz w:val="18"/>
                  <w:szCs w:val="18"/>
                  <w:color w:val="0000FF"/>
                  <w:w w:val="98"/>
                </w:rPr>
                <w:t>Item 1A.</w:t>
              </w:r>
            </w:hyperlink>
          </w:p>
        </w:tc>
        <w:tc>
          <w:tcPr>
            <w:tcW w:w="2440" w:type="dxa"/>
            <w:vAlign w:val="bottom"/>
            <w:gridSpan w:val="4"/>
          </w:tcPr>
          <w:p>
            <w:pPr>
              <w:spacing w:after="0"/>
              <w:rPr>
                <w:sz w:val="18"/>
                <w:szCs w:val="18"/>
                <w:color w:val="auto"/>
              </w:rPr>
            </w:pPr>
          </w:p>
        </w:tc>
        <w:tc>
          <w:tcPr>
            <w:tcW w:w="7560" w:type="dxa"/>
            <w:vAlign w:val="bottom"/>
            <w:gridSpan w:val="20"/>
          </w:tcPr>
          <w:p>
            <w:pPr>
              <w:spacing w:after="0"/>
              <w:rPr>
                <w:rFonts w:ascii="Arial" w:cs="Arial" w:eastAsia="Arial" w:hAnsi="Arial"/>
                <w:sz w:val="18"/>
                <w:szCs w:val="18"/>
                <w:color w:val="0000FF"/>
              </w:rPr>
            </w:pPr>
            <w:hyperlink w:anchor="page61">
              <w:r>
                <w:rPr>
                  <w:rFonts w:ascii="Arial" w:cs="Arial" w:eastAsia="Arial" w:hAnsi="Arial"/>
                  <w:sz w:val="18"/>
                  <w:szCs w:val="18"/>
                  <w:color w:val="0000FF"/>
                </w:rPr>
                <w:t>Risk Factors</w:t>
              </w:r>
            </w:hyperlink>
          </w:p>
        </w:tc>
        <w:tc>
          <w:tcPr>
            <w:tcW w:w="420" w:type="dxa"/>
            <w:vAlign w:val="bottom"/>
            <w:gridSpan w:val="3"/>
          </w:tcPr>
          <w:p>
            <w:pPr>
              <w:jc w:val="center"/>
              <w:ind w:right="20"/>
              <w:spacing w:after="0"/>
              <w:rPr>
                <w:rFonts w:ascii="Arial" w:cs="Arial" w:eastAsia="Arial" w:hAnsi="Arial"/>
                <w:sz w:val="18"/>
                <w:szCs w:val="18"/>
                <w:color w:val="0000FF"/>
                <w:w w:val="99"/>
              </w:rPr>
            </w:pPr>
            <w:hyperlink w:anchor="page61">
              <w:r>
                <w:rPr>
                  <w:rFonts w:ascii="Arial" w:cs="Arial" w:eastAsia="Arial" w:hAnsi="Arial"/>
                  <w:sz w:val="18"/>
                  <w:szCs w:val="18"/>
                  <w:color w:val="0000FF"/>
                  <w:w w:val="99"/>
                </w:rPr>
                <w:t>61</w:t>
              </w:r>
            </w:hyperlink>
          </w:p>
        </w:tc>
        <w:tc>
          <w:tcPr>
            <w:tcW w:w="1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860" w:type="dxa"/>
            <w:vAlign w:val="bottom"/>
            <w:gridSpan w:val="13"/>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rFonts w:ascii="Arial" w:cs="Arial" w:eastAsia="Arial" w:hAnsi="Arial"/>
                <w:sz w:val="18"/>
                <w:szCs w:val="18"/>
                <w:color w:val="0000FF"/>
                <w:w w:val="98"/>
              </w:rPr>
            </w:pPr>
            <w:hyperlink w:anchor="page61">
              <w:r>
                <w:rPr>
                  <w:rFonts w:ascii="Arial" w:cs="Arial" w:eastAsia="Arial" w:hAnsi="Arial"/>
                  <w:sz w:val="18"/>
                  <w:szCs w:val="18"/>
                  <w:color w:val="0000FF"/>
                  <w:w w:val="98"/>
                </w:rPr>
                <w:t>Item 2.</w:t>
              </w:r>
            </w:hyperlink>
          </w:p>
        </w:tc>
        <w:tc>
          <w:tcPr>
            <w:tcW w:w="120" w:type="dxa"/>
            <w:vAlign w:val="bottom"/>
          </w:tcPr>
          <w:p>
            <w:pPr>
              <w:spacing w:after="0"/>
              <w:rPr>
                <w:sz w:val="18"/>
                <w:szCs w:val="18"/>
                <w:color w:val="auto"/>
              </w:rPr>
            </w:pPr>
          </w:p>
        </w:tc>
        <w:tc>
          <w:tcPr>
            <w:tcW w:w="2440" w:type="dxa"/>
            <w:vAlign w:val="bottom"/>
            <w:gridSpan w:val="4"/>
          </w:tcPr>
          <w:p>
            <w:pPr>
              <w:spacing w:after="0"/>
              <w:rPr>
                <w:sz w:val="18"/>
                <w:szCs w:val="18"/>
                <w:color w:val="auto"/>
              </w:rPr>
            </w:pPr>
          </w:p>
        </w:tc>
        <w:tc>
          <w:tcPr>
            <w:tcW w:w="4860" w:type="dxa"/>
            <w:vAlign w:val="bottom"/>
            <w:gridSpan w:val="17"/>
          </w:tcPr>
          <w:p>
            <w:pPr>
              <w:spacing w:after="0"/>
              <w:rPr>
                <w:rFonts w:ascii="Arial" w:cs="Arial" w:eastAsia="Arial" w:hAnsi="Arial"/>
                <w:sz w:val="18"/>
                <w:szCs w:val="18"/>
                <w:color w:val="0000FF"/>
                <w:w w:val="99"/>
              </w:rPr>
            </w:pPr>
            <w:hyperlink w:anchor="page61">
              <w:r>
                <w:rPr>
                  <w:rFonts w:ascii="Arial" w:cs="Arial" w:eastAsia="Arial" w:hAnsi="Arial"/>
                  <w:sz w:val="18"/>
                  <w:szCs w:val="18"/>
                  <w:color w:val="0000FF"/>
                  <w:w w:val="99"/>
                </w:rPr>
                <w:t>Unregistered Sales of Equity Securities and Use of Proceeds</w:t>
              </w:r>
            </w:hyperlink>
          </w:p>
        </w:tc>
        <w:tc>
          <w:tcPr>
            <w:tcW w:w="2700" w:type="dxa"/>
            <w:vAlign w:val="bottom"/>
            <w:gridSpan w:val="3"/>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gridSpan w:val="2"/>
          </w:tcPr>
          <w:p>
            <w:pPr>
              <w:jc w:val="center"/>
              <w:ind w:right="120"/>
              <w:spacing w:after="0"/>
              <w:rPr>
                <w:rFonts w:ascii="Arial" w:cs="Arial" w:eastAsia="Arial" w:hAnsi="Arial"/>
                <w:sz w:val="17"/>
                <w:szCs w:val="17"/>
                <w:color w:val="0000FF"/>
                <w:w w:val="73"/>
              </w:rPr>
            </w:pPr>
            <w:hyperlink w:anchor="page61">
              <w:r>
                <w:rPr>
                  <w:rFonts w:ascii="Arial" w:cs="Arial" w:eastAsia="Arial" w:hAnsi="Arial"/>
                  <w:sz w:val="17"/>
                  <w:szCs w:val="17"/>
                  <w:color w:val="0000FF"/>
                  <w:w w:val="73"/>
                </w:rPr>
                <w:t>61</w:t>
              </w:r>
            </w:hyperlink>
          </w:p>
        </w:tc>
        <w:tc>
          <w:tcPr>
            <w:tcW w:w="1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220" w:type="dxa"/>
            <w:vAlign w:val="bottom"/>
            <w:gridSpan w:val="15"/>
            <w:shd w:val="clear" w:color="auto" w:fill="0000FF"/>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rFonts w:ascii="Arial" w:cs="Arial" w:eastAsia="Arial" w:hAnsi="Arial"/>
                <w:sz w:val="18"/>
                <w:szCs w:val="18"/>
                <w:color w:val="0000FF"/>
                <w:w w:val="98"/>
              </w:rPr>
            </w:pPr>
            <w:hyperlink w:anchor="page61">
              <w:r>
                <w:rPr>
                  <w:rFonts w:ascii="Arial" w:cs="Arial" w:eastAsia="Arial" w:hAnsi="Arial"/>
                  <w:sz w:val="18"/>
                  <w:szCs w:val="18"/>
                  <w:color w:val="0000FF"/>
                  <w:w w:val="98"/>
                </w:rPr>
                <w:t>Item 6.</w:t>
              </w:r>
            </w:hyperlink>
          </w:p>
        </w:tc>
        <w:tc>
          <w:tcPr>
            <w:tcW w:w="2560" w:type="dxa"/>
            <w:vAlign w:val="bottom"/>
            <w:gridSpan w:val="5"/>
          </w:tcPr>
          <w:p>
            <w:pPr>
              <w:spacing w:after="0"/>
              <w:rPr>
                <w:sz w:val="18"/>
                <w:szCs w:val="18"/>
                <w:color w:val="auto"/>
              </w:rPr>
            </w:pPr>
          </w:p>
        </w:tc>
        <w:tc>
          <w:tcPr>
            <w:tcW w:w="640" w:type="dxa"/>
            <w:vAlign w:val="bottom"/>
            <w:gridSpan w:val="2"/>
          </w:tcPr>
          <w:p>
            <w:pPr>
              <w:spacing w:after="0"/>
              <w:rPr>
                <w:rFonts w:ascii="Arial" w:cs="Arial" w:eastAsia="Arial" w:hAnsi="Arial"/>
                <w:sz w:val="18"/>
                <w:szCs w:val="18"/>
                <w:color w:val="0000FF"/>
                <w:w w:val="98"/>
              </w:rPr>
            </w:pPr>
            <w:hyperlink w:anchor="page61">
              <w:r>
                <w:rPr>
                  <w:rFonts w:ascii="Arial" w:cs="Arial" w:eastAsia="Arial" w:hAnsi="Arial"/>
                  <w:sz w:val="18"/>
                  <w:szCs w:val="18"/>
                  <w:color w:val="0000FF"/>
                  <w:w w:val="98"/>
                </w:rPr>
                <w:t>Exhibits</w:t>
              </w:r>
            </w:hyperlink>
          </w:p>
        </w:tc>
        <w:tc>
          <w:tcPr>
            <w:tcW w:w="4220" w:type="dxa"/>
            <w:vAlign w:val="bottom"/>
            <w:gridSpan w:val="15"/>
          </w:tcPr>
          <w:p>
            <w:pPr>
              <w:spacing w:after="0"/>
              <w:rPr>
                <w:sz w:val="18"/>
                <w:szCs w:val="18"/>
                <w:color w:val="auto"/>
              </w:rPr>
            </w:pPr>
          </w:p>
        </w:tc>
        <w:tc>
          <w:tcPr>
            <w:tcW w:w="2700" w:type="dxa"/>
            <w:vAlign w:val="bottom"/>
            <w:gridSpan w:val="3"/>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gridSpan w:val="2"/>
          </w:tcPr>
          <w:p>
            <w:pPr>
              <w:jc w:val="center"/>
              <w:ind w:right="120"/>
              <w:spacing w:after="0"/>
              <w:rPr>
                <w:rFonts w:ascii="Arial" w:cs="Arial" w:eastAsia="Arial" w:hAnsi="Arial"/>
                <w:sz w:val="17"/>
                <w:szCs w:val="17"/>
                <w:color w:val="0000FF"/>
                <w:w w:val="73"/>
              </w:rPr>
            </w:pPr>
            <w:hyperlink w:anchor="page61">
              <w:r>
                <w:rPr>
                  <w:rFonts w:ascii="Arial" w:cs="Arial" w:eastAsia="Arial" w:hAnsi="Arial"/>
                  <w:sz w:val="17"/>
                  <w:szCs w:val="17"/>
                  <w:color w:val="0000FF"/>
                  <w:w w:val="73"/>
                </w:rPr>
                <w:t>62</w:t>
              </w:r>
            </w:hyperlink>
          </w:p>
        </w:tc>
        <w:tc>
          <w:tcPr>
            <w:tcW w:w="1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3120" w:type="dxa"/>
            <w:vAlign w:val="bottom"/>
            <w:gridSpan w:val="6"/>
          </w:tcPr>
          <w:p>
            <w:pPr>
              <w:spacing w:after="0"/>
              <w:rPr>
                <w:rFonts w:ascii="Arial" w:cs="Arial" w:eastAsia="Arial" w:hAnsi="Arial"/>
                <w:sz w:val="18"/>
                <w:szCs w:val="18"/>
                <w:color w:val="0000FF"/>
              </w:rPr>
            </w:pPr>
            <w:hyperlink w:anchor="page62">
              <w:r>
                <w:rPr>
                  <w:rFonts w:ascii="Arial" w:cs="Arial" w:eastAsia="Arial" w:hAnsi="Arial"/>
                  <w:sz w:val="18"/>
                  <w:szCs w:val="18"/>
                  <w:color w:val="0000FF"/>
                </w:rPr>
                <w:t>Signatures</w:t>
              </w:r>
            </w:hyperlink>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gridSpan w:val="3"/>
          </w:tcPr>
          <w:p>
            <w:pPr>
              <w:jc w:val="center"/>
              <w:ind w:right="20"/>
              <w:spacing w:after="0"/>
              <w:rPr>
                <w:rFonts w:ascii="Arial" w:cs="Arial" w:eastAsia="Arial" w:hAnsi="Arial"/>
                <w:sz w:val="18"/>
                <w:szCs w:val="18"/>
                <w:color w:val="0000FF"/>
                <w:w w:val="99"/>
              </w:rPr>
            </w:pPr>
            <w:hyperlink w:anchor="page62">
              <w:r>
                <w:rPr>
                  <w:rFonts w:ascii="Arial" w:cs="Arial" w:eastAsia="Arial" w:hAnsi="Arial"/>
                  <w:sz w:val="18"/>
                  <w:szCs w:val="18"/>
                  <w:color w:val="0000FF"/>
                  <w:w w:val="99"/>
                </w:rPr>
                <w:t>62</w:t>
              </w:r>
            </w:hyperlink>
          </w:p>
        </w:tc>
        <w:tc>
          <w:tcPr>
            <w:tcW w:w="120" w:type="dxa"/>
            <w:vAlign w:val="bottom"/>
          </w:tcPr>
          <w:p>
            <w:pPr>
              <w:spacing w:after="0"/>
              <w:rPr>
                <w:sz w:val="24"/>
                <w:szCs w:val="24"/>
                <w:color w:val="auto"/>
              </w:rPr>
            </w:pPr>
          </w:p>
        </w:tc>
      </w:tr>
      <w:tr>
        <w:trPr>
          <w:trHeight w:val="885"/>
        </w:trPr>
        <w:tc>
          <w:tcPr>
            <w:tcW w:w="20" w:type="dxa"/>
            <w:vAlign w:val="bottom"/>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0" w:type="dxa"/>
            <w:vAlign w:val="bottom"/>
            <w:gridSpan w:val="9"/>
          </w:tcPr>
          <w:p>
            <w:pPr>
              <w:ind w:left="244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 w:name="page3"/>
    <w:bookmarkEnd w:id="2"/>
    <w:p>
      <w:pPr>
        <w:spacing w:after="0"/>
        <w:rPr>
          <w:sz w:val="20"/>
          <w:szCs w:val="20"/>
          <w:color w:val="auto"/>
        </w:rPr>
      </w:pPr>
      <w:r>
        <w:rPr>
          <w:rFonts w:ascii="Arial" w:cs="Arial" w:eastAsia="Arial" w:hAnsi="Arial"/>
          <w:sz w:val="25"/>
          <w:szCs w:val="25"/>
          <w:i w:val="1"/>
          <w:iCs w:val="1"/>
          <w:color w:val="auto"/>
        </w:rPr>
        <w:t>Forward-Looking Statements</w:t>
      </w:r>
    </w:p>
    <w:p>
      <w:pPr>
        <w:spacing w:after="0" w:line="14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This Quarterly Report on Form 10-Q and our other publicly available documents include forward-looking statements within the meaning of Section 27A of the Securities Act of 1933 and Section 21E of the Securities Exchange Act of 1934, as amended (Exchange Act), and are subject to the safe harbor created thereby under the Private Securities Litigation Reform Act of 1995. In particular, information appearing under “Management's Discussion and Analysis of Results of Operations and Financial Condition” includes forward-looking statements. Forward-looking statements include all statements that do not relate solely to historical or current facts, and generally can be identified by the use of words such as “may,” “believe,” “will,” “expect,” “project,” “estimate,” “intend,” “anticipate,” “plan,” “continue,” or similar expressions or future or conditional verbs.</w:t>
      </w:r>
    </w:p>
    <w:p>
      <w:pPr>
        <w:spacing w:after="0" w:line="101"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Forward-looking statements inherently involve many risks and uncertainties that could cause actual results to differ materially from those expressed in forward-looking statements. Where, in any forward-looking statement, we express an expectation or belief as to future results or events, it is based on management's current plans and expectations, expressed in good faith and believed to have a reasonable basis. However, we can give no assurance that any such expectation or belief will result or will be achieved or accomplished. Investors therefore should not place undue reliance on forward-looking statements. The following include some but not all of the factors that could cause actual results or events to differ materially from those anticipated:</w:t>
      </w:r>
    </w:p>
    <w:p>
      <w:pPr>
        <w:spacing w:after="0" w:line="48"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the evolving COVID-19 pandemic and the global response thereto;</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uncertainties related to our efforts to develop potential treatments for COVID-19;</w:t>
      </w:r>
    </w:p>
    <w:p>
      <w:pPr>
        <w:spacing w:after="0" w:line="49" w:lineRule="exact"/>
        <w:rPr>
          <w:rFonts w:ascii="Arial" w:cs="Arial" w:eastAsia="Arial" w:hAnsi="Arial"/>
          <w:sz w:val="18"/>
          <w:szCs w:val="18"/>
          <w:color w:val="auto"/>
        </w:rPr>
      </w:pPr>
    </w:p>
    <w:p>
      <w:pPr>
        <w:ind w:left="660" w:right="240" w:hanging="328"/>
        <w:spacing w:after="0" w:line="242"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significant costs and uncertainties in the pharmaceutical research and development process, including with respect to the timing and process of obtaining regulatory approvals;</w:t>
      </w:r>
    </w:p>
    <w:p>
      <w:pPr>
        <w:spacing w:after="0" w:line="4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acquisitions and business development transactions and related integration costs;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expiration of intellectual property protection for certain of our products and competition from generic and/or biosimilar products;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protect and enforce patents and other intellectual property;</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patent law or regulations related to data package exclusivity;</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competitive developments affecting current products and our pipeline;</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market uptake of recently launched products;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information technology system inadequacies, breaches, or operating failures;</w:t>
      </w:r>
    </w:p>
    <w:p>
      <w:pPr>
        <w:spacing w:after="0" w:line="49" w:lineRule="exact"/>
        <w:rPr>
          <w:rFonts w:ascii="Arial" w:cs="Arial" w:eastAsia="Arial" w:hAnsi="Arial"/>
          <w:sz w:val="18"/>
          <w:szCs w:val="18"/>
          <w:color w:val="auto"/>
        </w:rPr>
      </w:pPr>
    </w:p>
    <w:p>
      <w:pPr>
        <w:ind w:left="660" w:right="220" w:hanging="328"/>
        <w:spacing w:after="0" w:line="242"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unauthorized access, disclosure, misappropriation, or compromise of confidential information or other data stored in our IT systems, networks, and facilities, or those of third parties with whom we share our data;</w:t>
      </w:r>
    </w:p>
    <w:p>
      <w:pPr>
        <w:spacing w:after="0" w:line="4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unexpected safety or efficacy concerns associated with our products;</w:t>
      </w:r>
    </w:p>
    <w:p>
      <w:pPr>
        <w:spacing w:after="0" w:line="49" w:lineRule="exact"/>
        <w:rPr>
          <w:rFonts w:ascii="Arial" w:cs="Arial" w:eastAsia="Arial" w:hAnsi="Arial"/>
          <w:sz w:val="18"/>
          <w:szCs w:val="18"/>
          <w:color w:val="auto"/>
        </w:rPr>
      </w:pPr>
    </w:p>
    <w:p>
      <w:pPr>
        <w:ind w:left="660" w:right="460" w:hanging="328"/>
        <w:spacing w:after="0" w:line="242"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litigation, investigations, or other similar proceedings involving past, current, or future products or commercial activities as we are largely self-insured;</w:t>
      </w:r>
    </w:p>
    <w:p>
      <w:pPr>
        <w:spacing w:after="0" w:line="41" w:lineRule="exact"/>
        <w:rPr>
          <w:rFonts w:ascii="Arial" w:cs="Arial" w:eastAsia="Arial" w:hAnsi="Arial"/>
          <w:sz w:val="18"/>
          <w:szCs w:val="18"/>
          <w:color w:val="auto"/>
        </w:rPr>
      </w:pPr>
    </w:p>
    <w:p>
      <w:pPr>
        <w:ind w:left="660" w:right="280" w:hanging="328"/>
        <w:spacing w:after="0" w:line="242"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issues with product supply and regulatory approvals stemming from manufacturing difficulties or disruptions, including as a result of regulatory actions relating to our facilities;</w:t>
      </w:r>
    </w:p>
    <w:p>
      <w:pPr>
        <w:spacing w:after="0" w:line="4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reliance on third-party relationships and outsourcing arrangements;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regulatory changes or other developments;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regulatory actions regarding currently marketed products;</w:t>
      </w:r>
    </w:p>
    <w:p>
      <w:pPr>
        <w:spacing w:after="0" w:line="49" w:lineRule="exact"/>
        <w:rPr>
          <w:rFonts w:ascii="Arial" w:cs="Arial" w:eastAsia="Arial" w:hAnsi="Arial"/>
          <w:sz w:val="18"/>
          <w:szCs w:val="18"/>
          <w:color w:val="auto"/>
        </w:rPr>
      </w:pPr>
    </w:p>
    <w:p>
      <w:pPr>
        <w:ind w:left="660" w:right="120" w:hanging="328"/>
        <w:spacing w:after="0" w:line="242"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continued pricing pressures and the impact of actions of governmental and private payers affecting pricing of, reimbursement for, and access to pharmaceuticals;</w:t>
      </w:r>
    </w:p>
    <w:p>
      <w:pPr>
        <w:spacing w:after="0" w:line="4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devaluations in foreign currency exchange rates or changes in interest rates, and inflation;</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tax law, tax rates, or events that differ from our assumptions related to tax positions;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asset impairments and restructuring charges;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global macroeconomic conditions and trade disruptions or disputes;</w:t>
      </w:r>
    </w:p>
    <w:p>
      <w:pPr>
        <w:spacing w:after="0" w:line="49" w:lineRule="exact"/>
        <w:rPr>
          <w:rFonts w:ascii="Arial" w:cs="Arial" w:eastAsia="Arial" w:hAnsi="Arial"/>
          <w:sz w:val="18"/>
          <w:szCs w:val="18"/>
          <w:color w:val="auto"/>
        </w:rPr>
      </w:pPr>
    </w:p>
    <w:p>
      <w:pPr>
        <w:ind w:left="660" w:right="420" w:hanging="328"/>
        <w:spacing w:after="0" w:line="242"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accounting and reporting standards promulgated by the Financial Accounting Standards Board and the Securities and Exchange Commission (SEC); and</w:t>
      </w:r>
    </w:p>
    <w:p>
      <w:pPr>
        <w:spacing w:after="0" w:line="4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regulatory compliance problems or government investigations.</w:t>
      </w:r>
    </w:p>
    <w:p>
      <w:pPr>
        <w:spacing w:after="0" w:line="104" w:lineRule="exact"/>
        <w:rPr>
          <w:sz w:val="20"/>
          <w:szCs w:val="20"/>
          <w:color w:val="auto"/>
        </w:rPr>
      </w:pPr>
    </w:p>
    <w:p>
      <w:pPr>
        <w:ind w:right="140"/>
        <w:spacing w:after="0" w:line="238" w:lineRule="auto"/>
        <w:rPr>
          <w:rFonts w:ascii="Arial" w:cs="Arial" w:eastAsia="Arial" w:hAnsi="Arial"/>
          <w:sz w:val="18"/>
          <w:szCs w:val="18"/>
          <w:color w:val="auto"/>
        </w:rPr>
      </w:pPr>
      <w:r>
        <w:rPr>
          <w:rFonts w:ascii="Arial" w:cs="Arial" w:eastAsia="Arial" w:hAnsi="Arial"/>
          <w:sz w:val="18"/>
          <w:szCs w:val="18"/>
          <w:color w:val="auto"/>
        </w:rPr>
        <w:t xml:space="preserve">More information on factors that could cause actual results or events to differ materially from those anticipated is included from time to time in our reports filed with the SEC, including in our Annual Report on </w:t>
      </w:r>
      <w:hyperlink r:id="rId14">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2020, particularly under the caption “Risk Factors”.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3" w:name="page4"/>
    <w:bookmarkEnd w:id="3"/>
    <w:p>
      <w:pPr>
        <w:spacing w:after="0" w:line="237" w:lineRule="auto"/>
        <w:rPr>
          <w:sz w:val="20"/>
          <w:szCs w:val="20"/>
          <w:color w:val="auto"/>
        </w:rPr>
      </w:pPr>
      <w:r>
        <w:rPr>
          <w:rFonts w:ascii="Arial" w:cs="Arial" w:eastAsia="Arial" w:hAnsi="Arial"/>
          <w:sz w:val="18"/>
          <w:szCs w:val="18"/>
          <w:color w:val="auto"/>
        </w:rPr>
        <w:t>All forward-looking statements speak only as of the date of this Quarterly Report on Form 10-Q and are expressly qualified in their entirety by the cautionary statements included in or incorporated by reference into this Quarterly Report on Form 10-Q. Except as is required by law, we expressly disclaim any obligation to publicly release any revisions to forward-looking statements to reflect events after the date of this Quarterly Report on Form 10-Q.</w:t>
      </w:r>
    </w:p>
    <w:p>
      <w:pPr>
        <w:spacing w:after="0" w:line="200" w:lineRule="exact"/>
        <w:rPr>
          <w:sz w:val="20"/>
          <w:szCs w:val="20"/>
          <w:color w:val="auto"/>
        </w:rPr>
      </w:pPr>
    </w:p>
    <w:p>
      <w:pPr>
        <w:spacing w:after="0" w:line="3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18" w:right="479" w:bottom="1440" w:gutter="0" w:footer="0" w:header="0"/>
        </w:sectPr>
      </w:pPr>
    </w:p>
    <w:bookmarkStart w:id="4" w:name="page5"/>
    <w:bookmarkEnd w:id="4"/>
    <w:p>
      <w:pPr>
        <w:spacing w:after="0"/>
        <w:rPr>
          <w:sz w:val="20"/>
          <w:szCs w:val="20"/>
          <w:color w:val="auto"/>
        </w:rPr>
      </w:pPr>
      <w:r>
        <w:rPr>
          <w:rFonts w:ascii="Arial" w:cs="Arial" w:eastAsia="Arial" w:hAnsi="Arial"/>
          <w:sz w:val="29"/>
          <w:szCs w:val="29"/>
          <w:u w:val="single" w:color="auto"/>
          <w:color w:val="auto"/>
        </w:rPr>
        <w:t>PART I. Financial Information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Financial Statements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Condensed Statements of Operations</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0"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(Dollars and shares in millions, except per-share data)</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3"/>
          </w:tcPr>
          <w:p>
            <w:pPr>
              <w:jc w:val="right"/>
              <w:ind w:right="271"/>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ind w:right="211"/>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59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2020</w:t>
            </w:r>
          </w:p>
        </w:tc>
      </w:tr>
      <w:tr>
        <w:trPr>
          <w:trHeight w:val="223"/>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(Note 2)</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6,740.1</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5,499.4</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13,545.7</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11,359.2</w:t>
            </w:r>
          </w:p>
        </w:tc>
      </w:tr>
      <w:tr>
        <w:trPr>
          <w:trHeight w:val="229"/>
        </w:trPr>
        <w:tc>
          <w:tcPr>
            <w:tcW w:w="5920" w:type="dxa"/>
            <w:vAlign w:val="bottom"/>
          </w:tcPr>
          <w:p>
            <w:pPr>
              <w:ind w:left="20"/>
              <w:spacing w:after="0"/>
              <w:rPr>
                <w:sz w:val="20"/>
                <w:szCs w:val="20"/>
                <w:color w:val="auto"/>
              </w:rPr>
            </w:pPr>
            <w:r>
              <w:rPr>
                <w:rFonts w:ascii="Arial" w:cs="Arial" w:eastAsia="Arial" w:hAnsi="Arial"/>
                <w:sz w:val="18"/>
                <w:szCs w:val="18"/>
                <w:color w:val="auto"/>
              </w:rPr>
              <w:t>Costs, expenses, and other:</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sales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1,953.2</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1,222.0</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3,831.8</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2,437.1</w:t>
            </w:r>
          </w:p>
        </w:tc>
      </w:tr>
      <w:tr>
        <w:trPr>
          <w:trHeight w:val="229"/>
        </w:trPr>
        <w:tc>
          <w:tcPr>
            <w:tcW w:w="592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9"/>
                <w:szCs w:val="19"/>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b w:val="1"/>
                <w:bCs w:val="1"/>
                <w:color w:val="auto"/>
              </w:rPr>
              <w:t>1,672.8</w:t>
            </w:r>
          </w:p>
        </w:tc>
        <w:tc>
          <w:tcPr>
            <w:tcW w:w="36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1,390.2</w:t>
            </w:r>
          </w:p>
        </w:tc>
        <w:tc>
          <w:tcPr>
            <w:tcW w:w="280" w:type="dxa"/>
            <w:vAlign w:val="bottom"/>
          </w:tcPr>
          <w:p>
            <w:pPr>
              <w:spacing w:after="0"/>
              <w:rPr>
                <w:sz w:val="19"/>
                <w:szCs w:val="19"/>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b w:val="1"/>
                <w:bCs w:val="1"/>
                <w:color w:val="auto"/>
              </w:rPr>
              <w:t>3,357.6</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2,782.3</w:t>
            </w:r>
          </w:p>
        </w:tc>
      </w:tr>
      <w:tr>
        <w:trPr>
          <w:trHeight w:val="230"/>
        </w:trPr>
        <w:tc>
          <w:tcPr>
            <w:tcW w:w="5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Marketing, selling, and administrative</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1,685.7</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1,448.6</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3,261.7</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2,998.2</w:t>
            </w:r>
          </w:p>
        </w:tc>
      </w:tr>
      <w:tr>
        <w:trPr>
          <w:trHeight w:val="229"/>
        </w:trPr>
        <w:tc>
          <w:tcPr>
            <w:tcW w:w="5920" w:type="dxa"/>
            <w:vAlign w:val="bottom"/>
          </w:tcPr>
          <w:p>
            <w:pPr>
              <w:ind w:left="140"/>
              <w:spacing w:after="0"/>
              <w:rPr>
                <w:sz w:val="20"/>
                <w:szCs w:val="20"/>
                <w:color w:val="auto"/>
              </w:rPr>
            </w:pPr>
            <w:r>
              <w:rPr>
                <w:rFonts w:ascii="Arial" w:cs="Arial" w:eastAsia="Arial" w:hAnsi="Arial"/>
                <w:sz w:val="18"/>
                <w:szCs w:val="18"/>
                <w:color w:val="auto"/>
              </w:rPr>
              <w:t>Acquired in-process research and development (Note 3)</w:t>
            </w:r>
          </w:p>
        </w:tc>
        <w:tc>
          <w:tcPr>
            <w:tcW w:w="220" w:type="dxa"/>
            <w:vAlign w:val="bottom"/>
          </w:tcPr>
          <w:p>
            <w:pPr>
              <w:spacing w:after="0"/>
              <w:rPr>
                <w:sz w:val="19"/>
                <w:szCs w:val="19"/>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b w:val="1"/>
                <w:bCs w:val="1"/>
                <w:color w:val="auto"/>
              </w:rPr>
              <w:t>25.0</w:t>
            </w:r>
          </w:p>
        </w:tc>
        <w:tc>
          <w:tcPr>
            <w:tcW w:w="36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241.8</w:t>
            </w:r>
          </w:p>
        </w:tc>
        <w:tc>
          <w:tcPr>
            <w:tcW w:w="280" w:type="dxa"/>
            <w:vAlign w:val="bottom"/>
          </w:tcPr>
          <w:p>
            <w:pPr>
              <w:spacing w:after="0"/>
              <w:rPr>
                <w:sz w:val="19"/>
                <w:szCs w:val="19"/>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b w:val="1"/>
                <w:bCs w:val="1"/>
                <w:color w:val="auto"/>
              </w:rPr>
              <w:t>324.3</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294.1</w:t>
            </w:r>
          </w:p>
        </w:tc>
      </w:tr>
      <w:tr>
        <w:trPr>
          <w:trHeight w:val="229"/>
        </w:trPr>
        <w:tc>
          <w:tcPr>
            <w:tcW w:w="5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 impairment, restructuring, and other special charges (Note 5)</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211.6</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r>
      <w:tr>
        <w:trPr>
          <w:trHeight w:val="230"/>
        </w:trPr>
        <w:tc>
          <w:tcPr>
            <w:tcW w:w="59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Other–net, (income) expense (Note 11)</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(190.5)</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(446.9)</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(511.6)</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(536.0)</w:t>
            </w:r>
          </w:p>
        </w:tc>
      </w:tr>
      <w:tr>
        <w:trPr>
          <w:trHeight w:val="223"/>
        </w:trPr>
        <w:tc>
          <w:tcPr>
            <w:tcW w:w="59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5,146.2</w:t>
            </w: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3,855.7</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10,475.4</w:t>
            </w: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8,035.6</w:t>
            </w:r>
          </w:p>
        </w:tc>
      </w:tr>
      <w:tr>
        <w:trPr>
          <w:trHeight w:val="223"/>
        </w:trPr>
        <w:tc>
          <w:tcPr>
            <w:tcW w:w="592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20" w:type="dxa"/>
            <w:vAlign w:val="bottom"/>
          </w:tcPr>
          <w:p>
            <w:pPr>
              <w:spacing w:after="0"/>
              <w:rPr>
                <w:sz w:val="19"/>
                <w:szCs w:val="19"/>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b w:val="1"/>
                <w:bCs w:val="1"/>
                <w:color w:val="auto"/>
              </w:rPr>
              <w:t>1,593.9</w:t>
            </w:r>
          </w:p>
        </w:tc>
        <w:tc>
          <w:tcPr>
            <w:tcW w:w="36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1,643.7</w:t>
            </w:r>
          </w:p>
        </w:tc>
        <w:tc>
          <w:tcPr>
            <w:tcW w:w="280" w:type="dxa"/>
            <w:vAlign w:val="bottom"/>
          </w:tcPr>
          <w:p>
            <w:pPr>
              <w:spacing w:after="0"/>
              <w:rPr>
                <w:sz w:val="19"/>
                <w:szCs w:val="19"/>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b w:val="1"/>
                <w:bCs w:val="1"/>
                <w:color w:val="auto"/>
              </w:rPr>
              <w:t>3,070.3</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3,323.6</w:t>
            </w:r>
          </w:p>
        </w:tc>
      </w:tr>
      <w:tr>
        <w:trPr>
          <w:trHeight w:val="229"/>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 (Note 7)</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203.7</w:t>
            </w: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231.7</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324.8</w:t>
            </w: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455.1</w:t>
            </w:r>
          </w:p>
        </w:tc>
      </w:tr>
      <w:tr>
        <w:trPr>
          <w:trHeight w:val="217"/>
        </w:trPr>
        <w:tc>
          <w:tcPr>
            <w:tcW w:w="5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1,390.2</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1,412.0</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2,745.5</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2,868.5</w:t>
            </w:r>
          </w:p>
        </w:tc>
      </w:tr>
      <w:tr>
        <w:trPr>
          <w:trHeight w:val="257"/>
        </w:trPr>
        <w:tc>
          <w:tcPr>
            <w:tcW w:w="59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29"/>
        </w:trPr>
        <w:tc>
          <w:tcPr>
            <w:tcW w:w="5920" w:type="dxa"/>
            <w:vAlign w:val="bottom"/>
          </w:tcPr>
          <w:p>
            <w:pPr>
              <w:ind w:left="20"/>
              <w:spacing w:after="0"/>
              <w:rPr>
                <w:sz w:val="20"/>
                <w:szCs w:val="20"/>
                <w:color w:val="auto"/>
              </w:rPr>
            </w:pPr>
            <w:r>
              <w:rPr>
                <w:rFonts w:ascii="Arial" w:cs="Arial" w:eastAsia="Arial" w:hAnsi="Arial"/>
                <w:sz w:val="18"/>
                <w:szCs w:val="18"/>
                <w:color w:val="auto"/>
              </w:rPr>
              <w:t>Earnings per share:</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3"/>
        </w:trPr>
        <w:tc>
          <w:tcPr>
            <w:tcW w:w="5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1.53</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1.56</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3.02</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r>
      <w:tr>
        <w:trPr>
          <w:trHeight w:val="223"/>
        </w:trPr>
        <w:tc>
          <w:tcPr>
            <w:tcW w:w="59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1.53</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1.55</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3.01</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w:t>
            </w:r>
          </w:p>
        </w:tc>
      </w:tr>
      <w:tr>
        <w:trPr>
          <w:trHeight w:val="256"/>
        </w:trPr>
        <w:tc>
          <w:tcPr>
            <w:tcW w:w="59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30"/>
        </w:trPr>
        <w:tc>
          <w:tcPr>
            <w:tcW w:w="5920" w:type="dxa"/>
            <w:vAlign w:val="bottom"/>
          </w:tcPr>
          <w:p>
            <w:pPr>
              <w:ind w:left="20"/>
              <w:spacing w:after="0"/>
              <w:rPr>
                <w:sz w:val="20"/>
                <w:szCs w:val="20"/>
                <w:color w:val="auto"/>
              </w:rPr>
            </w:pPr>
            <w:r>
              <w:rPr>
                <w:rFonts w:ascii="Arial" w:cs="Arial" w:eastAsia="Arial" w:hAnsi="Arial"/>
                <w:sz w:val="18"/>
                <w:szCs w:val="18"/>
                <w:color w:val="auto"/>
              </w:rPr>
              <w:t>Shares used in calculation of earnings per share:</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907.3</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907.2</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908.2</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907.7</w:t>
            </w:r>
          </w:p>
        </w:tc>
      </w:tr>
      <w:tr>
        <w:trPr>
          <w:trHeight w:val="239"/>
        </w:trPr>
        <w:tc>
          <w:tcPr>
            <w:tcW w:w="5920" w:type="dxa"/>
            <w:vAlign w:val="bottom"/>
          </w:tcPr>
          <w:p>
            <w:pPr>
              <w:ind w:left="14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910.4</w:t>
            </w:r>
          </w:p>
        </w:tc>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910.9</w:t>
            </w:r>
          </w:p>
        </w:tc>
        <w:tc>
          <w:tcPr>
            <w:tcW w:w="28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b w:val="1"/>
                <w:bCs w:val="1"/>
                <w:color w:val="auto"/>
              </w:rPr>
              <w:t>911.6</w:t>
            </w: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911.6</w:t>
            </w:r>
          </w:p>
        </w:tc>
      </w:tr>
    </w:tbl>
    <w:p>
      <w:pPr>
        <w:spacing w:after="0" w:line="3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05" w:right="399" w:bottom="1440" w:gutter="0" w:footer="0" w:header="0"/>
        </w:sectPr>
      </w:pPr>
    </w:p>
    <w:bookmarkStart w:id="5" w:name="page6"/>
    <w:bookmarkEnd w:id="5"/>
    <w:p>
      <w:pPr>
        <w:jc w:val="center"/>
        <w:ind w:right="-99"/>
        <w:spacing w:after="0"/>
        <w:rPr>
          <w:sz w:val="20"/>
          <w:szCs w:val="20"/>
          <w:color w:val="auto"/>
        </w:rPr>
      </w:pPr>
      <w:r>
        <w:rPr>
          <w:rFonts w:ascii="Arial" w:cs="Arial" w:eastAsia="Arial" w:hAnsi="Arial"/>
          <w:sz w:val="18"/>
          <w:szCs w:val="18"/>
          <w:b w:val="1"/>
          <w:bCs w:val="1"/>
          <w:color w:val="auto"/>
        </w:rPr>
        <w:t>Consolidated Condensed Statements of Comprehensive Income (Loss)</w:t>
      </w:r>
    </w:p>
    <w:p>
      <w:pPr>
        <w:spacing w:after="0" w:line="3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0"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(Dollars in millions)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ind w:right="115"/>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right"/>
              <w:ind w:right="195"/>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62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r>
      <w:tr>
        <w:trPr>
          <w:trHeight w:val="223"/>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1,390.2</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1,412.0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2,745.5</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2,868.5</w:t>
            </w:r>
          </w:p>
        </w:tc>
      </w:tr>
      <w:tr>
        <w:trPr>
          <w:trHeight w:val="229"/>
        </w:trPr>
        <w:tc>
          <w:tcPr>
            <w:tcW w:w="6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(loss), net of tax (Note 10)</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108.5</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203.0</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209.3</w:t>
            </w: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(159.3)</w:t>
            </w:r>
          </w:p>
        </w:tc>
      </w:tr>
      <w:tr>
        <w:trPr>
          <w:trHeight w:val="230"/>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1,498.7</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1,615.0</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2,954.8</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2,709.2</w:t>
            </w:r>
          </w:p>
        </w:tc>
      </w:tr>
    </w:tbl>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86" w:right="4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4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June 30, 2021</w:t>
            </w:r>
          </w:p>
        </w:tc>
        <w:tc>
          <w:tcPr>
            <w:tcW w:w="2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209"/>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491"/>
              <w:spacing w:after="0"/>
              <w:rPr>
                <w:sz w:val="20"/>
                <w:szCs w:val="20"/>
                <w:color w:val="auto"/>
              </w:rPr>
            </w:pPr>
            <w:r>
              <w:rPr>
                <w:rFonts w:ascii="Arial" w:cs="Arial" w:eastAsia="Arial" w:hAnsi="Arial"/>
                <w:sz w:val="14"/>
                <w:szCs w:val="14"/>
                <w:b w:val="1"/>
                <w:bCs w:val="1"/>
                <w:color w:val="auto"/>
              </w:rPr>
              <w:t>(Unaudited)</w:t>
            </w: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00" w:type="dxa"/>
            <w:vAlign w:val="bottom"/>
          </w:tcPr>
          <w:p>
            <w:pPr>
              <w:ind w:left="20"/>
              <w:spacing w:after="0"/>
              <w:rPr>
                <w:sz w:val="20"/>
                <w:szCs w:val="20"/>
                <w:color w:val="auto"/>
              </w:rPr>
            </w:pPr>
            <w:r>
              <w:rPr>
                <w:rFonts w:ascii="Arial" w:cs="Arial" w:eastAsia="Arial" w:hAnsi="Arial"/>
                <w:sz w:val="18"/>
                <w:szCs w:val="18"/>
                <w:i w:val="1"/>
                <w:iCs w:val="1"/>
                <w:color w:val="auto"/>
              </w:rPr>
              <w:t>Current Assets</w:t>
            </w: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 (Note 6)</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6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3,220.0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3,657.1</w:t>
            </w:r>
          </w:p>
        </w:tc>
        <w:tc>
          <w:tcPr>
            <w:tcW w:w="0" w:type="dxa"/>
            <w:vAlign w:val="bottom"/>
          </w:tcPr>
          <w:p>
            <w:pPr>
              <w:spacing w:after="0"/>
              <w:rPr>
                <w:sz w:val="1"/>
                <w:szCs w:val="1"/>
                <w:color w:val="auto"/>
              </w:rPr>
            </w:pPr>
          </w:p>
        </w:tc>
      </w:tr>
      <w:tr>
        <w:trPr>
          <w:trHeight w:val="229"/>
        </w:trPr>
        <w:tc>
          <w:tcPr>
            <w:tcW w:w="7400" w:type="dxa"/>
            <w:vAlign w:val="bottom"/>
          </w:tcPr>
          <w:p>
            <w:pPr>
              <w:ind w:left="140"/>
              <w:spacing w:after="0"/>
              <w:rPr>
                <w:sz w:val="20"/>
                <w:szCs w:val="20"/>
                <w:color w:val="auto"/>
              </w:rPr>
            </w:pPr>
            <w:r>
              <w:rPr>
                <w:rFonts w:ascii="Arial" w:cs="Arial" w:eastAsia="Arial" w:hAnsi="Arial"/>
                <w:sz w:val="18"/>
                <w:szCs w:val="18"/>
                <w:color w:val="auto"/>
              </w:rPr>
              <w:t>Short-term investments (Note 6)</w:t>
            </w:r>
          </w:p>
        </w:tc>
        <w:tc>
          <w:tcPr>
            <w:tcW w:w="300" w:type="dxa"/>
            <w:vAlign w:val="bottom"/>
          </w:tcPr>
          <w:p>
            <w:pPr>
              <w:spacing w:after="0"/>
              <w:rPr>
                <w:sz w:val="19"/>
                <w:szCs w:val="19"/>
                <w:color w:val="auto"/>
              </w:rPr>
            </w:pPr>
          </w:p>
        </w:tc>
        <w:tc>
          <w:tcPr>
            <w:tcW w:w="1620" w:type="dxa"/>
            <w:vAlign w:val="bottom"/>
          </w:tcPr>
          <w:p>
            <w:pPr>
              <w:jc w:val="right"/>
              <w:ind w:right="31"/>
              <w:spacing w:after="0"/>
              <w:rPr>
                <w:sz w:val="20"/>
                <w:szCs w:val="20"/>
                <w:color w:val="auto"/>
              </w:rPr>
            </w:pPr>
            <w:r>
              <w:rPr>
                <w:rFonts w:ascii="Arial" w:cs="Arial" w:eastAsia="Arial" w:hAnsi="Arial"/>
                <w:sz w:val="18"/>
                <w:szCs w:val="18"/>
                <w:b w:val="1"/>
                <w:bCs w:val="1"/>
                <w:color w:val="auto"/>
              </w:rPr>
              <w:t>51.2</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Accounts receivable, net of allowances of </w:t>
            </w:r>
            <w:r>
              <w:rPr>
                <w:rFonts w:ascii="Arial" w:cs="Arial" w:eastAsia="Arial" w:hAnsi="Arial"/>
                <w:sz w:val="18"/>
                <w:szCs w:val="18"/>
                <w:b w:val="1"/>
                <w:bCs w:val="1"/>
                <w:color w:val="auto"/>
              </w:rPr>
              <w:t>$23.9 (2021)</w:t>
            </w:r>
            <w:r>
              <w:rPr>
                <w:rFonts w:ascii="Arial" w:cs="Arial" w:eastAsia="Arial" w:hAnsi="Arial"/>
                <w:sz w:val="18"/>
                <w:szCs w:val="18"/>
                <w:color w:val="auto"/>
              </w:rPr>
              <w:t xml:space="preserve"> and $25.9 (2020)</w:t>
            </w: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5,829.4</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5,875.3</w:t>
            </w:r>
          </w:p>
        </w:tc>
        <w:tc>
          <w:tcPr>
            <w:tcW w:w="0" w:type="dxa"/>
            <w:vAlign w:val="bottom"/>
          </w:tcPr>
          <w:p>
            <w:pPr>
              <w:spacing w:after="0"/>
              <w:rPr>
                <w:sz w:val="1"/>
                <w:szCs w:val="1"/>
                <w:color w:val="auto"/>
              </w:rPr>
            </w:pPr>
          </w:p>
        </w:tc>
      </w:tr>
      <w:tr>
        <w:trPr>
          <w:trHeight w:val="230"/>
        </w:trPr>
        <w:tc>
          <w:tcPr>
            <w:tcW w:w="7400" w:type="dxa"/>
            <w:vAlign w:val="bottom"/>
          </w:tcPr>
          <w:p>
            <w:pPr>
              <w:ind w:left="140"/>
              <w:spacing w:after="0"/>
              <w:rPr>
                <w:sz w:val="20"/>
                <w:szCs w:val="20"/>
                <w:color w:val="auto"/>
              </w:rPr>
            </w:pPr>
            <w:r>
              <w:rPr>
                <w:rFonts w:ascii="Arial" w:cs="Arial" w:eastAsia="Arial" w:hAnsi="Arial"/>
                <w:sz w:val="18"/>
                <w:szCs w:val="18"/>
                <w:color w:val="auto"/>
              </w:rPr>
              <w:t>Other receivables</w:t>
            </w:r>
          </w:p>
        </w:tc>
        <w:tc>
          <w:tcPr>
            <w:tcW w:w="300" w:type="dxa"/>
            <w:vAlign w:val="bottom"/>
          </w:tcPr>
          <w:p>
            <w:pPr>
              <w:spacing w:after="0"/>
              <w:rPr>
                <w:sz w:val="19"/>
                <w:szCs w:val="19"/>
                <w:color w:val="auto"/>
              </w:rPr>
            </w:pPr>
          </w:p>
        </w:tc>
        <w:tc>
          <w:tcPr>
            <w:tcW w:w="1620" w:type="dxa"/>
            <w:vAlign w:val="bottom"/>
          </w:tcPr>
          <w:p>
            <w:pPr>
              <w:jc w:val="right"/>
              <w:ind w:right="31"/>
              <w:spacing w:after="0"/>
              <w:rPr>
                <w:sz w:val="20"/>
                <w:szCs w:val="20"/>
                <w:color w:val="auto"/>
              </w:rPr>
            </w:pPr>
            <w:r>
              <w:rPr>
                <w:rFonts w:ascii="Arial" w:cs="Arial" w:eastAsia="Arial" w:hAnsi="Arial"/>
                <w:sz w:val="18"/>
                <w:szCs w:val="18"/>
                <w:b w:val="1"/>
                <w:bCs w:val="1"/>
                <w:color w:val="auto"/>
              </w:rPr>
              <w:t>1,073.4</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1,053.7</w:t>
            </w: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Inventories</w:t>
            </w: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3,824.9</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3,980.3</w:t>
            </w:r>
          </w:p>
        </w:tc>
        <w:tc>
          <w:tcPr>
            <w:tcW w:w="0" w:type="dxa"/>
            <w:vAlign w:val="bottom"/>
          </w:tcPr>
          <w:p>
            <w:pPr>
              <w:spacing w:after="0"/>
              <w:rPr>
                <w:sz w:val="1"/>
                <w:szCs w:val="1"/>
                <w:color w:val="auto"/>
              </w:rPr>
            </w:pPr>
          </w:p>
        </w:tc>
      </w:tr>
      <w:tr>
        <w:trPr>
          <w:trHeight w:val="230"/>
        </w:trPr>
        <w:tc>
          <w:tcPr>
            <w:tcW w:w="7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Prepaid expenses and other</w:t>
            </w:r>
          </w:p>
        </w:tc>
        <w:tc>
          <w:tcPr>
            <w:tcW w:w="3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3,296.6</w:t>
            </w:r>
          </w:p>
        </w:tc>
        <w:tc>
          <w:tcPr>
            <w:tcW w:w="2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2,871.5</w:t>
            </w:r>
          </w:p>
        </w:tc>
        <w:tc>
          <w:tcPr>
            <w:tcW w:w="0" w:type="dxa"/>
            <w:vAlign w:val="bottom"/>
          </w:tcPr>
          <w:p>
            <w:pPr>
              <w:spacing w:after="0"/>
              <w:rPr>
                <w:sz w:val="1"/>
                <w:szCs w:val="1"/>
                <w:color w:val="auto"/>
              </w:rPr>
            </w:pPr>
          </w:p>
        </w:tc>
      </w:tr>
      <w:tr>
        <w:trPr>
          <w:trHeight w:val="223"/>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17,295.5</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17,462.1</w:t>
            </w:r>
          </w:p>
        </w:tc>
        <w:tc>
          <w:tcPr>
            <w:tcW w:w="0" w:type="dxa"/>
            <w:vAlign w:val="bottom"/>
          </w:tcPr>
          <w:p>
            <w:pPr>
              <w:spacing w:after="0"/>
              <w:rPr>
                <w:sz w:val="1"/>
                <w:szCs w:val="1"/>
                <w:color w:val="auto"/>
              </w:rPr>
            </w:pP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Investments (Note 6)</w:t>
            </w:r>
          </w:p>
        </w:tc>
        <w:tc>
          <w:tcPr>
            <w:tcW w:w="300" w:type="dxa"/>
            <w:vAlign w:val="bottom"/>
          </w:tcPr>
          <w:p>
            <w:pPr>
              <w:spacing w:after="0"/>
              <w:rPr>
                <w:sz w:val="19"/>
                <w:szCs w:val="19"/>
                <w:color w:val="auto"/>
              </w:rPr>
            </w:pPr>
          </w:p>
        </w:tc>
        <w:tc>
          <w:tcPr>
            <w:tcW w:w="1620" w:type="dxa"/>
            <w:vAlign w:val="bottom"/>
          </w:tcPr>
          <w:p>
            <w:pPr>
              <w:jc w:val="right"/>
              <w:ind w:right="31"/>
              <w:spacing w:after="0"/>
              <w:rPr>
                <w:sz w:val="20"/>
                <w:szCs w:val="20"/>
                <w:color w:val="auto"/>
              </w:rPr>
            </w:pPr>
            <w:r>
              <w:rPr>
                <w:rFonts w:ascii="Arial" w:cs="Arial" w:eastAsia="Arial" w:hAnsi="Arial"/>
                <w:sz w:val="18"/>
                <w:szCs w:val="18"/>
                <w:b w:val="1"/>
                <w:bCs w:val="1"/>
                <w:color w:val="auto"/>
              </w:rPr>
              <w:t>3,474.9</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2,966.8</w:t>
            </w: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3,884.2</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3,766.5</w:t>
            </w:r>
          </w:p>
        </w:tc>
        <w:tc>
          <w:tcPr>
            <w:tcW w:w="0" w:type="dxa"/>
            <w:vAlign w:val="bottom"/>
          </w:tcPr>
          <w:p>
            <w:pPr>
              <w:spacing w:after="0"/>
              <w:rPr>
                <w:sz w:val="1"/>
                <w:szCs w:val="1"/>
                <w:color w:val="auto"/>
              </w:rPr>
            </w:pPr>
          </w:p>
        </w:tc>
      </w:tr>
      <w:tr>
        <w:trPr>
          <w:trHeight w:val="229"/>
        </w:trPr>
        <w:tc>
          <w:tcPr>
            <w:tcW w:w="7400" w:type="dxa"/>
            <w:vAlign w:val="bottom"/>
          </w:tcPr>
          <w:p>
            <w:pPr>
              <w:ind w:left="20"/>
              <w:spacing w:after="0"/>
              <w:rPr>
                <w:sz w:val="20"/>
                <w:szCs w:val="20"/>
                <w:color w:val="auto"/>
              </w:rPr>
            </w:pPr>
            <w:r>
              <w:rPr>
                <w:rFonts w:ascii="Arial" w:cs="Arial" w:eastAsia="Arial" w:hAnsi="Arial"/>
                <w:sz w:val="18"/>
                <w:szCs w:val="18"/>
                <w:color w:val="auto"/>
              </w:rPr>
              <w:t>Other intangibles, net</w:t>
            </w:r>
          </w:p>
        </w:tc>
        <w:tc>
          <w:tcPr>
            <w:tcW w:w="300" w:type="dxa"/>
            <w:vAlign w:val="bottom"/>
          </w:tcPr>
          <w:p>
            <w:pPr>
              <w:spacing w:after="0"/>
              <w:rPr>
                <w:sz w:val="19"/>
                <w:szCs w:val="19"/>
                <w:color w:val="auto"/>
              </w:rPr>
            </w:pPr>
          </w:p>
        </w:tc>
        <w:tc>
          <w:tcPr>
            <w:tcW w:w="1620" w:type="dxa"/>
            <w:vAlign w:val="bottom"/>
          </w:tcPr>
          <w:p>
            <w:pPr>
              <w:jc w:val="right"/>
              <w:ind w:right="31"/>
              <w:spacing w:after="0"/>
              <w:rPr>
                <w:sz w:val="20"/>
                <w:szCs w:val="20"/>
                <w:color w:val="auto"/>
              </w:rPr>
            </w:pPr>
            <w:r>
              <w:rPr>
                <w:rFonts w:ascii="Arial" w:cs="Arial" w:eastAsia="Arial" w:hAnsi="Arial"/>
                <w:sz w:val="18"/>
                <w:szCs w:val="18"/>
                <w:b w:val="1"/>
                <w:bCs w:val="1"/>
                <w:color w:val="auto"/>
              </w:rPr>
              <w:t>7,985.4</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7,450.0</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2,674.9</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2,830.4</w:t>
            </w:r>
          </w:p>
        </w:tc>
        <w:tc>
          <w:tcPr>
            <w:tcW w:w="0" w:type="dxa"/>
            <w:vAlign w:val="bottom"/>
          </w:tcPr>
          <w:p>
            <w:pPr>
              <w:spacing w:after="0"/>
              <w:rPr>
                <w:sz w:val="1"/>
                <w:szCs w:val="1"/>
                <w:color w:val="auto"/>
              </w:rPr>
            </w:pPr>
          </w:p>
        </w:tc>
      </w:tr>
      <w:tr>
        <w:trPr>
          <w:trHeight w:val="188"/>
        </w:trPr>
        <w:tc>
          <w:tcPr>
            <w:tcW w:w="7400" w:type="dxa"/>
            <w:vAlign w:val="bottom"/>
          </w:tcPr>
          <w:p>
            <w:pPr>
              <w:ind w:left="20"/>
              <w:spacing w:after="0" w:line="189" w:lineRule="exact"/>
              <w:rPr>
                <w:sz w:val="20"/>
                <w:szCs w:val="20"/>
                <w:color w:val="auto"/>
              </w:rPr>
            </w:pPr>
            <w:r>
              <w:rPr>
                <w:rFonts w:ascii="Arial" w:cs="Arial" w:eastAsia="Arial" w:hAnsi="Arial"/>
                <w:sz w:val="18"/>
                <w:szCs w:val="18"/>
                <w:color w:val="auto"/>
              </w:rPr>
              <w:t xml:space="preserve">Property and equipment, net of accumulated depreciation of </w:t>
            </w:r>
            <w:r>
              <w:rPr>
                <w:rFonts w:ascii="Arial" w:cs="Arial" w:eastAsia="Arial" w:hAnsi="Arial"/>
                <w:sz w:val="18"/>
                <w:szCs w:val="18"/>
                <w:b w:val="1"/>
                <w:bCs w:val="1"/>
                <w:color w:val="auto"/>
              </w:rPr>
              <w:t>$9,842.2 (2021)</w:t>
            </w:r>
            <w:r>
              <w:rPr>
                <w:rFonts w:ascii="Arial" w:cs="Arial" w:eastAsia="Arial" w:hAnsi="Arial"/>
                <w:sz w:val="18"/>
                <w:szCs w:val="18"/>
                <w:color w:val="auto"/>
              </w:rPr>
              <w:t xml:space="preserve"> and $9,570.7</w:t>
            </w:r>
          </w:p>
        </w:tc>
        <w:tc>
          <w:tcPr>
            <w:tcW w:w="300" w:type="dxa"/>
            <w:vAlign w:val="bottom"/>
          </w:tcPr>
          <w:p>
            <w:pPr>
              <w:spacing w:after="0"/>
              <w:rPr>
                <w:sz w:val="16"/>
                <w:szCs w:val="16"/>
                <w:color w:val="auto"/>
              </w:rPr>
            </w:pPr>
          </w:p>
        </w:tc>
        <w:tc>
          <w:tcPr>
            <w:tcW w:w="1620" w:type="dxa"/>
            <w:vAlign w:val="bottom"/>
            <w:vMerge w:val="restart"/>
          </w:tcPr>
          <w:p>
            <w:pPr>
              <w:jc w:val="right"/>
              <w:ind w:right="31"/>
              <w:spacing w:after="0"/>
              <w:rPr>
                <w:sz w:val="20"/>
                <w:szCs w:val="20"/>
                <w:color w:val="auto"/>
              </w:rPr>
            </w:pPr>
            <w:r>
              <w:rPr>
                <w:rFonts w:ascii="Arial" w:cs="Arial" w:eastAsia="Arial" w:hAnsi="Arial"/>
                <w:sz w:val="18"/>
                <w:szCs w:val="18"/>
                <w:b w:val="1"/>
                <w:bCs w:val="1"/>
                <w:color w:val="auto"/>
              </w:rPr>
              <w:t>8,855.5</w:t>
            </w:r>
          </w:p>
        </w:tc>
        <w:tc>
          <w:tcPr>
            <w:tcW w:w="2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400" w:type="dxa"/>
            <w:vAlign w:val="bottom"/>
          </w:tcPr>
          <w:p>
            <w:pPr>
              <w:ind w:left="20"/>
              <w:spacing w:after="0"/>
              <w:rPr>
                <w:sz w:val="20"/>
                <w:szCs w:val="20"/>
                <w:color w:val="auto"/>
              </w:rPr>
            </w:pPr>
            <w:r>
              <w:rPr>
                <w:rFonts w:ascii="Arial" w:cs="Arial" w:eastAsia="Arial" w:hAnsi="Arial"/>
                <w:sz w:val="18"/>
                <w:szCs w:val="18"/>
                <w:color w:val="auto"/>
              </w:rPr>
              <w:t>(2020)</w:t>
            </w:r>
          </w:p>
        </w:tc>
        <w:tc>
          <w:tcPr>
            <w:tcW w:w="300" w:type="dxa"/>
            <w:vAlign w:val="bottom"/>
          </w:tcPr>
          <w:p>
            <w:pPr>
              <w:spacing w:after="0"/>
              <w:rPr>
                <w:sz w:val="18"/>
                <w:szCs w:val="18"/>
                <w:color w:val="auto"/>
              </w:rPr>
            </w:pPr>
          </w:p>
        </w:tc>
        <w:tc>
          <w:tcPr>
            <w:tcW w:w="16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8,681.9</w:t>
            </w: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3,638.6</w:t>
            </w:r>
          </w:p>
        </w:tc>
        <w:tc>
          <w:tcPr>
            <w:tcW w:w="2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3,475.4</w:t>
            </w:r>
          </w:p>
        </w:tc>
        <w:tc>
          <w:tcPr>
            <w:tcW w:w="0" w:type="dxa"/>
            <w:vAlign w:val="bottom"/>
          </w:tcPr>
          <w:p>
            <w:pPr>
              <w:spacing w:after="0"/>
              <w:rPr>
                <w:sz w:val="1"/>
                <w:szCs w:val="1"/>
                <w:color w:val="auto"/>
              </w:rPr>
            </w:pPr>
          </w:p>
        </w:tc>
      </w:tr>
      <w:tr>
        <w:trPr>
          <w:trHeight w:val="230"/>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6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47,809.0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46,633.1</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i w:val="1"/>
                <w:iCs w:val="1"/>
                <w:color w:val="auto"/>
              </w:rPr>
              <w:t>Current Liabilities</w:t>
            </w: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Short-term borrowings and current maturities of long-term debt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6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1,778.5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9"/>
        </w:trPr>
        <w:tc>
          <w:tcPr>
            <w:tcW w:w="740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19"/>
                <w:szCs w:val="19"/>
                <w:color w:val="auto"/>
              </w:rPr>
            </w:pPr>
          </w:p>
        </w:tc>
        <w:tc>
          <w:tcPr>
            <w:tcW w:w="1620" w:type="dxa"/>
            <w:vAlign w:val="bottom"/>
          </w:tcPr>
          <w:p>
            <w:pPr>
              <w:jc w:val="right"/>
              <w:ind w:right="31"/>
              <w:spacing w:after="0"/>
              <w:rPr>
                <w:sz w:val="20"/>
                <w:szCs w:val="20"/>
                <w:color w:val="auto"/>
              </w:rPr>
            </w:pPr>
            <w:r>
              <w:rPr>
                <w:rFonts w:ascii="Arial" w:cs="Arial" w:eastAsia="Arial" w:hAnsi="Arial"/>
                <w:sz w:val="18"/>
                <w:szCs w:val="18"/>
                <w:b w:val="1"/>
                <w:bCs w:val="1"/>
                <w:color w:val="auto"/>
              </w:rPr>
              <w:t>1,597.8</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1,606.7</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Employee compensation</w:t>
            </w: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755.5</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997.2</w:t>
            </w:r>
          </w:p>
        </w:tc>
        <w:tc>
          <w:tcPr>
            <w:tcW w:w="0" w:type="dxa"/>
            <w:vAlign w:val="bottom"/>
          </w:tcPr>
          <w:p>
            <w:pPr>
              <w:spacing w:after="0"/>
              <w:rPr>
                <w:sz w:val="1"/>
                <w:szCs w:val="1"/>
                <w:color w:val="auto"/>
              </w:rPr>
            </w:pPr>
          </w:p>
        </w:tc>
      </w:tr>
      <w:tr>
        <w:trPr>
          <w:trHeight w:val="229"/>
        </w:trPr>
        <w:tc>
          <w:tcPr>
            <w:tcW w:w="7400" w:type="dxa"/>
            <w:vAlign w:val="bottom"/>
          </w:tcPr>
          <w:p>
            <w:pPr>
              <w:ind w:left="140"/>
              <w:spacing w:after="0"/>
              <w:rPr>
                <w:sz w:val="20"/>
                <w:szCs w:val="20"/>
                <w:color w:val="auto"/>
              </w:rPr>
            </w:pPr>
            <w:r>
              <w:rPr>
                <w:rFonts w:ascii="Arial" w:cs="Arial" w:eastAsia="Arial" w:hAnsi="Arial"/>
                <w:sz w:val="18"/>
                <w:szCs w:val="18"/>
                <w:color w:val="auto"/>
              </w:rPr>
              <w:t>Sales rebates and discounts</w:t>
            </w:r>
          </w:p>
        </w:tc>
        <w:tc>
          <w:tcPr>
            <w:tcW w:w="300" w:type="dxa"/>
            <w:vAlign w:val="bottom"/>
          </w:tcPr>
          <w:p>
            <w:pPr>
              <w:spacing w:after="0"/>
              <w:rPr>
                <w:sz w:val="19"/>
                <w:szCs w:val="19"/>
                <w:color w:val="auto"/>
              </w:rPr>
            </w:pPr>
          </w:p>
        </w:tc>
        <w:tc>
          <w:tcPr>
            <w:tcW w:w="1620" w:type="dxa"/>
            <w:vAlign w:val="bottom"/>
          </w:tcPr>
          <w:p>
            <w:pPr>
              <w:jc w:val="right"/>
              <w:ind w:right="31"/>
              <w:spacing w:after="0"/>
              <w:rPr>
                <w:sz w:val="20"/>
                <w:szCs w:val="20"/>
                <w:color w:val="auto"/>
              </w:rPr>
            </w:pPr>
            <w:r>
              <w:rPr>
                <w:rFonts w:ascii="Arial" w:cs="Arial" w:eastAsia="Arial" w:hAnsi="Arial"/>
                <w:sz w:val="18"/>
                <w:szCs w:val="18"/>
                <w:b w:val="1"/>
                <w:bCs w:val="1"/>
                <w:color w:val="auto"/>
              </w:rPr>
              <w:t>7,035.8</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5,853.0</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Dividends payable</w:t>
            </w: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770.8</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770.6</w:t>
            </w:r>
          </w:p>
        </w:tc>
        <w:tc>
          <w:tcPr>
            <w:tcW w:w="0" w:type="dxa"/>
            <w:vAlign w:val="bottom"/>
          </w:tcPr>
          <w:p>
            <w:pPr>
              <w:spacing w:after="0"/>
              <w:rPr>
                <w:sz w:val="1"/>
                <w:szCs w:val="1"/>
                <w:color w:val="auto"/>
              </w:rPr>
            </w:pPr>
          </w:p>
        </w:tc>
      </w:tr>
      <w:tr>
        <w:trPr>
          <w:trHeight w:val="230"/>
        </w:trPr>
        <w:tc>
          <w:tcPr>
            <w:tcW w:w="7400" w:type="dxa"/>
            <w:vAlign w:val="bottom"/>
          </w:tcPr>
          <w:p>
            <w:pPr>
              <w:ind w:left="140"/>
              <w:spacing w:after="0"/>
              <w:rPr>
                <w:sz w:val="20"/>
                <w:szCs w:val="20"/>
                <w:color w:val="auto"/>
              </w:rPr>
            </w:pPr>
            <w:r>
              <w:rPr>
                <w:rFonts w:ascii="Arial" w:cs="Arial" w:eastAsia="Arial" w:hAnsi="Arial"/>
                <w:sz w:val="18"/>
                <w:szCs w:val="18"/>
                <w:color w:val="auto"/>
              </w:rPr>
              <w:t>Income taxes payable</w:t>
            </w:r>
          </w:p>
        </w:tc>
        <w:tc>
          <w:tcPr>
            <w:tcW w:w="300" w:type="dxa"/>
            <w:vAlign w:val="bottom"/>
          </w:tcPr>
          <w:p>
            <w:pPr>
              <w:spacing w:after="0"/>
              <w:rPr>
                <w:sz w:val="19"/>
                <w:szCs w:val="19"/>
                <w:color w:val="auto"/>
              </w:rPr>
            </w:pPr>
          </w:p>
        </w:tc>
        <w:tc>
          <w:tcPr>
            <w:tcW w:w="1620" w:type="dxa"/>
            <w:vAlign w:val="bottom"/>
          </w:tcPr>
          <w:p>
            <w:pPr>
              <w:jc w:val="right"/>
              <w:ind w:right="31"/>
              <w:spacing w:after="0"/>
              <w:rPr>
                <w:sz w:val="20"/>
                <w:szCs w:val="20"/>
                <w:color w:val="auto"/>
              </w:rPr>
            </w:pPr>
            <w:r>
              <w:rPr>
                <w:rFonts w:ascii="Arial" w:cs="Arial" w:eastAsia="Arial" w:hAnsi="Arial"/>
                <w:sz w:val="18"/>
                <w:szCs w:val="18"/>
                <w:b w:val="1"/>
                <w:bCs w:val="1"/>
                <w:color w:val="auto"/>
              </w:rPr>
              <w:t>529.9</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495.1</w:t>
            </w: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2,624.9</w:t>
            </w:r>
          </w:p>
        </w:tc>
        <w:tc>
          <w:tcPr>
            <w:tcW w:w="2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2,750.3</w:t>
            </w:r>
          </w:p>
        </w:tc>
        <w:tc>
          <w:tcPr>
            <w:tcW w:w="0" w:type="dxa"/>
            <w:vAlign w:val="bottom"/>
          </w:tcPr>
          <w:p>
            <w:pPr>
              <w:spacing w:after="0"/>
              <w:rPr>
                <w:sz w:val="1"/>
                <w:szCs w:val="1"/>
                <w:color w:val="auto"/>
              </w:rPr>
            </w:pPr>
          </w:p>
        </w:tc>
      </w:tr>
      <w:tr>
        <w:trPr>
          <w:trHeight w:val="223"/>
        </w:trPr>
        <w:tc>
          <w:tcPr>
            <w:tcW w:w="740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19"/>
                <w:szCs w:val="19"/>
                <w:color w:val="auto"/>
              </w:rPr>
            </w:pPr>
          </w:p>
        </w:tc>
        <w:tc>
          <w:tcPr>
            <w:tcW w:w="1620" w:type="dxa"/>
            <w:vAlign w:val="bottom"/>
          </w:tcPr>
          <w:p>
            <w:pPr>
              <w:jc w:val="right"/>
              <w:ind w:right="31"/>
              <w:spacing w:after="0"/>
              <w:rPr>
                <w:sz w:val="20"/>
                <w:szCs w:val="20"/>
                <w:color w:val="auto"/>
              </w:rPr>
            </w:pPr>
            <w:r>
              <w:rPr>
                <w:rFonts w:ascii="Arial" w:cs="Arial" w:eastAsia="Arial" w:hAnsi="Arial"/>
                <w:sz w:val="18"/>
                <w:szCs w:val="18"/>
                <w:b w:val="1"/>
                <w:bCs w:val="1"/>
                <w:color w:val="auto"/>
              </w:rPr>
              <w:t>15,093.2</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12,481.6</w:t>
            </w: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Other Liabilities</w:t>
            </w: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tcPr>
          <w:p>
            <w:pPr>
              <w:ind w:left="140"/>
              <w:spacing w:after="0"/>
              <w:rPr>
                <w:sz w:val="20"/>
                <w:szCs w:val="20"/>
                <w:color w:val="auto"/>
              </w:rPr>
            </w:pPr>
            <w:r>
              <w:rPr>
                <w:rFonts w:ascii="Arial" w:cs="Arial" w:eastAsia="Arial" w:hAnsi="Arial"/>
                <w:sz w:val="18"/>
                <w:szCs w:val="18"/>
                <w:color w:val="auto"/>
              </w:rPr>
              <w:t>Long-term debt</w:t>
            </w:r>
          </w:p>
        </w:tc>
        <w:tc>
          <w:tcPr>
            <w:tcW w:w="300" w:type="dxa"/>
            <w:vAlign w:val="bottom"/>
          </w:tcPr>
          <w:p>
            <w:pPr>
              <w:spacing w:after="0"/>
              <w:rPr>
                <w:sz w:val="19"/>
                <w:szCs w:val="19"/>
                <w:color w:val="auto"/>
              </w:rPr>
            </w:pPr>
          </w:p>
        </w:tc>
        <w:tc>
          <w:tcPr>
            <w:tcW w:w="1620" w:type="dxa"/>
            <w:vAlign w:val="bottom"/>
          </w:tcPr>
          <w:p>
            <w:pPr>
              <w:jc w:val="right"/>
              <w:ind w:right="31"/>
              <w:spacing w:after="0"/>
              <w:rPr>
                <w:sz w:val="20"/>
                <w:szCs w:val="20"/>
                <w:color w:val="auto"/>
              </w:rPr>
            </w:pPr>
            <w:r>
              <w:rPr>
                <w:rFonts w:ascii="Arial" w:cs="Arial" w:eastAsia="Arial" w:hAnsi="Arial"/>
                <w:sz w:val="18"/>
                <w:szCs w:val="18"/>
                <w:b w:val="1"/>
                <w:bCs w:val="1"/>
                <w:color w:val="auto"/>
              </w:rPr>
              <w:t>14,736.6</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16,586.6</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retirement benefits (Note 8)</w:t>
            </w: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3,918.5</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4,094.5</w:t>
            </w:r>
          </w:p>
        </w:tc>
        <w:tc>
          <w:tcPr>
            <w:tcW w:w="0" w:type="dxa"/>
            <w:vAlign w:val="bottom"/>
          </w:tcPr>
          <w:p>
            <w:pPr>
              <w:spacing w:after="0"/>
              <w:rPr>
                <w:sz w:val="1"/>
                <w:szCs w:val="1"/>
                <w:color w:val="auto"/>
              </w:rPr>
            </w:pPr>
          </w:p>
        </w:tc>
      </w:tr>
      <w:tr>
        <w:trPr>
          <w:trHeight w:val="230"/>
        </w:trPr>
        <w:tc>
          <w:tcPr>
            <w:tcW w:w="7400" w:type="dxa"/>
            <w:vAlign w:val="bottom"/>
          </w:tcPr>
          <w:p>
            <w:pPr>
              <w:ind w:left="140"/>
              <w:spacing w:after="0"/>
              <w:rPr>
                <w:sz w:val="20"/>
                <w:szCs w:val="20"/>
                <w:color w:val="auto"/>
              </w:rPr>
            </w:pPr>
            <w:r>
              <w:rPr>
                <w:rFonts w:ascii="Arial" w:cs="Arial" w:eastAsia="Arial" w:hAnsi="Arial"/>
                <w:sz w:val="18"/>
                <w:szCs w:val="18"/>
                <w:color w:val="auto"/>
              </w:rPr>
              <w:t>Long-term income taxes payable</w:t>
            </w:r>
          </w:p>
        </w:tc>
        <w:tc>
          <w:tcPr>
            <w:tcW w:w="300" w:type="dxa"/>
            <w:vAlign w:val="bottom"/>
          </w:tcPr>
          <w:p>
            <w:pPr>
              <w:spacing w:after="0"/>
              <w:rPr>
                <w:sz w:val="19"/>
                <w:szCs w:val="19"/>
                <w:color w:val="auto"/>
              </w:rPr>
            </w:pPr>
          </w:p>
        </w:tc>
        <w:tc>
          <w:tcPr>
            <w:tcW w:w="1620" w:type="dxa"/>
            <w:vAlign w:val="bottom"/>
          </w:tcPr>
          <w:p>
            <w:pPr>
              <w:jc w:val="right"/>
              <w:ind w:right="31"/>
              <w:spacing w:after="0"/>
              <w:rPr>
                <w:sz w:val="20"/>
                <w:szCs w:val="20"/>
                <w:color w:val="auto"/>
              </w:rPr>
            </w:pPr>
            <w:r>
              <w:rPr>
                <w:rFonts w:ascii="Arial" w:cs="Arial" w:eastAsia="Arial" w:hAnsi="Arial"/>
                <w:sz w:val="18"/>
                <w:szCs w:val="18"/>
                <w:b w:val="1"/>
                <w:bCs w:val="1"/>
                <w:color w:val="auto"/>
              </w:rPr>
              <w:t>3,738.0</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3,837.8</w:t>
            </w: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tax liabilities</w:t>
            </w: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1,857.3</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2,099.9</w:t>
            </w:r>
          </w:p>
        </w:tc>
        <w:tc>
          <w:tcPr>
            <w:tcW w:w="0" w:type="dxa"/>
            <w:vAlign w:val="bottom"/>
          </w:tcPr>
          <w:p>
            <w:pPr>
              <w:spacing w:after="0"/>
              <w:rPr>
                <w:sz w:val="1"/>
                <w:szCs w:val="1"/>
                <w:color w:val="auto"/>
              </w:rPr>
            </w:pPr>
          </w:p>
        </w:tc>
      </w:tr>
      <w:tr>
        <w:trPr>
          <w:trHeight w:val="230"/>
        </w:trPr>
        <w:tc>
          <w:tcPr>
            <w:tcW w:w="7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noncurrent liabilities</w:t>
            </w:r>
          </w:p>
        </w:tc>
        <w:tc>
          <w:tcPr>
            <w:tcW w:w="3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1,801.9</w:t>
            </w:r>
          </w:p>
        </w:tc>
        <w:tc>
          <w:tcPr>
            <w:tcW w:w="2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1,707.5</w:t>
            </w:r>
          </w:p>
        </w:tc>
        <w:tc>
          <w:tcPr>
            <w:tcW w:w="0" w:type="dxa"/>
            <w:vAlign w:val="bottom"/>
          </w:tcPr>
          <w:p>
            <w:pPr>
              <w:spacing w:after="0"/>
              <w:rPr>
                <w:sz w:val="1"/>
                <w:szCs w:val="1"/>
                <w:color w:val="auto"/>
              </w:rPr>
            </w:pPr>
          </w:p>
        </w:tc>
      </w:tr>
      <w:tr>
        <w:trPr>
          <w:trHeight w:val="223"/>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liabilities</w:t>
            </w: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26,052.3</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28,326.3</w:t>
            </w:r>
          </w:p>
        </w:tc>
        <w:tc>
          <w:tcPr>
            <w:tcW w:w="0" w:type="dxa"/>
            <w:vAlign w:val="bottom"/>
          </w:tcPr>
          <w:p>
            <w:pPr>
              <w:spacing w:after="0"/>
              <w:rPr>
                <w:sz w:val="1"/>
                <w:szCs w:val="1"/>
                <w:color w:val="auto"/>
              </w:rPr>
            </w:pP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i w:val="1"/>
                <w:iCs w:val="1"/>
                <w:color w:val="auto"/>
              </w:rPr>
              <w:t>Commitments and Contingencies (Note 9)</w:t>
            </w: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Eli Lilly and Company Shareholders’ Equity</w:t>
            </w: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tcPr>
          <w:p>
            <w:pPr>
              <w:ind w:left="140"/>
              <w:spacing w:after="0"/>
              <w:rPr>
                <w:sz w:val="20"/>
                <w:szCs w:val="20"/>
                <w:color w:val="auto"/>
              </w:rPr>
            </w:pPr>
            <w:r>
              <w:rPr>
                <w:rFonts w:ascii="Arial" w:cs="Arial" w:eastAsia="Arial" w:hAnsi="Arial"/>
                <w:sz w:val="18"/>
                <w:szCs w:val="18"/>
                <w:color w:val="auto"/>
              </w:rPr>
              <w:t>Common stock</w:t>
            </w:r>
          </w:p>
        </w:tc>
        <w:tc>
          <w:tcPr>
            <w:tcW w:w="300" w:type="dxa"/>
            <w:vAlign w:val="bottom"/>
          </w:tcPr>
          <w:p>
            <w:pPr>
              <w:spacing w:after="0"/>
              <w:rPr>
                <w:sz w:val="19"/>
                <w:szCs w:val="19"/>
                <w:color w:val="auto"/>
              </w:rPr>
            </w:pPr>
          </w:p>
        </w:tc>
        <w:tc>
          <w:tcPr>
            <w:tcW w:w="1620" w:type="dxa"/>
            <w:vAlign w:val="bottom"/>
          </w:tcPr>
          <w:p>
            <w:pPr>
              <w:jc w:val="right"/>
              <w:ind w:right="31"/>
              <w:spacing w:after="0"/>
              <w:rPr>
                <w:sz w:val="20"/>
                <w:szCs w:val="20"/>
                <w:color w:val="auto"/>
              </w:rPr>
            </w:pPr>
            <w:r>
              <w:rPr>
                <w:rFonts w:ascii="Arial" w:cs="Arial" w:eastAsia="Arial" w:hAnsi="Arial"/>
                <w:sz w:val="18"/>
                <w:szCs w:val="18"/>
                <w:b w:val="1"/>
                <w:bCs w:val="1"/>
                <w:color w:val="auto"/>
              </w:rPr>
              <w:t>598.1</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598.2</w:t>
            </w: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6,669.2</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6,778.5</w:t>
            </w:r>
          </w:p>
        </w:tc>
        <w:tc>
          <w:tcPr>
            <w:tcW w:w="0" w:type="dxa"/>
            <w:vAlign w:val="bottom"/>
          </w:tcPr>
          <w:p>
            <w:pPr>
              <w:spacing w:after="0"/>
              <w:rPr>
                <w:sz w:val="1"/>
                <w:szCs w:val="1"/>
                <w:color w:val="auto"/>
              </w:rPr>
            </w:pPr>
          </w:p>
        </w:tc>
      </w:tr>
      <w:tr>
        <w:trPr>
          <w:trHeight w:val="230"/>
        </w:trPr>
        <w:tc>
          <w:tcPr>
            <w:tcW w:w="740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300" w:type="dxa"/>
            <w:vAlign w:val="bottom"/>
          </w:tcPr>
          <w:p>
            <w:pPr>
              <w:spacing w:after="0"/>
              <w:rPr>
                <w:sz w:val="19"/>
                <w:szCs w:val="19"/>
                <w:color w:val="auto"/>
              </w:rPr>
            </w:pPr>
          </w:p>
        </w:tc>
        <w:tc>
          <w:tcPr>
            <w:tcW w:w="1620" w:type="dxa"/>
            <w:vAlign w:val="bottom"/>
          </w:tcPr>
          <w:p>
            <w:pPr>
              <w:jc w:val="right"/>
              <w:ind w:right="31"/>
              <w:spacing w:after="0"/>
              <w:rPr>
                <w:sz w:val="20"/>
                <w:szCs w:val="20"/>
                <w:color w:val="auto"/>
              </w:rPr>
            </w:pPr>
            <w:r>
              <w:rPr>
                <w:rFonts w:ascii="Arial" w:cs="Arial" w:eastAsia="Arial" w:hAnsi="Arial"/>
                <w:sz w:val="18"/>
                <w:szCs w:val="18"/>
                <w:b w:val="1"/>
                <w:bCs w:val="1"/>
                <w:color w:val="auto"/>
              </w:rPr>
              <w:t>8,530.1</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7,830.2</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Employee benefit trust</w:t>
            </w: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(3,013.2)</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(3,013.2)</w:t>
            </w:r>
          </w:p>
        </w:tc>
        <w:tc>
          <w:tcPr>
            <w:tcW w:w="0" w:type="dxa"/>
            <w:vAlign w:val="bottom"/>
          </w:tcPr>
          <w:p>
            <w:pPr>
              <w:spacing w:after="0"/>
              <w:rPr>
                <w:sz w:val="1"/>
                <w:szCs w:val="1"/>
                <w:color w:val="auto"/>
              </w:rPr>
            </w:pPr>
          </w:p>
        </w:tc>
      </w:tr>
      <w:tr>
        <w:trPr>
          <w:trHeight w:val="230"/>
        </w:trPr>
        <w:tc>
          <w:tcPr>
            <w:tcW w:w="7400" w:type="dxa"/>
            <w:vAlign w:val="bottom"/>
          </w:tcPr>
          <w:p>
            <w:pPr>
              <w:ind w:left="140"/>
              <w:spacing w:after="0"/>
              <w:rPr>
                <w:sz w:val="20"/>
                <w:szCs w:val="20"/>
                <w:color w:val="auto"/>
              </w:rPr>
            </w:pPr>
            <w:r>
              <w:rPr>
                <w:rFonts w:ascii="Arial" w:cs="Arial" w:eastAsia="Arial" w:hAnsi="Arial"/>
                <w:sz w:val="18"/>
                <w:szCs w:val="18"/>
                <w:color w:val="auto"/>
              </w:rPr>
              <w:t>Accumulated other comprehensive loss (Note 10)</w:t>
            </w: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(6,287.1)</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(6,496.4)</w:t>
            </w: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common stock in treasury</w:t>
            </w:r>
          </w:p>
        </w:tc>
        <w:tc>
          <w:tcPr>
            <w:tcW w:w="3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(52.7)</w:t>
            </w:r>
          </w:p>
        </w:tc>
        <w:tc>
          <w:tcPr>
            <w:tcW w:w="2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23"/>
        </w:trPr>
        <w:tc>
          <w:tcPr>
            <w:tcW w:w="7400" w:type="dxa"/>
            <w:vAlign w:val="bottom"/>
          </w:tcPr>
          <w:p>
            <w:pPr>
              <w:ind w:left="20"/>
              <w:spacing w:after="0"/>
              <w:rPr>
                <w:sz w:val="20"/>
                <w:szCs w:val="20"/>
                <w:color w:val="auto"/>
              </w:rPr>
            </w:pPr>
            <w:r>
              <w:rPr>
                <w:rFonts w:ascii="Arial" w:cs="Arial" w:eastAsia="Arial" w:hAnsi="Arial"/>
                <w:sz w:val="18"/>
                <w:szCs w:val="18"/>
                <w:color w:val="auto"/>
              </w:rPr>
              <w:t>Total Eli Lilly and Company shareholders’ equity</w:t>
            </w:r>
          </w:p>
        </w:tc>
        <w:tc>
          <w:tcPr>
            <w:tcW w:w="300" w:type="dxa"/>
            <w:vAlign w:val="bottom"/>
          </w:tcPr>
          <w:p>
            <w:pPr>
              <w:spacing w:after="0"/>
              <w:rPr>
                <w:sz w:val="19"/>
                <w:szCs w:val="19"/>
                <w:color w:val="auto"/>
              </w:rPr>
            </w:pPr>
          </w:p>
        </w:tc>
        <w:tc>
          <w:tcPr>
            <w:tcW w:w="1620" w:type="dxa"/>
            <w:vAlign w:val="bottom"/>
          </w:tcPr>
          <w:p>
            <w:pPr>
              <w:jc w:val="right"/>
              <w:ind w:right="31"/>
              <w:spacing w:after="0"/>
              <w:rPr>
                <w:sz w:val="20"/>
                <w:szCs w:val="20"/>
                <w:color w:val="auto"/>
              </w:rPr>
            </w:pPr>
            <w:r>
              <w:rPr>
                <w:rFonts w:ascii="Arial" w:cs="Arial" w:eastAsia="Arial" w:hAnsi="Arial"/>
                <w:sz w:val="18"/>
                <w:szCs w:val="18"/>
                <w:b w:val="1"/>
                <w:bCs w:val="1"/>
                <w:color w:val="auto"/>
              </w:rPr>
              <w:t>6,444.4</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5,641.6</w:t>
            </w: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3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219.1</w:t>
            </w:r>
          </w:p>
        </w:tc>
        <w:tc>
          <w:tcPr>
            <w:tcW w:w="2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183.6</w:t>
            </w:r>
          </w:p>
        </w:tc>
        <w:tc>
          <w:tcPr>
            <w:tcW w:w="0" w:type="dxa"/>
            <w:vAlign w:val="bottom"/>
          </w:tcPr>
          <w:p>
            <w:pPr>
              <w:spacing w:after="0"/>
              <w:rPr>
                <w:sz w:val="1"/>
                <w:szCs w:val="1"/>
                <w:color w:val="auto"/>
              </w:rPr>
            </w:pPr>
          </w:p>
        </w:tc>
      </w:tr>
      <w:tr>
        <w:trPr>
          <w:trHeight w:val="223"/>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equity</w:t>
            </w:r>
          </w:p>
        </w:tc>
        <w:tc>
          <w:tcPr>
            <w:tcW w:w="3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6,663.5</w:t>
            </w:r>
          </w:p>
        </w:tc>
        <w:tc>
          <w:tcPr>
            <w:tcW w:w="2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5,825.2</w:t>
            </w:r>
          </w:p>
        </w:tc>
        <w:tc>
          <w:tcPr>
            <w:tcW w:w="0" w:type="dxa"/>
            <w:vAlign w:val="bottom"/>
          </w:tcPr>
          <w:p>
            <w:pPr>
              <w:spacing w:after="0"/>
              <w:rPr>
                <w:sz w:val="1"/>
                <w:szCs w:val="1"/>
                <w:color w:val="auto"/>
              </w:rPr>
            </w:pPr>
          </w:p>
        </w:tc>
      </w:tr>
      <w:tr>
        <w:trPr>
          <w:trHeight w:val="23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equity</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6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47,809.0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46,633.1</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7" w:name="page8"/>
    <w:bookmarkEnd w:id="7"/>
    <w:p>
      <w:pPr>
        <w:jc w:val="center"/>
        <w:ind w:right="-11"/>
        <w:spacing w:after="0"/>
        <w:rPr>
          <w:sz w:val="20"/>
          <w:szCs w:val="20"/>
          <w:color w:val="auto"/>
        </w:rPr>
      </w:pPr>
      <w:r>
        <w:rPr>
          <w:rFonts w:ascii="Arial" w:cs="Arial" w:eastAsia="Arial" w:hAnsi="Arial"/>
          <w:sz w:val="18"/>
          <w:szCs w:val="18"/>
          <w:b w:val="1"/>
          <w:bCs w:val="1"/>
          <w:color w:val="auto"/>
        </w:rPr>
        <w:t>Consolidated Condensed Statements of Equity</w:t>
      </w:r>
    </w:p>
    <w:p>
      <w:pPr>
        <w:spacing w:after="0" w:line="3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35" w:lineRule="exact"/>
        <w:rPr>
          <w:sz w:val="20"/>
          <w:szCs w:val="20"/>
          <w:color w:val="auto"/>
        </w:rPr>
      </w:pPr>
    </w:p>
    <w:tbl>
      <w:tblPr>
        <w:tblLayout w:type="fixed"/>
        <w:tblInd w:w="32" w:type="dxa"/>
        <w:tblCellMar>
          <w:top w:w="0" w:type="dxa"/>
          <w:left w:w="0" w:type="dxa"/>
          <w:bottom w:w="0" w:type="dxa"/>
          <w:right w:w="0" w:type="dxa"/>
        </w:tblCellMar>
      </w:tblPr>
      <w:tr>
        <w:trPr>
          <w:trHeight w:val="142"/>
        </w:trPr>
        <w:tc>
          <w:tcPr>
            <w:tcW w:w="2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40" w:type="dxa"/>
            <w:vAlign w:val="bottom"/>
            <w:gridSpan w:val="6"/>
          </w:tcPr>
          <w:p>
            <w:pPr>
              <w:jc w:val="right"/>
              <w:ind w:right="840"/>
              <w:spacing w:after="0"/>
              <w:rPr>
                <w:sz w:val="20"/>
                <w:szCs w:val="20"/>
                <w:color w:val="auto"/>
              </w:rPr>
            </w:pPr>
            <w:r>
              <w:rPr>
                <w:rFonts w:ascii="Arial" w:cs="Arial" w:eastAsia="Arial" w:hAnsi="Arial"/>
                <w:sz w:val="11"/>
                <w:szCs w:val="11"/>
                <w:b w:val="1"/>
                <w:bCs w:val="1"/>
                <w:color w:val="auto"/>
                <w:w w:val="97"/>
              </w:rPr>
              <w:t>Equity of Eli Lilly and Company Shareholders</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620" w:type="dxa"/>
            <w:vAlign w:val="bottom"/>
          </w:tcPr>
          <w:p>
            <w:pPr>
              <w:spacing w:after="0" w:line="20" w:lineRule="exact"/>
              <w:rPr>
                <w:sz w:val="1"/>
                <w:szCs w:val="1"/>
                <w:color w:val="auto"/>
              </w:rPr>
            </w:pPr>
          </w:p>
        </w:tc>
        <w:tc>
          <w:tcPr>
            <w:tcW w:w="1620" w:type="dxa"/>
            <w:vAlign w:val="bottom"/>
            <w:tcBorders>
              <w:bottom w:val="single" w:sz="8" w:color="auto"/>
            </w:tcBorders>
            <w:gridSpan w:val="3"/>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620" w:type="dxa"/>
            <w:vAlign w:val="bottom"/>
            <w:tcBorders>
              <w:bottom w:val="single" w:sz="8" w:color="auto"/>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620" w:type="dxa"/>
            <w:vAlign w:val="bottom"/>
          </w:tcPr>
          <w:p>
            <w:pPr>
              <w:spacing w:after="0"/>
              <w:rPr>
                <w:sz w:val="20"/>
                <w:szCs w:val="20"/>
                <w:color w:val="auto"/>
              </w:rPr>
            </w:pPr>
          </w:p>
        </w:tc>
        <w:tc>
          <w:tcPr>
            <w:tcW w:w="1620" w:type="dxa"/>
            <w:vAlign w:val="bottom"/>
            <w:gridSpan w:val="3"/>
          </w:tcPr>
          <w:p>
            <w:pPr>
              <w:jc w:val="right"/>
              <w:ind w:right="358"/>
              <w:spacing w:after="0"/>
              <w:rPr>
                <w:sz w:val="20"/>
                <w:szCs w:val="20"/>
                <w:color w:val="auto"/>
              </w:rPr>
            </w:pPr>
            <w:r>
              <w:rPr>
                <w:rFonts w:ascii="Arial" w:cs="Arial" w:eastAsia="Arial" w:hAnsi="Arial"/>
                <w:sz w:val="11"/>
                <w:szCs w:val="11"/>
                <w:b w:val="1"/>
                <w:bCs w:val="1"/>
                <w:color w:val="auto"/>
              </w:rPr>
              <w:t>Common Stock</w:t>
            </w:r>
          </w:p>
        </w:tc>
        <w:tc>
          <w:tcPr>
            <w:tcW w:w="220" w:type="dxa"/>
            <w:vAlign w:val="bottom"/>
          </w:tcPr>
          <w:p>
            <w:pPr>
              <w:spacing w:after="0"/>
              <w:rPr>
                <w:sz w:val="20"/>
                <w:szCs w:val="20"/>
                <w:color w:val="auto"/>
              </w:rPr>
            </w:pPr>
          </w:p>
        </w:tc>
        <w:tc>
          <w:tcPr>
            <w:tcW w:w="660" w:type="dxa"/>
            <w:vAlign w:val="bottom"/>
          </w:tcPr>
          <w:p>
            <w:pPr>
              <w:jc w:val="right"/>
              <w:ind w:right="60"/>
              <w:spacing w:after="0"/>
              <w:rPr>
                <w:sz w:val="20"/>
                <w:szCs w:val="20"/>
                <w:color w:val="auto"/>
              </w:rPr>
            </w:pPr>
            <w:r>
              <w:rPr>
                <w:rFonts w:ascii="Arial" w:cs="Arial" w:eastAsia="Arial" w:hAnsi="Arial"/>
                <w:sz w:val="11"/>
                <w:szCs w:val="11"/>
                <w:b w:val="1"/>
                <w:bCs w:val="1"/>
                <w:color w:val="auto"/>
                <w:w w:val="96"/>
              </w:rPr>
              <w:t>Additional</w:t>
            </w: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rPr>
              <w:t>Accumulated Other</w:t>
            </w:r>
          </w:p>
        </w:tc>
        <w:tc>
          <w:tcPr>
            <w:tcW w:w="1620" w:type="dxa"/>
            <w:vAlign w:val="bottom"/>
            <w:gridSpan w:val="3"/>
          </w:tcPr>
          <w:p>
            <w:pPr>
              <w:jc w:val="right"/>
              <w:spacing w:after="0"/>
              <w:rPr>
                <w:sz w:val="20"/>
                <w:szCs w:val="20"/>
                <w:color w:val="auto"/>
              </w:rPr>
            </w:pPr>
            <w:r>
              <w:rPr>
                <w:rFonts w:ascii="Arial" w:cs="Arial" w:eastAsia="Arial" w:hAnsi="Arial"/>
                <w:sz w:val="11"/>
                <w:szCs w:val="11"/>
                <w:b w:val="1"/>
                <w:bCs w:val="1"/>
                <w:color w:val="auto"/>
                <w:w w:val="98"/>
              </w:rPr>
              <w:t>Common Stock in Treasury</w:t>
            </w:r>
            <w:r>
              <w:rPr>
                <w:rFonts w:ascii="Arial" w:cs="Arial" w:eastAsia="Arial" w:hAnsi="Arial"/>
                <w:sz w:val="16"/>
                <w:szCs w:val="16"/>
                <w:b w:val="1"/>
                <w:bCs w:val="1"/>
                <w:color w:val="auto"/>
                <w:w w:val="98"/>
                <w:vertAlign w:val="superscript"/>
              </w:rPr>
              <w:t>(1)</w:t>
            </w: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620" w:type="dxa"/>
            <w:vAlign w:val="bottom"/>
            <w:vMerge w:val="restart"/>
          </w:tcPr>
          <w:p>
            <w:pPr>
              <w:ind w:left="20"/>
              <w:spacing w:after="0" w:line="95" w:lineRule="exact"/>
              <w:rPr>
                <w:sz w:val="20"/>
                <w:szCs w:val="20"/>
                <w:color w:val="auto"/>
              </w:rPr>
            </w:pPr>
            <w:r>
              <w:rPr>
                <w:rFonts w:ascii="Arial" w:cs="Arial" w:eastAsia="Arial" w:hAnsi="Arial"/>
                <w:sz w:val="10"/>
                <w:szCs w:val="10"/>
                <w:b w:val="1"/>
                <w:bCs w:val="1"/>
                <w:color w:val="auto"/>
              </w:rPr>
              <w:t>(Dollars in millions, except per-share data, and</w:t>
            </w: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vMerge w:val="restart"/>
          </w:tcPr>
          <w:p>
            <w:pPr>
              <w:jc w:val="right"/>
              <w:ind w:right="140"/>
              <w:spacing w:after="0" w:line="95" w:lineRule="exact"/>
              <w:rPr>
                <w:sz w:val="20"/>
                <w:szCs w:val="20"/>
                <w:color w:val="auto"/>
              </w:rPr>
            </w:pPr>
            <w:r>
              <w:rPr>
                <w:rFonts w:ascii="Arial" w:cs="Arial" w:eastAsia="Arial" w:hAnsi="Arial"/>
                <w:sz w:val="10"/>
                <w:szCs w:val="10"/>
                <w:b w:val="1"/>
                <w:bCs w:val="1"/>
                <w:color w:val="auto"/>
              </w:rPr>
              <w:t>Paid-in</w:t>
            </w:r>
          </w:p>
        </w:tc>
        <w:tc>
          <w:tcPr>
            <w:tcW w:w="240" w:type="dxa"/>
            <w:vAlign w:val="bottom"/>
          </w:tcPr>
          <w:p>
            <w:pPr>
              <w:spacing w:after="0"/>
              <w:rPr>
                <w:sz w:val="4"/>
                <w:szCs w:val="4"/>
                <w:color w:val="auto"/>
              </w:rPr>
            </w:pPr>
          </w:p>
        </w:tc>
        <w:tc>
          <w:tcPr>
            <w:tcW w:w="720" w:type="dxa"/>
            <w:vAlign w:val="bottom"/>
            <w:vMerge w:val="restart"/>
          </w:tcPr>
          <w:p>
            <w:pPr>
              <w:jc w:val="right"/>
              <w:ind w:right="159"/>
              <w:spacing w:after="0" w:line="95" w:lineRule="exact"/>
              <w:rPr>
                <w:sz w:val="20"/>
                <w:szCs w:val="20"/>
                <w:color w:val="auto"/>
              </w:rPr>
            </w:pPr>
            <w:r>
              <w:rPr>
                <w:rFonts w:ascii="Arial" w:cs="Arial" w:eastAsia="Arial" w:hAnsi="Arial"/>
                <w:sz w:val="10"/>
                <w:szCs w:val="10"/>
                <w:b w:val="1"/>
                <w:bCs w:val="1"/>
                <w:color w:val="auto"/>
              </w:rPr>
              <w:t>Retained</w:t>
            </w:r>
          </w:p>
        </w:tc>
        <w:tc>
          <w:tcPr>
            <w:tcW w:w="160" w:type="dxa"/>
            <w:vAlign w:val="bottom"/>
          </w:tcPr>
          <w:p>
            <w:pPr>
              <w:spacing w:after="0"/>
              <w:rPr>
                <w:sz w:val="4"/>
                <w:szCs w:val="4"/>
                <w:color w:val="auto"/>
              </w:rPr>
            </w:pPr>
          </w:p>
        </w:tc>
        <w:tc>
          <w:tcPr>
            <w:tcW w:w="840" w:type="dxa"/>
            <w:vAlign w:val="bottom"/>
            <w:vMerge w:val="restart"/>
          </w:tcPr>
          <w:p>
            <w:pPr>
              <w:jc w:val="right"/>
              <w:ind w:right="181"/>
              <w:spacing w:after="0" w:line="95" w:lineRule="exact"/>
              <w:rPr>
                <w:sz w:val="20"/>
                <w:szCs w:val="20"/>
                <w:color w:val="auto"/>
              </w:rPr>
            </w:pPr>
            <w:r>
              <w:rPr>
                <w:rFonts w:ascii="Arial" w:cs="Arial" w:eastAsia="Arial" w:hAnsi="Arial"/>
                <w:sz w:val="10"/>
                <w:szCs w:val="10"/>
                <w:b w:val="1"/>
                <w:bCs w:val="1"/>
                <w:color w:val="auto"/>
              </w:rPr>
              <w:t>Employee</w:t>
            </w:r>
          </w:p>
        </w:tc>
        <w:tc>
          <w:tcPr>
            <w:tcW w:w="180" w:type="dxa"/>
            <w:vAlign w:val="bottom"/>
          </w:tcPr>
          <w:p>
            <w:pPr>
              <w:spacing w:after="0"/>
              <w:rPr>
                <w:sz w:val="4"/>
                <w:szCs w:val="4"/>
                <w:color w:val="auto"/>
              </w:rPr>
            </w:pPr>
          </w:p>
        </w:tc>
        <w:tc>
          <w:tcPr>
            <w:tcW w:w="1100" w:type="dxa"/>
            <w:vAlign w:val="bottom"/>
            <w:vMerge w:val="restart"/>
          </w:tcPr>
          <w:p>
            <w:pPr>
              <w:jc w:val="right"/>
              <w:ind w:right="200"/>
              <w:spacing w:after="0" w:line="95" w:lineRule="exact"/>
              <w:rPr>
                <w:sz w:val="20"/>
                <w:szCs w:val="20"/>
                <w:color w:val="auto"/>
              </w:rPr>
            </w:pPr>
            <w:r>
              <w:rPr>
                <w:rFonts w:ascii="Arial" w:cs="Arial" w:eastAsia="Arial" w:hAnsi="Arial"/>
                <w:sz w:val="10"/>
                <w:szCs w:val="10"/>
                <w:b w:val="1"/>
                <w:bCs w:val="1"/>
                <w:color w:val="auto"/>
              </w:rPr>
              <w:t>Comprehensive</w:t>
            </w:r>
          </w:p>
        </w:tc>
        <w:tc>
          <w:tcPr>
            <w:tcW w:w="7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980" w:type="dxa"/>
            <w:vAlign w:val="bottom"/>
            <w:vMerge w:val="restart"/>
          </w:tcPr>
          <w:p>
            <w:pPr>
              <w:jc w:val="right"/>
              <w:ind w:right="119"/>
              <w:spacing w:after="0" w:line="95" w:lineRule="exact"/>
              <w:rPr>
                <w:sz w:val="20"/>
                <w:szCs w:val="20"/>
                <w:color w:val="auto"/>
              </w:rPr>
            </w:pPr>
            <w:r>
              <w:rPr>
                <w:rFonts w:ascii="Arial" w:cs="Arial" w:eastAsia="Arial" w:hAnsi="Arial"/>
                <w:sz w:val="10"/>
                <w:szCs w:val="10"/>
                <w:b w:val="1"/>
                <w:bCs w:val="1"/>
                <w:color w:val="auto"/>
              </w:rPr>
              <w:t>Noncontrolling</w:t>
            </w:r>
          </w:p>
        </w:tc>
        <w:tc>
          <w:tcPr>
            <w:tcW w:w="0" w:type="dxa"/>
            <w:vAlign w:val="bottom"/>
          </w:tcPr>
          <w:p>
            <w:pPr>
              <w:spacing w:after="0"/>
              <w:rPr>
                <w:sz w:val="1"/>
                <w:szCs w:val="1"/>
                <w:color w:val="auto"/>
              </w:rPr>
            </w:pPr>
          </w:p>
        </w:tc>
      </w:tr>
      <w:tr>
        <w:trPr>
          <w:trHeight w:val="20"/>
        </w:trPr>
        <w:tc>
          <w:tcPr>
            <w:tcW w:w="2620" w:type="dxa"/>
            <w:vAlign w:val="bottom"/>
            <w:vMerge w:val="continue"/>
          </w:tcPr>
          <w:p>
            <w:pPr>
              <w:spacing w:after="0" w:line="20" w:lineRule="exact"/>
              <w:rPr>
                <w:sz w:val="1"/>
                <w:szCs w:val="1"/>
                <w:color w:val="auto"/>
              </w:rPr>
            </w:pPr>
          </w:p>
        </w:tc>
        <w:tc>
          <w:tcPr>
            <w:tcW w:w="900" w:type="dxa"/>
            <w:vAlign w:val="bottom"/>
            <w:vMerge w:val="restart"/>
          </w:tcPr>
          <w:p>
            <w:pPr>
              <w:jc w:val="right"/>
              <w:ind w:right="239"/>
              <w:spacing w:after="0"/>
              <w:rPr>
                <w:sz w:val="20"/>
                <w:szCs w:val="20"/>
                <w:color w:val="auto"/>
              </w:rPr>
            </w:pPr>
            <w:r>
              <w:rPr>
                <w:rFonts w:ascii="Arial" w:cs="Arial" w:eastAsia="Arial" w:hAnsi="Arial"/>
                <w:sz w:val="11"/>
                <w:szCs w:val="11"/>
                <w:b w:val="1"/>
                <w:bCs w:val="1"/>
                <w:color w:val="auto"/>
              </w:rPr>
              <w:t>Shares</w:t>
            </w:r>
          </w:p>
        </w:tc>
        <w:tc>
          <w:tcPr>
            <w:tcW w:w="160" w:type="dxa"/>
            <w:vAlign w:val="bottom"/>
          </w:tcPr>
          <w:p>
            <w:pPr>
              <w:spacing w:after="0" w:line="20" w:lineRule="exact"/>
              <w:rPr>
                <w:sz w:val="1"/>
                <w:szCs w:val="1"/>
                <w:color w:val="auto"/>
              </w:rPr>
            </w:pPr>
          </w:p>
        </w:tc>
        <w:tc>
          <w:tcPr>
            <w:tcW w:w="560" w:type="dxa"/>
            <w:vAlign w:val="bottom"/>
            <w:vMerge w:val="restart"/>
          </w:tcPr>
          <w:p>
            <w:pPr>
              <w:jc w:val="right"/>
              <w:ind w:right="58"/>
              <w:spacing w:after="0"/>
              <w:rPr>
                <w:sz w:val="20"/>
                <w:szCs w:val="20"/>
                <w:color w:val="auto"/>
              </w:rPr>
            </w:pPr>
            <w:r>
              <w:rPr>
                <w:rFonts w:ascii="Arial" w:cs="Arial" w:eastAsia="Arial" w:hAnsi="Arial"/>
                <w:sz w:val="11"/>
                <w:szCs w:val="11"/>
                <w:b w:val="1"/>
                <w:bCs w:val="1"/>
                <w:color w:val="auto"/>
              </w:rPr>
              <w:t>Amount</w:t>
            </w:r>
          </w:p>
        </w:tc>
        <w:tc>
          <w:tcPr>
            <w:tcW w:w="22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vMerge w:val="continue"/>
          </w:tcPr>
          <w:p>
            <w:pPr>
              <w:spacing w:after="0" w:line="20" w:lineRule="exact"/>
              <w:rPr>
                <w:sz w:val="1"/>
                <w:szCs w:val="1"/>
                <w:color w:val="auto"/>
              </w:rPr>
            </w:pPr>
          </w:p>
        </w:tc>
        <w:tc>
          <w:tcPr>
            <w:tcW w:w="780" w:type="dxa"/>
            <w:vAlign w:val="bottom"/>
            <w:vMerge w:val="restart"/>
          </w:tcPr>
          <w:p>
            <w:pPr>
              <w:jc w:val="right"/>
              <w:ind w:right="179"/>
              <w:spacing w:after="0"/>
              <w:rPr>
                <w:sz w:val="20"/>
                <w:szCs w:val="20"/>
                <w:color w:val="auto"/>
              </w:rPr>
            </w:pPr>
            <w:r>
              <w:rPr>
                <w:rFonts w:ascii="Arial" w:cs="Arial" w:eastAsia="Arial" w:hAnsi="Arial"/>
                <w:sz w:val="11"/>
                <w:szCs w:val="11"/>
                <w:b w:val="1"/>
                <w:bCs w:val="1"/>
                <w:color w:val="auto"/>
              </w:rPr>
              <w:t>Shares</w:t>
            </w:r>
          </w:p>
        </w:tc>
        <w:tc>
          <w:tcPr>
            <w:tcW w:w="180" w:type="dxa"/>
            <w:vAlign w:val="bottom"/>
          </w:tcPr>
          <w:p>
            <w:pPr>
              <w:spacing w:after="0" w:line="20" w:lineRule="exact"/>
              <w:rPr>
                <w:sz w:val="1"/>
                <w:szCs w:val="1"/>
                <w:color w:val="auto"/>
              </w:rPr>
            </w:pPr>
          </w:p>
        </w:tc>
        <w:tc>
          <w:tcPr>
            <w:tcW w:w="660" w:type="dxa"/>
            <w:vAlign w:val="bottom"/>
            <w:vMerge w:val="restart"/>
          </w:tcPr>
          <w:p>
            <w:pPr>
              <w:jc w:val="right"/>
              <w:ind w:right="138"/>
              <w:spacing w:after="0"/>
              <w:rPr>
                <w:sz w:val="20"/>
                <w:szCs w:val="20"/>
                <w:color w:val="auto"/>
              </w:rPr>
            </w:pPr>
            <w:r>
              <w:rPr>
                <w:rFonts w:ascii="Arial" w:cs="Arial" w:eastAsia="Arial" w:hAnsi="Arial"/>
                <w:sz w:val="11"/>
                <w:szCs w:val="11"/>
                <w:b w:val="1"/>
                <w:bCs w:val="1"/>
                <w:color w:val="auto"/>
              </w:rPr>
              <w:t>Amount</w:t>
            </w:r>
          </w:p>
        </w:tc>
        <w:tc>
          <w:tcPr>
            <w:tcW w:w="22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20" w:type="dxa"/>
            <w:vAlign w:val="bottom"/>
          </w:tcPr>
          <w:p>
            <w:pPr>
              <w:ind w:left="20"/>
              <w:spacing w:after="0"/>
              <w:rPr>
                <w:sz w:val="20"/>
                <w:szCs w:val="20"/>
                <w:color w:val="auto"/>
              </w:rPr>
            </w:pPr>
            <w:r>
              <w:rPr>
                <w:rFonts w:ascii="Arial" w:cs="Arial" w:eastAsia="Arial" w:hAnsi="Arial"/>
                <w:sz w:val="11"/>
                <w:szCs w:val="11"/>
                <w:b w:val="1"/>
                <w:bCs w:val="1"/>
                <w:color w:val="auto"/>
              </w:rPr>
              <w:t>shares in thousands)</w:t>
            </w:r>
          </w:p>
        </w:tc>
        <w:tc>
          <w:tcPr>
            <w:tcW w:w="9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right"/>
              <w:ind w:right="140"/>
              <w:spacing w:after="0"/>
              <w:rPr>
                <w:sz w:val="20"/>
                <w:szCs w:val="20"/>
                <w:color w:val="auto"/>
              </w:rPr>
            </w:pPr>
            <w:r>
              <w:rPr>
                <w:rFonts w:ascii="Arial" w:cs="Arial" w:eastAsia="Arial" w:hAnsi="Arial"/>
                <w:sz w:val="11"/>
                <w:szCs w:val="11"/>
                <w:b w:val="1"/>
                <w:bCs w:val="1"/>
                <w:color w:val="auto"/>
              </w:rPr>
              <w:t>Capital</w:t>
            </w:r>
          </w:p>
        </w:tc>
        <w:tc>
          <w:tcPr>
            <w:tcW w:w="240" w:type="dxa"/>
            <w:vAlign w:val="bottom"/>
          </w:tcPr>
          <w:p>
            <w:pPr>
              <w:spacing w:after="0"/>
              <w:rPr>
                <w:sz w:val="12"/>
                <w:szCs w:val="12"/>
                <w:color w:val="auto"/>
              </w:rPr>
            </w:pPr>
          </w:p>
        </w:tc>
        <w:tc>
          <w:tcPr>
            <w:tcW w:w="720" w:type="dxa"/>
            <w:vAlign w:val="bottom"/>
          </w:tcPr>
          <w:p>
            <w:pPr>
              <w:jc w:val="right"/>
              <w:ind w:right="159"/>
              <w:spacing w:after="0"/>
              <w:rPr>
                <w:sz w:val="20"/>
                <w:szCs w:val="20"/>
                <w:color w:val="auto"/>
              </w:rPr>
            </w:pPr>
            <w:r>
              <w:rPr>
                <w:rFonts w:ascii="Arial" w:cs="Arial" w:eastAsia="Arial" w:hAnsi="Arial"/>
                <w:sz w:val="11"/>
                <w:szCs w:val="11"/>
                <w:b w:val="1"/>
                <w:bCs w:val="1"/>
                <w:color w:val="auto"/>
              </w:rPr>
              <w:t>Earnings</w:t>
            </w:r>
          </w:p>
        </w:tc>
        <w:tc>
          <w:tcPr>
            <w:tcW w:w="160" w:type="dxa"/>
            <w:vAlign w:val="bottom"/>
          </w:tcPr>
          <w:p>
            <w:pPr>
              <w:spacing w:after="0"/>
              <w:rPr>
                <w:sz w:val="12"/>
                <w:szCs w:val="12"/>
                <w:color w:val="auto"/>
              </w:rPr>
            </w:pPr>
          </w:p>
        </w:tc>
        <w:tc>
          <w:tcPr>
            <w:tcW w:w="840" w:type="dxa"/>
            <w:vAlign w:val="bottom"/>
          </w:tcPr>
          <w:p>
            <w:pPr>
              <w:jc w:val="right"/>
              <w:ind w:right="121"/>
              <w:spacing w:after="0"/>
              <w:rPr>
                <w:sz w:val="20"/>
                <w:szCs w:val="20"/>
                <w:color w:val="auto"/>
              </w:rPr>
            </w:pPr>
            <w:r>
              <w:rPr>
                <w:rFonts w:ascii="Arial" w:cs="Arial" w:eastAsia="Arial" w:hAnsi="Arial"/>
                <w:sz w:val="11"/>
                <w:szCs w:val="11"/>
                <w:b w:val="1"/>
                <w:bCs w:val="1"/>
                <w:color w:val="auto"/>
                <w:w w:val="94"/>
              </w:rPr>
              <w:t>Benefit Trust</w:t>
            </w:r>
          </w:p>
        </w:tc>
        <w:tc>
          <w:tcPr>
            <w:tcW w:w="180" w:type="dxa"/>
            <w:vAlign w:val="bottom"/>
          </w:tcPr>
          <w:p>
            <w:pPr>
              <w:spacing w:after="0"/>
              <w:rPr>
                <w:sz w:val="12"/>
                <w:szCs w:val="12"/>
                <w:color w:val="auto"/>
              </w:rPr>
            </w:pPr>
          </w:p>
        </w:tc>
        <w:tc>
          <w:tcPr>
            <w:tcW w:w="1100" w:type="dxa"/>
            <w:vAlign w:val="bottom"/>
          </w:tcPr>
          <w:p>
            <w:pPr>
              <w:jc w:val="right"/>
              <w:ind w:right="480"/>
              <w:spacing w:after="0"/>
              <w:rPr>
                <w:sz w:val="20"/>
                <w:szCs w:val="20"/>
                <w:color w:val="auto"/>
              </w:rPr>
            </w:pPr>
            <w:r>
              <w:rPr>
                <w:rFonts w:ascii="Arial" w:cs="Arial" w:eastAsia="Arial" w:hAnsi="Arial"/>
                <w:sz w:val="11"/>
                <w:szCs w:val="11"/>
                <w:b w:val="1"/>
                <w:bCs w:val="1"/>
                <w:color w:val="auto"/>
              </w:rPr>
              <w:t>Loss</w:t>
            </w:r>
          </w:p>
        </w:tc>
        <w:tc>
          <w:tcPr>
            <w:tcW w:w="7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right"/>
              <w:ind w:right="279"/>
              <w:spacing w:after="0"/>
              <w:rPr>
                <w:sz w:val="20"/>
                <w:szCs w:val="20"/>
                <w:color w:val="auto"/>
              </w:rPr>
            </w:pPr>
            <w:r>
              <w:rPr>
                <w:rFonts w:ascii="Arial" w:cs="Arial" w:eastAsia="Arial" w:hAnsi="Arial"/>
                <w:sz w:val="11"/>
                <w:szCs w:val="11"/>
                <w:b w:val="1"/>
                <w:bCs w:val="1"/>
                <w:color w:val="auto"/>
              </w:rPr>
              <w:t>Interests</w:t>
            </w:r>
          </w:p>
        </w:tc>
        <w:tc>
          <w:tcPr>
            <w:tcW w:w="0" w:type="dxa"/>
            <w:vAlign w:val="bottom"/>
          </w:tcPr>
          <w:p>
            <w:pPr>
              <w:spacing w:after="0"/>
              <w:rPr>
                <w:sz w:val="1"/>
                <w:szCs w:val="1"/>
                <w:color w:val="auto"/>
              </w:rPr>
            </w:pPr>
          </w:p>
        </w:tc>
      </w:tr>
      <w:tr>
        <w:trPr>
          <w:trHeight w:val="20"/>
        </w:trPr>
        <w:tc>
          <w:tcPr>
            <w:tcW w:w="26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April 1, 2020</w:t>
            </w: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956,929</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598.1</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6,556.1</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5,879.4</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21"/>
              <w:spacing w:after="0"/>
              <w:rPr>
                <w:sz w:val="20"/>
                <w:szCs w:val="20"/>
                <w:color w:val="auto"/>
              </w:rPr>
            </w:pPr>
            <w:r>
              <w:rPr>
                <w:rFonts w:ascii="Arial" w:cs="Arial" w:eastAsia="Arial" w:hAnsi="Arial"/>
                <w:sz w:val="13"/>
                <w:szCs w:val="13"/>
                <w:color w:val="auto"/>
              </w:rPr>
              <w:t>(3,013.2)</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80"/>
              <w:spacing w:after="0"/>
              <w:rPr>
                <w:sz w:val="20"/>
                <w:szCs w:val="20"/>
                <w:color w:val="auto"/>
              </w:rPr>
            </w:pPr>
            <w:r>
              <w:rPr>
                <w:rFonts w:ascii="Arial" w:cs="Arial" w:eastAsia="Arial" w:hAnsi="Arial"/>
                <w:sz w:val="13"/>
                <w:szCs w:val="13"/>
                <w:color w:val="auto"/>
              </w:rPr>
              <w:t>(6,885.9)</w:t>
            </w: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487</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(55.7)</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118.4</w:t>
            </w:r>
          </w:p>
        </w:tc>
        <w:tc>
          <w:tcPr>
            <w:tcW w:w="0" w:type="dxa"/>
            <w:vAlign w:val="bottom"/>
          </w:tcPr>
          <w:p>
            <w:pPr>
              <w:spacing w:after="0"/>
              <w:rPr>
                <w:sz w:val="1"/>
                <w:szCs w:val="1"/>
                <w:color w:val="auto"/>
              </w:rPr>
            </w:pPr>
          </w:p>
        </w:tc>
      </w:tr>
      <w:tr>
        <w:trPr>
          <w:trHeight w:val="167"/>
        </w:trPr>
        <w:tc>
          <w:tcPr>
            <w:tcW w:w="262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jc w:val="right"/>
              <w:ind w:right="59"/>
              <w:spacing w:after="0"/>
              <w:rPr>
                <w:sz w:val="20"/>
                <w:szCs w:val="20"/>
                <w:color w:val="auto"/>
              </w:rPr>
            </w:pPr>
            <w:r>
              <w:rPr>
                <w:rFonts w:ascii="Arial" w:cs="Arial" w:eastAsia="Arial" w:hAnsi="Arial"/>
                <w:sz w:val="13"/>
                <w:szCs w:val="13"/>
                <w:color w:val="auto"/>
              </w:rPr>
              <w:t>1,412.0</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19"/>
              <w:spacing w:after="0"/>
              <w:rPr>
                <w:sz w:val="20"/>
                <w:szCs w:val="20"/>
                <w:color w:val="auto"/>
              </w:rPr>
            </w:pPr>
            <w:r>
              <w:rPr>
                <w:rFonts w:ascii="Arial" w:cs="Arial" w:eastAsia="Arial" w:hAnsi="Arial"/>
                <w:sz w:val="13"/>
                <w:szCs w:val="13"/>
                <w:color w:val="auto"/>
              </w:rPr>
              <w:t>74.5</w:t>
            </w:r>
          </w:p>
        </w:tc>
        <w:tc>
          <w:tcPr>
            <w:tcW w:w="0" w:type="dxa"/>
            <w:vAlign w:val="bottom"/>
          </w:tcPr>
          <w:p>
            <w:pPr>
              <w:spacing w:after="0"/>
              <w:rPr>
                <w:sz w:val="1"/>
                <w:szCs w:val="1"/>
                <w:color w:val="auto"/>
              </w:rPr>
            </w:pPr>
          </w:p>
        </w:tc>
      </w:tr>
      <w:tr>
        <w:trPr>
          <w:trHeight w:val="184"/>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comprehensive income, net of tax</w:t>
            </w: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20"/>
              <w:spacing w:after="0"/>
              <w:rPr>
                <w:sz w:val="20"/>
                <w:szCs w:val="20"/>
                <w:color w:val="auto"/>
              </w:rPr>
            </w:pPr>
            <w:r>
              <w:rPr>
                <w:rFonts w:ascii="Arial" w:cs="Arial" w:eastAsia="Arial" w:hAnsi="Arial"/>
                <w:sz w:val="13"/>
                <w:szCs w:val="13"/>
                <w:color w:val="auto"/>
              </w:rPr>
              <w:t>203.0</w:t>
            </w: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620" w:type="dxa"/>
            <w:vAlign w:val="bottom"/>
          </w:tcPr>
          <w:p>
            <w:pPr>
              <w:ind w:left="20"/>
              <w:spacing w:after="0"/>
              <w:rPr>
                <w:sz w:val="20"/>
                <w:szCs w:val="20"/>
                <w:color w:val="auto"/>
              </w:rPr>
            </w:pPr>
            <w:r>
              <w:rPr>
                <w:rFonts w:ascii="Arial" w:cs="Arial" w:eastAsia="Arial" w:hAnsi="Arial"/>
                <w:sz w:val="13"/>
                <w:szCs w:val="13"/>
                <w:color w:val="auto"/>
              </w:rPr>
              <w:t>Cash dividends declared per share: $0.74</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jc w:val="right"/>
              <w:ind w:right="19"/>
              <w:spacing w:after="0"/>
              <w:rPr>
                <w:sz w:val="20"/>
                <w:szCs w:val="20"/>
                <w:color w:val="auto"/>
              </w:rPr>
            </w:pPr>
            <w:r>
              <w:rPr>
                <w:rFonts w:ascii="Arial" w:cs="Arial" w:eastAsia="Arial" w:hAnsi="Arial"/>
                <w:sz w:val="13"/>
                <w:szCs w:val="13"/>
                <w:color w:val="auto"/>
              </w:rPr>
              <w:t>(674.0)</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620" w:type="dxa"/>
            <w:vAlign w:val="bottom"/>
            <w:shd w:val="clear" w:color="auto" w:fill="CCEEFF"/>
          </w:tcPr>
          <w:p>
            <w:pPr>
              <w:ind w:left="20"/>
              <w:spacing w:after="0" w:line="137" w:lineRule="exact"/>
              <w:rPr>
                <w:sz w:val="20"/>
                <w:szCs w:val="20"/>
                <w:color w:val="auto"/>
              </w:rPr>
            </w:pPr>
            <w:r>
              <w:rPr>
                <w:rFonts w:ascii="Arial" w:cs="Arial" w:eastAsia="Arial" w:hAnsi="Arial"/>
                <w:sz w:val="13"/>
                <w:szCs w:val="13"/>
                <w:color w:val="auto"/>
              </w:rPr>
              <w:t>Issuance of stock under employee stock</w:t>
            </w:r>
          </w:p>
        </w:tc>
        <w:tc>
          <w:tcPr>
            <w:tcW w:w="900" w:type="dxa"/>
            <w:vAlign w:val="bottom"/>
            <w:vMerge w:val="restart"/>
            <w:shd w:val="clear" w:color="auto" w:fill="CCEEFF"/>
          </w:tcPr>
          <w:p>
            <w:pPr>
              <w:jc w:val="right"/>
              <w:ind w:right="59"/>
              <w:spacing w:after="0"/>
              <w:rPr>
                <w:sz w:val="20"/>
                <w:szCs w:val="20"/>
                <w:color w:val="auto"/>
              </w:rPr>
            </w:pPr>
            <w:r>
              <w:rPr>
                <w:rFonts w:ascii="Arial" w:cs="Arial" w:eastAsia="Arial" w:hAnsi="Arial"/>
                <w:sz w:val="13"/>
                <w:szCs w:val="13"/>
                <w:color w:val="auto"/>
              </w:rPr>
              <w:t>24</w:t>
            </w:r>
          </w:p>
        </w:tc>
        <w:tc>
          <w:tcPr>
            <w:tcW w:w="16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plans, net</w:t>
            </w:r>
          </w:p>
        </w:tc>
        <w:tc>
          <w:tcPr>
            <w:tcW w:w="90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62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76.8</w:t>
            </w: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90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2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3"/>
                <w:szCs w:val="13"/>
                <w:color w:val="auto"/>
              </w:rPr>
              <w:t>(0.2)</w:t>
            </w:r>
          </w:p>
        </w:tc>
        <w:tc>
          <w:tcPr>
            <w:tcW w:w="1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(13.8)</w:t>
            </w:r>
          </w:p>
        </w:tc>
        <w:tc>
          <w:tcPr>
            <w:tcW w:w="0" w:type="dxa"/>
            <w:vAlign w:val="bottom"/>
          </w:tcPr>
          <w:p>
            <w:pPr>
              <w:spacing w:after="0"/>
              <w:rPr>
                <w:sz w:val="1"/>
                <w:szCs w:val="1"/>
                <w:color w:val="auto"/>
              </w:rPr>
            </w:pPr>
          </w:p>
        </w:tc>
      </w:tr>
      <w:tr>
        <w:trPr>
          <w:trHeight w:val="183"/>
        </w:trPr>
        <w:tc>
          <w:tcPr>
            <w:tcW w:w="26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Balance at June 30, 2020</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color w:val="auto"/>
              </w:rPr>
              <w:t>956,953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598.1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6,629.4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color w:val="auto"/>
              </w:rPr>
              <w:t>6,617.2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21"/>
              <w:spacing w:after="0"/>
              <w:rPr>
                <w:sz w:val="20"/>
                <w:szCs w:val="20"/>
                <w:color w:val="auto"/>
              </w:rPr>
            </w:pPr>
            <w:r>
              <w:rPr>
                <w:rFonts w:ascii="Arial" w:cs="Arial" w:eastAsia="Arial" w:hAnsi="Arial"/>
                <w:sz w:val="13"/>
                <w:szCs w:val="13"/>
                <w:color w:val="auto"/>
              </w:rPr>
              <w:t>(3,013.2)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ind w:right="80"/>
              <w:spacing w:after="0"/>
              <w:rPr>
                <w:sz w:val="20"/>
                <w:szCs w:val="20"/>
                <w:color w:val="auto"/>
              </w:rPr>
            </w:pPr>
            <w:r>
              <w:rPr>
                <w:rFonts w:ascii="Arial" w:cs="Arial" w:eastAsia="Arial" w:hAnsi="Arial"/>
                <w:sz w:val="13"/>
                <w:szCs w:val="13"/>
                <w:color w:val="auto"/>
              </w:rPr>
              <w:t>(6,682.9)</w:t>
            </w: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color w:val="auto"/>
              </w:rPr>
              <w:t>487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3"/>
                <w:szCs w:val="13"/>
                <w:color w:val="auto"/>
              </w:rPr>
              <w:t>179.1</w:t>
            </w:r>
          </w:p>
        </w:tc>
        <w:tc>
          <w:tcPr>
            <w:tcW w:w="0" w:type="dxa"/>
            <w:vAlign w:val="bottom"/>
          </w:tcPr>
          <w:p>
            <w:pPr>
              <w:spacing w:after="0"/>
              <w:rPr>
                <w:sz w:val="1"/>
                <w:szCs w:val="1"/>
                <w:color w:val="auto"/>
              </w:rPr>
            </w:pPr>
          </w:p>
        </w:tc>
      </w:tr>
      <w:tr>
        <w:trPr>
          <w:trHeight w:val="257"/>
        </w:trPr>
        <w:tc>
          <w:tcPr>
            <w:tcW w:w="26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2620" w:type="dxa"/>
            <w:vAlign w:val="bottom"/>
          </w:tcPr>
          <w:p>
            <w:pPr>
              <w:ind w:left="20"/>
              <w:spacing w:after="0"/>
              <w:rPr>
                <w:sz w:val="20"/>
                <w:szCs w:val="20"/>
                <w:color w:val="auto"/>
              </w:rPr>
            </w:pPr>
            <w:r>
              <w:rPr>
                <w:rFonts w:ascii="Arial" w:cs="Arial" w:eastAsia="Arial" w:hAnsi="Arial"/>
                <w:sz w:val="13"/>
                <w:szCs w:val="13"/>
                <w:color w:val="auto"/>
              </w:rPr>
              <w:t>Balance at April 1, 2021</w:t>
            </w:r>
          </w:p>
        </w:tc>
        <w:tc>
          <w:tcPr>
            <w:tcW w:w="900" w:type="dxa"/>
            <w:vAlign w:val="bottom"/>
          </w:tcPr>
          <w:p>
            <w:pPr>
              <w:jc w:val="right"/>
              <w:ind w:right="59"/>
              <w:spacing w:after="0"/>
              <w:rPr>
                <w:sz w:val="20"/>
                <w:szCs w:val="20"/>
                <w:color w:val="auto"/>
              </w:rPr>
            </w:pPr>
            <w:r>
              <w:rPr>
                <w:rFonts w:ascii="Arial" w:cs="Arial" w:eastAsia="Arial" w:hAnsi="Arial"/>
                <w:sz w:val="13"/>
                <w:szCs w:val="13"/>
                <w:b w:val="1"/>
                <w:bCs w:val="1"/>
                <w:color w:val="auto"/>
              </w:rPr>
              <w:t>959,482</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560" w:type="dxa"/>
            <w:vAlign w:val="bottom"/>
          </w:tcPr>
          <w:p>
            <w:pPr>
              <w:jc w:val="right"/>
              <w:spacing w:after="0"/>
              <w:rPr>
                <w:sz w:val="20"/>
                <w:szCs w:val="20"/>
                <w:color w:val="auto"/>
              </w:rPr>
            </w:pPr>
            <w:r>
              <w:rPr>
                <w:rFonts w:ascii="Arial" w:cs="Arial" w:eastAsia="Arial" w:hAnsi="Arial"/>
                <w:sz w:val="13"/>
                <w:szCs w:val="13"/>
                <w:b w:val="1"/>
                <w:bCs w:val="1"/>
                <w:color w:val="auto"/>
              </w:rPr>
              <w:t>599.7</w:t>
            </w:r>
          </w:p>
        </w:tc>
        <w:tc>
          <w:tcPr>
            <w:tcW w:w="2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6,579.2</w:t>
            </w:r>
          </w:p>
        </w:tc>
        <w:tc>
          <w:tcPr>
            <w:tcW w:w="2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20" w:type="dxa"/>
            <w:vAlign w:val="bottom"/>
          </w:tcPr>
          <w:p>
            <w:pPr>
              <w:jc w:val="right"/>
              <w:ind w:right="59"/>
              <w:spacing w:after="0"/>
              <w:rPr>
                <w:sz w:val="20"/>
                <w:szCs w:val="20"/>
                <w:color w:val="auto"/>
              </w:rPr>
            </w:pPr>
            <w:r>
              <w:rPr>
                <w:rFonts w:ascii="Arial" w:cs="Arial" w:eastAsia="Arial" w:hAnsi="Arial"/>
                <w:sz w:val="13"/>
                <w:szCs w:val="13"/>
                <w:b w:val="1"/>
                <w:bCs w:val="1"/>
                <w:color w:val="auto"/>
              </w:rPr>
              <w:t>9,181.3</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40" w:type="dxa"/>
            <w:vAlign w:val="bottom"/>
          </w:tcPr>
          <w:p>
            <w:pPr>
              <w:jc w:val="right"/>
              <w:ind w:right="21"/>
              <w:spacing w:after="0"/>
              <w:rPr>
                <w:sz w:val="20"/>
                <w:szCs w:val="20"/>
                <w:color w:val="auto"/>
              </w:rPr>
            </w:pPr>
            <w:r>
              <w:rPr>
                <w:rFonts w:ascii="Arial" w:cs="Arial" w:eastAsia="Arial" w:hAnsi="Arial"/>
                <w:sz w:val="13"/>
                <w:szCs w:val="13"/>
                <w:b w:val="1"/>
                <w:bCs w:val="1"/>
                <w:color w:val="auto"/>
              </w:rPr>
              <w:t>(3,013.2)</w:t>
            </w:r>
          </w:p>
        </w:tc>
        <w:tc>
          <w:tcPr>
            <w:tcW w:w="1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00" w:type="dxa"/>
            <w:vAlign w:val="bottom"/>
          </w:tcPr>
          <w:p>
            <w:pPr>
              <w:jc w:val="right"/>
              <w:ind w:right="80"/>
              <w:spacing w:after="0"/>
              <w:rPr>
                <w:sz w:val="20"/>
                <w:szCs w:val="20"/>
                <w:color w:val="auto"/>
              </w:rPr>
            </w:pPr>
            <w:r>
              <w:rPr>
                <w:rFonts w:ascii="Arial" w:cs="Arial" w:eastAsia="Arial" w:hAnsi="Arial"/>
                <w:sz w:val="13"/>
                <w:szCs w:val="13"/>
                <w:b w:val="1"/>
                <w:bCs w:val="1"/>
                <w:color w:val="auto"/>
              </w:rPr>
              <w:t>(6,395.6)</w:t>
            </w:r>
          </w:p>
        </w:tc>
        <w:tc>
          <w:tcPr>
            <w:tcW w:w="780" w:type="dxa"/>
            <w:vAlign w:val="bottom"/>
          </w:tcPr>
          <w:p>
            <w:pPr>
              <w:jc w:val="right"/>
              <w:ind w:right="59"/>
              <w:spacing w:after="0"/>
              <w:rPr>
                <w:sz w:val="20"/>
                <w:szCs w:val="20"/>
                <w:color w:val="auto"/>
              </w:rPr>
            </w:pPr>
            <w:r>
              <w:rPr>
                <w:rFonts w:ascii="Arial" w:cs="Arial" w:eastAsia="Arial" w:hAnsi="Arial"/>
                <w:sz w:val="13"/>
                <w:szCs w:val="13"/>
                <w:b w:val="1"/>
                <w:bCs w:val="1"/>
                <w:color w:val="auto"/>
              </w:rPr>
              <w:t>463</w:t>
            </w:r>
          </w:p>
        </w:tc>
        <w:tc>
          <w:tcPr>
            <w:tcW w:w="1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(52.7)</w:t>
            </w:r>
          </w:p>
        </w:tc>
        <w:tc>
          <w:tcPr>
            <w:tcW w:w="2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980" w:type="dxa"/>
            <w:vAlign w:val="bottom"/>
          </w:tcPr>
          <w:p>
            <w:pPr>
              <w:jc w:val="right"/>
              <w:ind w:right="19"/>
              <w:spacing w:after="0"/>
              <w:rPr>
                <w:sz w:val="20"/>
                <w:szCs w:val="20"/>
                <w:color w:val="auto"/>
              </w:rPr>
            </w:pPr>
            <w:r>
              <w:rPr>
                <w:rFonts w:ascii="Arial" w:cs="Arial" w:eastAsia="Arial" w:hAnsi="Arial"/>
                <w:sz w:val="13"/>
                <w:szCs w:val="13"/>
                <w:b w:val="1"/>
                <w:bCs w:val="1"/>
                <w:color w:val="auto"/>
              </w:rPr>
              <w:t>200.6</w:t>
            </w:r>
          </w:p>
        </w:tc>
        <w:tc>
          <w:tcPr>
            <w:tcW w:w="0" w:type="dxa"/>
            <w:vAlign w:val="bottom"/>
          </w:tcPr>
          <w:p>
            <w:pPr>
              <w:spacing w:after="0"/>
              <w:rPr>
                <w:sz w:val="1"/>
                <w:szCs w:val="1"/>
                <w:color w:val="auto"/>
              </w:rPr>
            </w:pPr>
          </w:p>
        </w:tc>
      </w:tr>
      <w:tr>
        <w:trPr>
          <w:trHeight w:val="179"/>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59"/>
              <w:spacing w:after="0"/>
              <w:rPr>
                <w:sz w:val="20"/>
                <w:szCs w:val="20"/>
                <w:color w:val="auto"/>
              </w:rPr>
            </w:pPr>
            <w:r>
              <w:rPr>
                <w:rFonts w:ascii="Arial" w:cs="Arial" w:eastAsia="Arial" w:hAnsi="Arial"/>
                <w:sz w:val="13"/>
                <w:szCs w:val="13"/>
                <w:b w:val="1"/>
                <w:bCs w:val="1"/>
                <w:color w:val="auto"/>
              </w:rPr>
              <w:t>1,390.2</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3"/>
                <w:szCs w:val="13"/>
                <w:b w:val="1"/>
                <w:bCs w:val="1"/>
                <w:color w:val="auto"/>
              </w:rPr>
              <w:t>31.4</w:t>
            </w:r>
          </w:p>
        </w:tc>
        <w:tc>
          <w:tcPr>
            <w:tcW w:w="0" w:type="dxa"/>
            <w:vAlign w:val="bottom"/>
          </w:tcPr>
          <w:p>
            <w:pPr>
              <w:spacing w:after="0"/>
              <w:rPr>
                <w:sz w:val="1"/>
                <w:szCs w:val="1"/>
                <w:color w:val="auto"/>
              </w:rPr>
            </w:pPr>
          </w:p>
        </w:tc>
      </w:tr>
      <w:tr>
        <w:trPr>
          <w:trHeight w:val="172"/>
        </w:trPr>
        <w:tc>
          <w:tcPr>
            <w:tcW w:w="2620" w:type="dxa"/>
            <w:vAlign w:val="bottom"/>
          </w:tcPr>
          <w:p>
            <w:pPr>
              <w:ind w:left="20"/>
              <w:spacing w:after="0"/>
              <w:rPr>
                <w:sz w:val="20"/>
                <w:szCs w:val="20"/>
                <w:color w:val="auto"/>
              </w:rPr>
            </w:pPr>
            <w:r>
              <w:rPr>
                <w:rFonts w:ascii="Arial" w:cs="Arial" w:eastAsia="Arial" w:hAnsi="Arial"/>
                <w:sz w:val="13"/>
                <w:szCs w:val="13"/>
                <w:color w:val="auto"/>
              </w:rPr>
              <w:t>Other comprehensive income, net of tax</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120"/>
              <w:spacing w:after="0"/>
              <w:rPr>
                <w:sz w:val="20"/>
                <w:szCs w:val="20"/>
                <w:color w:val="auto"/>
              </w:rPr>
            </w:pPr>
            <w:r>
              <w:rPr>
                <w:rFonts w:ascii="Arial" w:cs="Arial" w:eastAsia="Arial" w:hAnsi="Arial"/>
                <w:sz w:val="13"/>
                <w:szCs w:val="13"/>
                <w:b w:val="1"/>
                <w:bCs w:val="1"/>
                <w:color w:val="auto"/>
              </w:rPr>
              <w:t>108.5</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dividends declared per share: $1.70</w:t>
            </w: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3"/>
                <w:szCs w:val="13"/>
                <w:b w:val="1"/>
                <w:bCs w:val="1"/>
                <w:color w:val="auto"/>
              </w:rPr>
              <w:t>(1,542.9)</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620" w:type="dxa"/>
            <w:vAlign w:val="bottom"/>
          </w:tcPr>
          <w:p>
            <w:pPr>
              <w:ind w:left="20"/>
              <w:spacing w:after="0"/>
              <w:rPr>
                <w:sz w:val="20"/>
                <w:szCs w:val="20"/>
                <w:color w:val="auto"/>
              </w:rPr>
            </w:pPr>
            <w:r>
              <w:rPr>
                <w:rFonts w:ascii="Arial" w:cs="Arial" w:eastAsia="Arial" w:hAnsi="Arial"/>
                <w:sz w:val="13"/>
                <w:szCs w:val="13"/>
                <w:color w:val="auto"/>
              </w:rPr>
              <w:t>Retirement of treasury shares</w:t>
            </w:r>
          </w:p>
        </w:tc>
        <w:tc>
          <w:tcPr>
            <w:tcW w:w="900" w:type="dxa"/>
            <w:vAlign w:val="bottom"/>
          </w:tcPr>
          <w:p>
            <w:pPr>
              <w:jc w:val="right"/>
              <w:ind w:right="19"/>
              <w:spacing w:after="0"/>
              <w:rPr>
                <w:sz w:val="20"/>
                <w:szCs w:val="20"/>
                <w:color w:val="auto"/>
              </w:rPr>
            </w:pPr>
            <w:r>
              <w:rPr>
                <w:rFonts w:ascii="Arial" w:cs="Arial" w:eastAsia="Arial" w:hAnsi="Arial"/>
                <w:sz w:val="13"/>
                <w:szCs w:val="13"/>
                <w:b w:val="1"/>
                <w:bCs w:val="1"/>
                <w:color w:val="auto"/>
              </w:rPr>
              <w:t>(2,467)</w:t>
            </w: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b w:val="1"/>
                <w:bCs w:val="1"/>
                <w:color w:val="auto"/>
              </w:rPr>
              <w:t>(1.6)</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jc w:val="right"/>
              <w:ind w:right="19"/>
              <w:spacing w:after="0"/>
              <w:rPr>
                <w:sz w:val="20"/>
                <w:szCs w:val="20"/>
                <w:color w:val="auto"/>
              </w:rPr>
            </w:pPr>
            <w:r>
              <w:rPr>
                <w:rFonts w:ascii="Arial" w:cs="Arial" w:eastAsia="Arial" w:hAnsi="Arial"/>
                <w:sz w:val="13"/>
                <w:szCs w:val="13"/>
                <w:b w:val="1"/>
                <w:bCs w:val="1"/>
                <w:color w:val="auto"/>
              </w:rPr>
              <w:t>(498.5)</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jc w:val="right"/>
              <w:ind w:right="19"/>
              <w:spacing w:after="0"/>
              <w:rPr>
                <w:sz w:val="20"/>
                <w:szCs w:val="20"/>
                <w:color w:val="auto"/>
              </w:rPr>
            </w:pPr>
            <w:r>
              <w:rPr>
                <w:rFonts w:ascii="Arial" w:cs="Arial" w:eastAsia="Arial" w:hAnsi="Arial"/>
                <w:sz w:val="13"/>
                <w:szCs w:val="13"/>
                <w:b w:val="1"/>
                <w:bCs w:val="1"/>
                <w:color w:val="auto"/>
              </w:rPr>
              <w:t>(2,467)</w:t>
            </w:r>
          </w:p>
        </w:tc>
        <w:tc>
          <w:tcPr>
            <w:tcW w:w="180" w:type="dxa"/>
            <w:vAlign w:val="bottom"/>
          </w:tcPr>
          <w:p>
            <w:pPr>
              <w:spacing w:after="0"/>
              <w:rPr>
                <w:sz w:val="14"/>
                <w:szCs w:val="14"/>
                <w:color w:val="auto"/>
              </w:rPr>
            </w:pPr>
          </w:p>
        </w:tc>
        <w:tc>
          <w:tcPr>
            <w:tcW w:w="660" w:type="dxa"/>
            <w:vAlign w:val="bottom"/>
          </w:tcPr>
          <w:p>
            <w:pPr>
              <w:jc w:val="right"/>
              <w:ind w:right="18"/>
              <w:spacing w:after="0"/>
              <w:rPr>
                <w:sz w:val="20"/>
                <w:szCs w:val="20"/>
                <w:color w:val="auto"/>
              </w:rPr>
            </w:pPr>
            <w:r>
              <w:rPr>
                <w:rFonts w:ascii="Arial" w:cs="Arial" w:eastAsia="Arial" w:hAnsi="Arial"/>
                <w:sz w:val="13"/>
                <w:szCs w:val="13"/>
                <w:b w:val="1"/>
                <w:bCs w:val="1"/>
                <w:color w:val="auto"/>
              </w:rPr>
              <w:t>500.0</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 of treasury shares</w:t>
            </w: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3"/>
                <w:szCs w:val="13"/>
                <w:b w:val="1"/>
                <w:bCs w:val="1"/>
                <w:color w:val="auto"/>
              </w:rPr>
              <w:t>2,467</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(500.0)</w:t>
            </w: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620" w:type="dxa"/>
            <w:vAlign w:val="bottom"/>
          </w:tcPr>
          <w:p>
            <w:pPr>
              <w:ind w:left="20"/>
              <w:spacing w:after="0" w:line="129" w:lineRule="exact"/>
              <w:rPr>
                <w:sz w:val="20"/>
                <w:szCs w:val="20"/>
                <w:color w:val="auto"/>
              </w:rPr>
            </w:pPr>
            <w:r>
              <w:rPr>
                <w:rFonts w:ascii="Arial" w:cs="Arial" w:eastAsia="Arial" w:hAnsi="Arial"/>
                <w:sz w:val="13"/>
                <w:szCs w:val="13"/>
                <w:color w:val="auto"/>
              </w:rPr>
              <w:t>Issuance of stock under employee stock</w:t>
            </w:r>
          </w:p>
        </w:tc>
        <w:tc>
          <w:tcPr>
            <w:tcW w:w="900" w:type="dxa"/>
            <w:vAlign w:val="bottom"/>
            <w:vMerge w:val="restart"/>
          </w:tcPr>
          <w:p>
            <w:pPr>
              <w:jc w:val="right"/>
              <w:ind w:right="59"/>
              <w:spacing w:after="0"/>
              <w:rPr>
                <w:sz w:val="20"/>
                <w:szCs w:val="20"/>
                <w:color w:val="auto"/>
              </w:rPr>
            </w:pPr>
            <w:r>
              <w:rPr>
                <w:rFonts w:ascii="Arial" w:cs="Arial" w:eastAsia="Arial" w:hAnsi="Arial"/>
                <w:sz w:val="13"/>
                <w:szCs w:val="13"/>
                <w:b w:val="1"/>
                <w:bCs w:val="1"/>
                <w:color w:val="auto"/>
              </w:rPr>
              <w:t>23</w:t>
            </w:r>
          </w:p>
        </w:tc>
        <w:tc>
          <w:tcPr>
            <w:tcW w:w="16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(1.9)</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20" w:type="dxa"/>
            <w:vAlign w:val="bottom"/>
          </w:tcPr>
          <w:p>
            <w:pPr>
              <w:ind w:left="20"/>
              <w:spacing w:after="0"/>
              <w:rPr>
                <w:sz w:val="20"/>
                <w:szCs w:val="20"/>
                <w:color w:val="auto"/>
              </w:rPr>
            </w:pPr>
            <w:r>
              <w:rPr>
                <w:rFonts w:ascii="Arial" w:cs="Arial" w:eastAsia="Arial" w:hAnsi="Arial"/>
                <w:sz w:val="13"/>
                <w:szCs w:val="13"/>
                <w:color w:val="auto"/>
              </w:rPr>
              <w:t>plans, net</w:t>
            </w:r>
          </w:p>
        </w:tc>
        <w:tc>
          <w:tcPr>
            <w:tcW w:w="9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91.9</w:t>
            </w: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6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w:t>
            </w:r>
          </w:p>
        </w:tc>
        <w:tc>
          <w:tcPr>
            <w:tcW w:w="9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(12.9)</w:t>
            </w:r>
          </w:p>
        </w:tc>
        <w:tc>
          <w:tcPr>
            <w:tcW w:w="0" w:type="dxa"/>
            <w:vAlign w:val="bottom"/>
          </w:tcPr>
          <w:p>
            <w:pPr>
              <w:spacing w:after="0"/>
              <w:rPr>
                <w:sz w:val="1"/>
                <w:szCs w:val="1"/>
                <w:color w:val="auto"/>
              </w:rPr>
            </w:pPr>
          </w:p>
        </w:tc>
      </w:tr>
      <w:tr>
        <w:trPr>
          <w:trHeight w:val="180"/>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June 30, 2021</w:t>
            </w:r>
          </w:p>
        </w:tc>
        <w:tc>
          <w:tcPr>
            <w:tcW w:w="9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3"/>
                <w:szCs w:val="13"/>
                <w:b w:val="1"/>
                <w:bCs w:val="1"/>
                <w:color w:val="auto"/>
              </w:rPr>
              <w:t>957,038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598.1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6,669.2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3"/>
                <w:szCs w:val="13"/>
                <w:b w:val="1"/>
                <w:bCs w:val="1"/>
                <w:color w:val="auto"/>
              </w:rPr>
              <w:t>8,530.1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3"/>
                <w:szCs w:val="13"/>
                <w:b w:val="1"/>
                <w:bCs w:val="1"/>
                <w:color w:val="auto"/>
              </w:rPr>
              <w:t>(3,013.2)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1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(6,287.1)</w:t>
            </w: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3"/>
                <w:szCs w:val="13"/>
                <w:b w:val="1"/>
                <w:bCs w:val="1"/>
                <w:color w:val="auto"/>
              </w:rPr>
              <w:t>463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(52.7)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3"/>
                <w:szCs w:val="13"/>
                <w:b w:val="1"/>
                <w:bCs w:val="1"/>
                <w:color w:val="auto"/>
              </w:rPr>
              <w:t>219.1</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8" w:right="100" w:firstLine="8"/>
        <w:spacing w:after="0" w:line="232" w:lineRule="auto"/>
        <w:tabs>
          <w:tab w:leader="none" w:pos="127" w:val="left"/>
        </w:tabs>
        <w:numPr>
          <w:ilvl w:val="0"/>
          <w:numId w:val="2"/>
        </w:numPr>
        <w:rPr>
          <w:rFonts w:ascii="Arial" w:cs="Arial" w:eastAsia="Arial" w:hAnsi="Arial"/>
          <w:sz w:val="15"/>
          <w:szCs w:val="15"/>
          <w:color w:val="auto"/>
          <w:vertAlign w:val="superscript"/>
        </w:rPr>
      </w:pPr>
      <w:r>
        <w:rPr>
          <w:rFonts w:ascii="Arial" w:cs="Arial" w:eastAsia="Arial" w:hAnsi="Arial"/>
          <w:sz w:val="12"/>
          <w:szCs w:val="12"/>
          <w:color w:val="auto"/>
        </w:rPr>
        <w:t>As of June 30, 2021, there was $500.0 million remaining under our $8.00 billion share repurchase program authorized in June 2018. A $5.00 billion share repurchase program was authorized in May 2021. There were no shares repurchased under the $5.00 billion share repurchase program during the three months ended June 30, 2021.</w:t>
      </w:r>
    </w:p>
    <w:p>
      <w:pPr>
        <w:spacing w:after="0" w:line="2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886" w:right="35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42"/>
        </w:trPr>
        <w:tc>
          <w:tcPr>
            <w:tcW w:w="2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60" w:type="dxa"/>
            <w:vAlign w:val="bottom"/>
            <w:gridSpan w:val="6"/>
          </w:tcPr>
          <w:p>
            <w:pPr>
              <w:jc w:val="right"/>
              <w:ind w:right="820"/>
              <w:spacing w:after="0"/>
              <w:rPr>
                <w:sz w:val="20"/>
                <w:szCs w:val="20"/>
                <w:color w:val="auto"/>
              </w:rPr>
            </w:pPr>
            <w:r>
              <w:rPr>
                <w:rFonts w:ascii="Arial" w:cs="Arial" w:eastAsia="Arial" w:hAnsi="Arial"/>
                <w:sz w:val="11"/>
                <w:szCs w:val="11"/>
                <w:b w:val="1"/>
                <w:bCs w:val="1"/>
                <w:color w:val="auto"/>
                <w:w w:val="99"/>
              </w:rPr>
              <w:t>Equity of Eli Lilly and Company Shareholders</w:t>
            </w: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620" w:type="dxa"/>
            <w:vAlign w:val="bottom"/>
          </w:tcPr>
          <w:p>
            <w:pPr>
              <w:spacing w:after="0" w:line="20" w:lineRule="exact"/>
              <w:rPr>
                <w:sz w:val="1"/>
                <w:szCs w:val="1"/>
                <w:color w:val="auto"/>
              </w:rPr>
            </w:pPr>
          </w:p>
        </w:tc>
        <w:tc>
          <w:tcPr>
            <w:tcW w:w="1620" w:type="dxa"/>
            <w:vAlign w:val="bottom"/>
            <w:tcBorders>
              <w:bottom w:val="single" w:sz="8" w:color="auto"/>
            </w:tcBorders>
            <w:gridSpan w:val="3"/>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660" w:type="dxa"/>
            <w:vAlign w:val="bottom"/>
            <w:tcBorders>
              <w:bottom w:val="single" w:sz="8" w:color="auto"/>
            </w:tcBorders>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620" w:type="dxa"/>
            <w:vAlign w:val="bottom"/>
          </w:tcPr>
          <w:p>
            <w:pPr>
              <w:spacing w:after="0"/>
              <w:rPr>
                <w:sz w:val="20"/>
                <w:szCs w:val="20"/>
                <w:color w:val="auto"/>
              </w:rPr>
            </w:pPr>
          </w:p>
        </w:tc>
        <w:tc>
          <w:tcPr>
            <w:tcW w:w="1620" w:type="dxa"/>
            <w:vAlign w:val="bottom"/>
            <w:gridSpan w:val="3"/>
          </w:tcPr>
          <w:p>
            <w:pPr>
              <w:jc w:val="right"/>
              <w:ind w:right="358"/>
              <w:spacing w:after="0"/>
              <w:rPr>
                <w:sz w:val="20"/>
                <w:szCs w:val="20"/>
                <w:color w:val="auto"/>
              </w:rPr>
            </w:pPr>
            <w:r>
              <w:rPr>
                <w:rFonts w:ascii="Arial" w:cs="Arial" w:eastAsia="Arial" w:hAnsi="Arial"/>
                <w:sz w:val="11"/>
                <w:szCs w:val="11"/>
                <w:b w:val="1"/>
                <w:bCs w:val="1"/>
                <w:color w:val="auto"/>
              </w:rPr>
              <w:t>Common Stock</w:t>
            </w:r>
          </w:p>
        </w:tc>
        <w:tc>
          <w:tcPr>
            <w:tcW w:w="200" w:type="dxa"/>
            <w:vAlign w:val="bottom"/>
          </w:tcPr>
          <w:p>
            <w:pPr>
              <w:spacing w:after="0"/>
              <w:rPr>
                <w:sz w:val="20"/>
                <w:szCs w:val="20"/>
                <w:color w:val="auto"/>
              </w:rPr>
            </w:pPr>
          </w:p>
        </w:tc>
        <w:tc>
          <w:tcPr>
            <w:tcW w:w="700" w:type="dxa"/>
            <w:vAlign w:val="bottom"/>
          </w:tcPr>
          <w:p>
            <w:pPr>
              <w:jc w:val="right"/>
              <w:ind w:right="80"/>
              <w:spacing w:after="0"/>
              <w:rPr>
                <w:sz w:val="20"/>
                <w:szCs w:val="20"/>
                <w:color w:val="auto"/>
              </w:rPr>
            </w:pPr>
            <w:r>
              <w:rPr>
                <w:rFonts w:ascii="Arial" w:cs="Arial" w:eastAsia="Arial" w:hAnsi="Arial"/>
                <w:sz w:val="11"/>
                <w:szCs w:val="11"/>
                <w:b w:val="1"/>
                <w:bCs w:val="1"/>
                <w:color w:val="auto"/>
              </w:rPr>
              <w:t>Additional</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60" w:type="dxa"/>
            <w:vAlign w:val="bottom"/>
            <w:gridSpan w:val="2"/>
          </w:tcPr>
          <w:p>
            <w:pPr>
              <w:jc w:val="center"/>
              <w:spacing w:after="0"/>
              <w:rPr>
                <w:sz w:val="20"/>
                <w:szCs w:val="20"/>
                <w:color w:val="auto"/>
              </w:rPr>
            </w:pPr>
            <w:r>
              <w:rPr>
                <w:rFonts w:ascii="Arial" w:cs="Arial" w:eastAsia="Arial" w:hAnsi="Arial"/>
                <w:sz w:val="11"/>
                <w:szCs w:val="11"/>
                <w:b w:val="1"/>
                <w:bCs w:val="1"/>
                <w:color w:val="auto"/>
                <w:w w:val="96"/>
              </w:rPr>
              <w:t>Accumulated Other</w:t>
            </w:r>
          </w:p>
        </w:tc>
        <w:tc>
          <w:tcPr>
            <w:tcW w:w="1660" w:type="dxa"/>
            <w:vAlign w:val="bottom"/>
            <w:gridSpan w:val="3"/>
          </w:tcPr>
          <w:p>
            <w:pPr>
              <w:jc w:val="right"/>
              <w:ind w:right="18"/>
              <w:spacing w:after="0"/>
              <w:rPr>
                <w:sz w:val="20"/>
                <w:szCs w:val="20"/>
                <w:color w:val="auto"/>
              </w:rPr>
            </w:pPr>
            <w:r>
              <w:rPr>
                <w:rFonts w:ascii="Arial" w:cs="Arial" w:eastAsia="Arial" w:hAnsi="Arial"/>
                <w:sz w:val="11"/>
                <w:szCs w:val="11"/>
                <w:b w:val="1"/>
                <w:bCs w:val="1"/>
                <w:color w:val="auto"/>
                <w:w w:val="99"/>
              </w:rPr>
              <w:t>Common Stock in Treasury</w:t>
            </w:r>
            <w:r>
              <w:rPr>
                <w:rFonts w:ascii="Arial" w:cs="Arial" w:eastAsia="Arial" w:hAnsi="Arial"/>
                <w:sz w:val="16"/>
                <w:szCs w:val="16"/>
                <w:b w:val="1"/>
                <w:bCs w:val="1"/>
                <w:color w:val="auto"/>
                <w:w w:val="99"/>
                <w:vertAlign w:val="superscript"/>
              </w:rPr>
              <w:t>(1)</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620" w:type="dxa"/>
            <w:vAlign w:val="bottom"/>
            <w:vMerge w:val="restart"/>
          </w:tcPr>
          <w:p>
            <w:pPr>
              <w:ind w:left="20"/>
              <w:spacing w:after="0" w:line="95" w:lineRule="exact"/>
              <w:rPr>
                <w:sz w:val="20"/>
                <w:szCs w:val="20"/>
                <w:color w:val="auto"/>
              </w:rPr>
            </w:pPr>
            <w:r>
              <w:rPr>
                <w:rFonts w:ascii="Arial" w:cs="Arial" w:eastAsia="Arial" w:hAnsi="Arial"/>
                <w:sz w:val="10"/>
                <w:szCs w:val="10"/>
                <w:b w:val="1"/>
                <w:bCs w:val="1"/>
                <w:color w:val="auto"/>
              </w:rPr>
              <w:t>(Dollars in millions, except per-share data, and</w:t>
            </w: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vMerge w:val="restart"/>
          </w:tcPr>
          <w:p>
            <w:pPr>
              <w:jc w:val="right"/>
              <w:ind w:right="160"/>
              <w:spacing w:after="0" w:line="95" w:lineRule="exact"/>
              <w:rPr>
                <w:sz w:val="20"/>
                <w:szCs w:val="20"/>
                <w:color w:val="auto"/>
              </w:rPr>
            </w:pPr>
            <w:r>
              <w:rPr>
                <w:rFonts w:ascii="Arial" w:cs="Arial" w:eastAsia="Arial" w:hAnsi="Arial"/>
                <w:sz w:val="10"/>
                <w:szCs w:val="10"/>
                <w:b w:val="1"/>
                <w:bCs w:val="1"/>
                <w:color w:val="auto"/>
              </w:rPr>
              <w:t>Paid-in</w:t>
            </w:r>
          </w:p>
        </w:tc>
        <w:tc>
          <w:tcPr>
            <w:tcW w:w="240" w:type="dxa"/>
            <w:vAlign w:val="bottom"/>
          </w:tcPr>
          <w:p>
            <w:pPr>
              <w:spacing w:after="0"/>
              <w:rPr>
                <w:sz w:val="4"/>
                <w:szCs w:val="4"/>
                <w:color w:val="auto"/>
              </w:rPr>
            </w:pPr>
          </w:p>
        </w:tc>
        <w:tc>
          <w:tcPr>
            <w:tcW w:w="760" w:type="dxa"/>
            <w:vAlign w:val="bottom"/>
            <w:vMerge w:val="restart"/>
          </w:tcPr>
          <w:p>
            <w:pPr>
              <w:jc w:val="right"/>
              <w:ind w:right="199"/>
              <w:spacing w:after="0" w:line="95" w:lineRule="exact"/>
              <w:rPr>
                <w:sz w:val="20"/>
                <w:szCs w:val="20"/>
                <w:color w:val="auto"/>
              </w:rPr>
            </w:pPr>
            <w:r>
              <w:rPr>
                <w:rFonts w:ascii="Arial" w:cs="Arial" w:eastAsia="Arial" w:hAnsi="Arial"/>
                <w:sz w:val="10"/>
                <w:szCs w:val="10"/>
                <w:b w:val="1"/>
                <w:bCs w:val="1"/>
                <w:color w:val="auto"/>
              </w:rPr>
              <w:t>Retained</w:t>
            </w:r>
          </w:p>
        </w:tc>
        <w:tc>
          <w:tcPr>
            <w:tcW w:w="160" w:type="dxa"/>
            <w:vAlign w:val="bottom"/>
          </w:tcPr>
          <w:p>
            <w:pPr>
              <w:spacing w:after="0"/>
              <w:rPr>
                <w:sz w:val="4"/>
                <w:szCs w:val="4"/>
                <w:color w:val="auto"/>
              </w:rPr>
            </w:pPr>
          </w:p>
        </w:tc>
        <w:tc>
          <w:tcPr>
            <w:tcW w:w="840" w:type="dxa"/>
            <w:vAlign w:val="bottom"/>
            <w:vMerge w:val="restart"/>
          </w:tcPr>
          <w:p>
            <w:pPr>
              <w:jc w:val="right"/>
              <w:ind w:right="181"/>
              <w:spacing w:after="0" w:line="95" w:lineRule="exact"/>
              <w:rPr>
                <w:sz w:val="20"/>
                <w:szCs w:val="20"/>
                <w:color w:val="auto"/>
              </w:rPr>
            </w:pPr>
            <w:r>
              <w:rPr>
                <w:rFonts w:ascii="Arial" w:cs="Arial" w:eastAsia="Arial" w:hAnsi="Arial"/>
                <w:sz w:val="10"/>
                <w:szCs w:val="10"/>
                <w:b w:val="1"/>
                <w:bCs w:val="1"/>
                <w:color w:val="auto"/>
              </w:rPr>
              <w:t>Employee</w:t>
            </w:r>
          </w:p>
        </w:tc>
        <w:tc>
          <w:tcPr>
            <w:tcW w:w="180" w:type="dxa"/>
            <w:vAlign w:val="bottom"/>
          </w:tcPr>
          <w:p>
            <w:pPr>
              <w:spacing w:after="0"/>
              <w:rPr>
                <w:sz w:val="4"/>
                <w:szCs w:val="4"/>
                <w:color w:val="auto"/>
              </w:rPr>
            </w:pPr>
          </w:p>
        </w:tc>
        <w:tc>
          <w:tcPr>
            <w:tcW w:w="1080" w:type="dxa"/>
            <w:vAlign w:val="bottom"/>
            <w:vMerge w:val="restart"/>
          </w:tcPr>
          <w:p>
            <w:pPr>
              <w:jc w:val="center"/>
              <w:ind w:right="160"/>
              <w:spacing w:after="0" w:line="95" w:lineRule="exact"/>
              <w:rPr>
                <w:sz w:val="20"/>
                <w:szCs w:val="20"/>
                <w:color w:val="auto"/>
              </w:rPr>
            </w:pPr>
            <w:r>
              <w:rPr>
                <w:rFonts w:ascii="Arial" w:cs="Arial" w:eastAsia="Arial" w:hAnsi="Arial"/>
                <w:sz w:val="10"/>
                <w:szCs w:val="10"/>
                <w:b w:val="1"/>
                <w:bCs w:val="1"/>
                <w:color w:val="auto"/>
              </w:rPr>
              <w:t>Comprehensive</w:t>
            </w:r>
          </w:p>
        </w:tc>
        <w:tc>
          <w:tcPr>
            <w:tcW w:w="8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940" w:type="dxa"/>
            <w:vAlign w:val="bottom"/>
            <w:vMerge w:val="restart"/>
          </w:tcPr>
          <w:p>
            <w:pPr>
              <w:jc w:val="right"/>
              <w:ind w:right="79"/>
              <w:spacing w:after="0" w:line="95" w:lineRule="exact"/>
              <w:rPr>
                <w:sz w:val="20"/>
                <w:szCs w:val="20"/>
                <w:color w:val="auto"/>
              </w:rPr>
            </w:pPr>
            <w:r>
              <w:rPr>
                <w:rFonts w:ascii="Arial" w:cs="Arial" w:eastAsia="Arial" w:hAnsi="Arial"/>
                <w:sz w:val="10"/>
                <w:szCs w:val="10"/>
                <w:b w:val="1"/>
                <w:bCs w:val="1"/>
                <w:color w:val="auto"/>
              </w:rPr>
              <w:t>Noncontrolling</w:t>
            </w:r>
          </w:p>
        </w:tc>
        <w:tc>
          <w:tcPr>
            <w:tcW w:w="0" w:type="dxa"/>
            <w:vAlign w:val="bottom"/>
          </w:tcPr>
          <w:p>
            <w:pPr>
              <w:spacing w:after="0"/>
              <w:rPr>
                <w:sz w:val="1"/>
                <w:szCs w:val="1"/>
                <w:color w:val="auto"/>
              </w:rPr>
            </w:pPr>
          </w:p>
        </w:tc>
      </w:tr>
      <w:tr>
        <w:trPr>
          <w:trHeight w:val="20"/>
        </w:trPr>
        <w:tc>
          <w:tcPr>
            <w:tcW w:w="2620" w:type="dxa"/>
            <w:vAlign w:val="bottom"/>
            <w:vMerge w:val="continue"/>
          </w:tcPr>
          <w:p>
            <w:pPr>
              <w:spacing w:after="0" w:line="20" w:lineRule="exact"/>
              <w:rPr>
                <w:sz w:val="1"/>
                <w:szCs w:val="1"/>
                <w:color w:val="auto"/>
              </w:rPr>
            </w:pPr>
          </w:p>
        </w:tc>
        <w:tc>
          <w:tcPr>
            <w:tcW w:w="900" w:type="dxa"/>
            <w:vAlign w:val="bottom"/>
            <w:vMerge w:val="restart"/>
          </w:tcPr>
          <w:p>
            <w:pPr>
              <w:jc w:val="right"/>
              <w:ind w:right="219"/>
              <w:spacing w:after="0"/>
              <w:rPr>
                <w:sz w:val="20"/>
                <w:szCs w:val="20"/>
                <w:color w:val="auto"/>
              </w:rPr>
            </w:pPr>
            <w:r>
              <w:rPr>
                <w:rFonts w:ascii="Arial" w:cs="Arial" w:eastAsia="Arial" w:hAnsi="Arial"/>
                <w:sz w:val="11"/>
                <w:szCs w:val="11"/>
                <w:b w:val="1"/>
                <w:bCs w:val="1"/>
                <w:color w:val="auto"/>
              </w:rPr>
              <w:t>Shares</w:t>
            </w:r>
          </w:p>
        </w:tc>
        <w:tc>
          <w:tcPr>
            <w:tcW w:w="160" w:type="dxa"/>
            <w:vAlign w:val="bottom"/>
          </w:tcPr>
          <w:p>
            <w:pPr>
              <w:spacing w:after="0" w:line="20" w:lineRule="exact"/>
              <w:rPr>
                <w:sz w:val="1"/>
                <w:szCs w:val="1"/>
                <w:color w:val="auto"/>
              </w:rPr>
            </w:pPr>
          </w:p>
        </w:tc>
        <w:tc>
          <w:tcPr>
            <w:tcW w:w="560" w:type="dxa"/>
            <w:vAlign w:val="bottom"/>
            <w:vMerge w:val="restart"/>
          </w:tcPr>
          <w:p>
            <w:pPr>
              <w:jc w:val="right"/>
              <w:ind w:right="58"/>
              <w:spacing w:after="0"/>
              <w:rPr>
                <w:sz w:val="20"/>
                <w:szCs w:val="20"/>
                <w:color w:val="auto"/>
              </w:rPr>
            </w:pPr>
            <w:r>
              <w:rPr>
                <w:rFonts w:ascii="Arial" w:cs="Arial" w:eastAsia="Arial" w:hAnsi="Arial"/>
                <w:sz w:val="11"/>
                <w:szCs w:val="11"/>
                <w:b w:val="1"/>
                <w:bCs w:val="1"/>
                <w:color w:val="auto"/>
              </w:rPr>
              <w:t>Amount</w:t>
            </w:r>
          </w:p>
        </w:tc>
        <w:tc>
          <w:tcPr>
            <w:tcW w:w="200" w:type="dxa"/>
            <w:vAlign w:val="bottom"/>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840" w:type="dxa"/>
            <w:vAlign w:val="bottom"/>
            <w:vMerge w:val="restart"/>
          </w:tcPr>
          <w:p>
            <w:pPr>
              <w:jc w:val="right"/>
              <w:ind w:right="199"/>
              <w:spacing w:after="0"/>
              <w:rPr>
                <w:sz w:val="20"/>
                <w:szCs w:val="20"/>
                <w:color w:val="auto"/>
              </w:rPr>
            </w:pPr>
            <w:r>
              <w:rPr>
                <w:rFonts w:ascii="Arial" w:cs="Arial" w:eastAsia="Arial" w:hAnsi="Arial"/>
                <w:sz w:val="11"/>
                <w:szCs w:val="11"/>
                <w:b w:val="1"/>
                <w:bCs w:val="1"/>
                <w:color w:val="auto"/>
              </w:rPr>
              <w:t>Shares</w:t>
            </w:r>
          </w:p>
        </w:tc>
        <w:tc>
          <w:tcPr>
            <w:tcW w:w="200" w:type="dxa"/>
            <w:vAlign w:val="bottom"/>
          </w:tcPr>
          <w:p>
            <w:pPr>
              <w:spacing w:after="0" w:line="20" w:lineRule="exact"/>
              <w:rPr>
                <w:sz w:val="1"/>
                <w:szCs w:val="1"/>
                <w:color w:val="auto"/>
              </w:rPr>
            </w:pPr>
          </w:p>
        </w:tc>
        <w:tc>
          <w:tcPr>
            <w:tcW w:w="620" w:type="dxa"/>
            <w:vAlign w:val="bottom"/>
            <w:vMerge w:val="restart"/>
          </w:tcPr>
          <w:p>
            <w:pPr>
              <w:jc w:val="right"/>
              <w:ind w:right="118"/>
              <w:spacing w:after="0"/>
              <w:rPr>
                <w:sz w:val="20"/>
                <w:szCs w:val="20"/>
                <w:color w:val="auto"/>
              </w:rPr>
            </w:pPr>
            <w:r>
              <w:rPr>
                <w:rFonts w:ascii="Arial" w:cs="Arial" w:eastAsia="Arial" w:hAnsi="Arial"/>
                <w:sz w:val="11"/>
                <w:szCs w:val="11"/>
                <w:b w:val="1"/>
                <w:bCs w:val="1"/>
                <w:color w:val="auto"/>
              </w:rPr>
              <w:t>Amount</w:t>
            </w:r>
          </w:p>
        </w:tc>
        <w:tc>
          <w:tcPr>
            <w:tcW w:w="240" w:type="dxa"/>
            <w:vAlign w:val="bottom"/>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20" w:type="dxa"/>
            <w:vAlign w:val="bottom"/>
          </w:tcPr>
          <w:p>
            <w:pPr>
              <w:ind w:left="20"/>
              <w:spacing w:after="0"/>
              <w:rPr>
                <w:sz w:val="20"/>
                <w:szCs w:val="20"/>
                <w:color w:val="auto"/>
              </w:rPr>
            </w:pPr>
            <w:r>
              <w:rPr>
                <w:rFonts w:ascii="Arial" w:cs="Arial" w:eastAsia="Arial" w:hAnsi="Arial"/>
                <w:sz w:val="11"/>
                <w:szCs w:val="11"/>
                <w:b w:val="1"/>
                <w:bCs w:val="1"/>
                <w:color w:val="auto"/>
              </w:rPr>
              <w:t>shares in thousands)</w:t>
            </w:r>
          </w:p>
        </w:tc>
        <w:tc>
          <w:tcPr>
            <w:tcW w:w="9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160"/>
              <w:spacing w:after="0"/>
              <w:rPr>
                <w:sz w:val="20"/>
                <w:szCs w:val="20"/>
                <w:color w:val="auto"/>
              </w:rPr>
            </w:pPr>
            <w:r>
              <w:rPr>
                <w:rFonts w:ascii="Arial" w:cs="Arial" w:eastAsia="Arial" w:hAnsi="Arial"/>
                <w:sz w:val="11"/>
                <w:szCs w:val="11"/>
                <w:b w:val="1"/>
                <w:bCs w:val="1"/>
                <w:color w:val="auto"/>
              </w:rPr>
              <w:t>Capital</w:t>
            </w:r>
          </w:p>
        </w:tc>
        <w:tc>
          <w:tcPr>
            <w:tcW w:w="240" w:type="dxa"/>
            <w:vAlign w:val="bottom"/>
          </w:tcPr>
          <w:p>
            <w:pPr>
              <w:spacing w:after="0"/>
              <w:rPr>
                <w:sz w:val="12"/>
                <w:szCs w:val="12"/>
                <w:color w:val="auto"/>
              </w:rPr>
            </w:pPr>
          </w:p>
        </w:tc>
        <w:tc>
          <w:tcPr>
            <w:tcW w:w="760" w:type="dxa"/>
            <w:vAlign w:val="bottom"/>
          </w:tcPr>
          <w:p>
            <w:pPr>
              <w:jc w:val="right"/>
              <w:ind w:right="199"/>
              <w:spacing w:after="0"/>
              <w:rPr>
                <w:sz w:val="20"/>
                <w:szCs w:val="20"/>
                <w:color w:val="auto"/>
              </w:rPr>
            </w:pPr>
            <w:r>
              <w:rPr>
                <w:rFonts w:ascii="Arial" w:cs="Arial" w:eastAsia="Arial" w:hAnsi="Arial"/>
                <w:sz w:val="11"/>
                <w:szCs w:val="11"/>
                <w:b w:val="1"/>
                <w:bCs w:val="1"/>
                <w:color w:val="auto"/>
              </w:rPr>
              <w:t>Earnings</w:t>
            </w:r>
          </w:p>
        </w:tc>
        <w:tc>
          <w:tcPr>
            <w:tcW w:w="160" w:type="dxa"/>
            <w:vAlign w:val="bottom"/>
          </w:tcPr>
          <w:p>
            <w:pPr>
              <w:spacing w:after="0"/>
              <w:rPr>
                <w:sz w:val="12"/>
                <w:szCs w:val="12"/>
                <w:color w:val="auto"/>
              </w:rPr>
            </w:pPr>
          </w:p>
        </w:tc>
        <w:tc>
          <w:tcPr>
            <w:tcW w:w="840" w:type="dxa"/>
            <w:vAlign w:val="bottom"/>
          </w:tcPr>
          <w:p>
            <w:pPr>
              <w:jc w:val="right"/>
              <w:ind w:right="121"/>
              <w:spacing w:after="0"/>
              <w:rPr>
                <w:sz w:val="20"/>
                <w:szCs w:val="20"/>
                <w:color w:val="auto"/>
              </w:rPr>
            </w:pPr>
            <w:r>
              <w:rPr>
                <w:rFonts w:ascii="Arial" w:cs="Arial" w:eastAsia="Arial" w:hAnsi="Arial"/>
                <w:sz w:val="11"/>
                <w:szCs w:val="11"/>
                <w:b w:val="1"/>
                <w:bCs w:val="1"/>
                <w:color w:val="auto"/>
                <w:w w:val="94"/>
              </w:rPr>
              <w:t>Benefit Trust</w:t>
            </w:r>
          </w:p>
        </w:tc>
        <w:tc>
          <w:tcPr>
            <w:tcW w:w="180" w:type="dxa"/>
            <w:vAlign w:val="bottom"/>
          </w:tcPr>
          <w:p>
            <w:pPr>
              <w:spacing w:after="0"/>
              <w:rPr>
                <w:sz w:val="12"/>
                <w:szCs w:val="12"/>
                <w:color w:val="auto"/>
              </w:rPr>
            </w:pPr>
          </w:p>
        </w:tc>
        <w:tc>
          <w:tcPr>
            <w:tcW w:w="1080" w:type="dxa"/>
            <w:vAlign w:val="bottom"/>
          </w:tcPr>
          <w:p>
            <w:pPr>
              <w:jc w:val="center"/>
              <w:ind w:right="160"/>
              <w:spacing w:after="0"/>
              <w:rPr>
                <w:sz w:val="20"/>
                <w:szCs w:val="20"/>
                <w:color w:val="auto"/>
              </w:rPr>
            </w:pPr>
            <w:r>
              <w:rPr>
                <w:rFonts w:ascii="Arial" w:cs="Arial" w:eastAsia="Arial" w:hAnsi="Arial"/>
                <w:sz w:val="11"/>
                <w:szCs w:val="11"/>
                <w:b w:val="1"/>
                <w:bCs w:val="1"/>
                <w:color w:val="auto"/>
              </w:rPr>
              <w:t>Loss</w:t>
            </w:r>
          </w:p>
        </w:tc>
        <w:tc>
          <w:tcPr>
            <w:tcW w:w="8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ind w:right="239"/>
              <w:spacing w:after="0"/>
              <w:rPr>
                <w:sz w:val="20"/>
                <w:szCs w:val="20"/>
                <w:color w:val="auto"/>
              </w:rPr>
            </w:pPr>
            <w:r>
              <w:rPr>
                <w:rFonts w:ascii="Arial" w:cs="Arial" w:eastAsia="Arial" w:hAnsi="Arial"/>
                <w:sz w:val="11"/>
                <w:szCs w:val="11"/>
                <w:b w:val="1"/>
                <w:bCs w:val="1"/>
                <w:color w:val="auto"/>
              </w:rPr>
              <w:t>Interests</w:t>
            </w:r>
          </w:p>
        </w:tc>
        <w:tc>
          <w:tcPr>
            <w:tcW w:w="0" w:type="dxa"/>
            <w:vAlign w:val="bottom"/>
          </w:tcPr>
          <w:p>
            <w:pPr>
              <w:spacing w:after="0"/>
              <w:rPr>
                <w:sz w:val="1"/>
                <w:szCs w:val="1"/>
                <w:color w:val="auto"/>
              </w:rPr>
            </w:pPr>
          </w:p>
        </w:tc>
      </w:tr>
      <w:tr>
        <w:trPr>
          <w:trHeight w:val="20"/>
        </w:trPr>
        <w:tc>
          <w:tcPr>
            <w:tcW w:w="26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January 1, 2020</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958,056</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598.8</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20"/>
              <w:spacing w:after="0"/>
              <w:rPr>
                <w:sz w:val="20"/>
                <w:szCs w:val="20"/>
                <w:color w:val="auto"/>
              </w:rPr>
            </w:pPr>
            <w:r>
              <w:rPr>
                <w:rFonts w:ascii="Arial" w:cs="Arial" w:eastAsia="Arial" w:hAnsi="Arial"/>
                <w:sz w:val="13"/>
                <w:szCs w:val="13"/>
                <w:color w:val="auto"/>
              </w:rPr>
              <w:t>6,685.3</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4,920.4</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21"/>
              <w:spacing w:after="0"/>
              <w:rPr>
                <w:sz w:val="20"/>
                <w:szCs w:val="20"/>
                <w:color w:val="auto"/>
              </w:rPr>
            </w:pPr>
            <w:r>
              <w:rPr>
                <w:rFonts w:ascii="Arial" w:cs="Arial" w:eastAsia="Arial" w:hAnsi="Arial"/>
                <w:sz w:val="13"/>
                <w:szCs w:val="13"/>
                <w:color w:val="auto"/>
              </w:rPr>
              <w:t>(3,013.2)</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(6,523.6)</w:t>
            </w: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530</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(60.8)</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92.2</w:t>
            </w:r>
          </w:p>
        </w:tc>
        <w:tc>
          <w:tcPr>
            <w:tcW w:w="0" w:type="dxa"/>
            <w:vAlign w:val="bottom"/>
          </w:tcPr>
          <w:p>
            <w:pPr>
              <w:spacing w:after="0"/>
              <w:rPr>
                <w:sz w:val="1"/>
                <w:szCs w:val="1"/>
                <w:color w:val="auto"/>
              </w:rPr>
            </w:pPr>
          </w:p>
        </w:tc>
      </w:tr>
      <w:tr>
        <w:trPr>
          <w:trHeight w:val="168"/>
        </w:trPr>
        <w:tc>
          <w:tcPr>
            <w:tcW w:w="262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ind w:right="59"/>
              <w:spacing w:after="0"/>
              <w:rPr>
                <w:sz w:val="20"/>
                <w:szCs w:val="20"/>
                <w:color w:val="auto"/>
              </w:rPr>
            </w:pPr>
            <w:r>
              <w:rPr>
                <w:rFonts w:ascii="Arial" w:cs="Arial" w:eastAsia="Arial" w:hAnsi="Arial"/>
                <w:sz w:val="13"/>
                <w:szCs w:val="13"/>
                <w:color w:val="auto"/>
              </w:rPr>
              <w:t>2,868.5</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100.7</w:t>
            </w:r>
          </w:p>
        </w:tc>
        <w:tc>
          <w:tcPr>
            <w:tcW w:w="0" w:type="dxa"/>
            <w:vAlign w:val="bottom"/>
          </w:tcPr>
          <w:p>
            <w:pPr>
              <w:spacing w:after="0"/>
              <w:rPr>
                <w:sz w:val="1"/>
                <w:szCs w:val="1"/>
                <w:color w:val="auto"/>
              </w:rPr>
            </w:pPr>
          </w:p>
        </w:tc>
      </w:tr>
      <w:tr>
        <w:trPr>
          <w:trHeight w:val="184"/>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comprehensive loss, net of tax</w:t>
            </w: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(159.3)</w:t>
            </w: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620" w:type="dxa"/>
            <w:vAlign w:val="bottom"/>
          </w:tcPr>
          <w:p>
            <w:pPr>
              <w:ind w:left="20"/>
              <w:spacing w:after="0"/>
              <w:rPr>
                <w:sz w:val="20"/>
                <w:szCs w:val="20"/>
                <w:color w:val="auto"/>
              </w:rPr>
            </w:pPr>
            <w:r>
              <w:rPr>
                <w:rFonts w:ascii="Arial" w:cs="Arial" w:eastAsia="Arial" w:hAnsi="Arial"/>
                <w:sz w:val="13"/>
                <w:szCs w:val="13"/>
                <w:color w:val="auto"/>
              </w:rPr>
              <w:t>Cash dividends declared per share: $0.74</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ind w:right="19"/>
              <w:spacing w:after="0"/>
              <w:rPr>
                <w:sz w:val="20"/>
                <w:szCs w:val="20"/>
                <w:color w:val="auto"/>
              </w:rPr>
            </w:pPr>
            <w:r>
              <w:rPr>
                <w:rFonts w:ascii="Arial" w:cs="Arial" w:eastAsia="Arial" w:hAnsi="Arial"/>
                <w:sz w:val="13"/>
                <w:szCs w:val="13"/>
                <w:color w:val="auto"/>
              </w:rPr>
              <w:t>(674.0)</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Retirement of treasury shares</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(3,627)</w:t>
            </w: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(497.7)</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(3,627)</w:t>
            </w: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620" w:type="dxa"/>
            <w:vAlign w:val="bottom"/>
          </w:tcPr>
          <w:p>
            <w:pPr>
              <w:ind w:left="20"/>
              <w:spacing w:after="0"/>
              <w:rPr>
                <w:sz w:val="20"/>
                <w:szCs w:val="20"/>
                <w:color w:val="auto"/>
              </w:rPr>
            </w:pPr>
            <w:r>
              <w:rPr>
                <w:rFonts w:ascii="Arial" w:cs="Arial" w:eastAsia="Arial" w:hAnsi="Arial"/>
                <w:sz w:val="13"/>
                <w:szCs w:val="13"/>
                <w:color w:val="auto"/>
              </w:rPr>
              <w:t>Purchase of treasury shares</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tcPr>
          <w:p>
            <w:pPr>
              <w:jc w:val="right"/>
              <w:ind w:right="59"/>
              <w:spacing w:after="0"/>
              <w:rPr>
                <w:sz w:val="20"/>
                <w:szCs w:val="20"/>
                <w:color w:val="auto"/>
              </w:rPr>
            </w:pPr>
            <w:r>
              <w:rPr>
                <w:rFonts w:ascii="Arial" w:cs="Arial" w:eastAsia="Arial" w:hAnsi="Arial"/>
                <w:sz w:val="13"/>
                <w:szCs w:val="13"/>
                <w:color w:val="auto"/>
              </w:rPr>
              <w:t>3,627</w:t>
            </w:r>
          </w:p>
        </w:tc>
        <w:tc>
          <w:tcPr>
            <w:tcW w:w="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(500.0)</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620" w:type="dxa"/>
            <w:vAlign w:val="bottom"/>
            <w:shd w:val="clear" w:color="auto" w:fill="CCEEFF"/>
          </w:tcPr>
          <w:p>
            <w:pPr>
              <w:ind w:left="20"/>
              <w:spacing w:after="0" w:line="137" w:lineRule="exact"/>
              <w:rPr>
                <w:sz w:val="20"/>
                <w:szCs w:val="20"/>
                <w:color w:val="auto"/>
              </w:rPr>
            </w:pPr>
            <w:r>
              <w:rPr>
                <w:rFonts w:ascii="Arial" w:cs="Arial" w:eastAsia="Arial" w:hAnsi="Arial"/>
                <w:sz w:val="13"/>
                <w:szCs w:val="13"/>
                <w:color w:val="auto"/>
              </w:rPr>
              <w:t>Issuance of stock under employee stock</w:t>
            </w:r>
          </w:p>
        </w:tc>
        <w:tc>
          <w:tcPr>
            <w:tcW w:w="900" w:type="dxa"/>
            <w:vAlign w:val="bottom"/>
            <w:vMerge w:val="restart"/>
            <w:shd w:val="clear" w:color="auto" w:fill="CCEEFF"/>
          </w:tcPr>
          <w:p>
            <w:pPr>
              <w:jc w:val="right"/>
              <w:ind w:right="39"/>
              <w:spacing w:after="0"/>
              <w:rPr>
                <w:sz w:val="20"/>
                <w:szCs w:val="20"/>
                <w:color w:val="auto"/>
              </w:rPr>
            </w:pPr>
            <w:r>
              <w:rPr>
                <w:rFonts w:ascii="Arial" w:cs="Arial" w:eastAsia="Arial" w:hAnsi="Arial"/>
                <w:sz w:val="13"/>
                <w:szCs w:val="13"/>
                <w:color w:val="auto"/>
              </w:rPr>
              <w:t>2,524</w:t>
            </w:r>
          </w:p>
        </w:tc>
        <w:tc>
          <w:tcPr>
            <w:tcW w:w="16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2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(204.1)</w:t>
            </w: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ind w:right="19"/>
              <w:spacing w:after="0"/>
              <w:rPr>
                <w:sz w:val="20"/>
                <w:szCs w:val="20"/>
                <w:color w:val="auto"/>
              </w:rPr>
            </w:pPr>
            <w:r>
              <w:rPr>
                <w:rFonts w:ascii="Arial" w:cs="Arial" w:eastAsia="Arial" w:hAnsi="Arial"/>
                <w:sz w:val="13"/>
                <w:szCs w:val="13"/>
                <w:color w:val="auto"/>
              </w:rPr>
              <w:t>(43)</w:t>
            </w:r>
          </w:p>
        </w:tc>
        <w:tc>
          <w:tcPr>
            <w:tcW w:w="20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2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plans, net</w:t>
            </w:r>
          </w:p>
        </w:tc>
        <w:tc>
          <w:tcPr>
            <w:tcW w:w="90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62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0"/>
              <w:spacing w:after="0"/>
              <w:rPr>
                <w:sz w:val="20"/>
                <w:szCs w:val="20"/>
                <w:color w:val="auto"/>
              </w:rPr>
            </w:pPr>
            <w:r>
              <w:rPr>
                <w:rFonts w:ascii="Arial" w:cs="Arial" w:eastAsia="Arial" w:hAnsi="Arial"/>
                <w:sz w:val="13"/>
                <w:szCs w:val="13"/>
                <w:color w:val="auto"/>
              </w:rPr>
              <w:t>148.6</w:t>
            </w: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90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2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(13.8)</w:t>
            </w:r>
          </w:p>
        </w:tc>
        <w:tc>
          <w:tcPr>
            <w:tcW w:w="0" w:type="dxa"/>
            <w:vAlign w:val="bottom"/>
          </w:tcPr>
          <w:p>
            <w:pPr>
              <w:spacing w:after="0"/>
              <w:rPr>
                <w:sz w:val="1"/>
                <w:szCs w:val="1"/>
                <w:color w:val="auto"/>
              </w:rPr>
            </w:pPr>
          </w:p>
        </w:tc>
      </w:tr>
      <w:tr>
        <w:trPr>
          <w:trHeight w:val="183"/>
        </w:trPr>
        <w:tc>
          <w:tcPr>
            <w:tcW w:w="26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Balance at June 30, 2020</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3"/>
                <w:szCs w:val="13"/>
                <w:color w:val="auto"/>
              </w:rPr>
              <w:t>956,953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598.1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20"/>
              <w:spacing w:after="0"/>
              <w:rPr>
                <w:sz w:val="20"/>
                <w:szCs w:val="20"/>
                <w:color w:val="auto"/>
              </w:rPr>
            </w:pPr>
            <w:r>
              <w:rPr>
                <w:rFonts w:ascii="Arial" w:cs="Arial" w:eastAsia="Arial" w:hAnsi="Arial"/>
                <w:sz w:val="13"/>
                <w:szCs w:val="13"/>
                <w:color w:val="auto"/>
              </w:rPr>
              <w:t>6,629.4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color w:val="auto"/>
              </w:rPr>
              <w:t>6,617.2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21"/>
              <w:spacing w:after="0"/>
              <w:rPr>
                <w:sz w:val="20"/>
                <w:szCs w:val="20"/>
                <w:color w:val="auto"/>
              </w:rPr>
            </w:pPr>
            <w:r>
              <w:rPr>
                <w:rFonts w:ascii="Arial" w:cs="Arial" w:eastAsia="Arial" w:hAnsi="Arial"/>
                <w:sz w:val="13"/>
                <w:szCs w:val="13"/>
                <w:color w:val="auto"/>
              </w:rPr>
              <w:t>(3,013.2)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ind w:right="60"/>
              <w:spacing w:after="0"/>
              <w:rPr>
                <w:sz w:val="20"/>
                <w:szCs w:val="20"/>
                <w:color w:val="auto"/>
              </w:rPr>
            </w:pPr>
            <w:r>
              <w:rPr>
                <w:rFonts w:ascii="Arial" w:cs="Arial" w:eastAsia="Arial" w:hAnsi="Arial"/>
                <w:sz w:val="13"/>
                <w:szCs w:val="13"/>
                <w:color w:val="auto"/>
              </w:rPr>
              <w:t>(6,682.9)</w:t>
            </w: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color w:val="auto"/>
              </w:rPr>
              <w:t>487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179.1</w:t>
            </w:r>
          </w:p>
        </w:tc>
        <w:tc>
          <w:tcPr>
            <w:tcW w:w="0" w:type="dxa"/>
            <w:vAlign w:val="bottom"/>
          </w:tcPr>
          <w:p>
            <w:pPr>
              <w:spacing w:after="0"/>
              <w:rPr>
                <w:sz w:val="1"/>
                <w:szCs w:val="1"/>
                <w:color w:val="auto"/>
              </w:rPr>
            </w:pPr>
          </w:p>
        </w:tc>
      </w:tr>
      <w:tr>
        <w:trPr>
          <w:trHeight w:val="257"/>
        </w:trPr>
        <w:tc>
          <w:tcPr>
            <w:tcW w:w="26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2620" w:type="dxa"/>
            <w:vAlign w:val="bottom"/>
          </w:tcPr>
          <w:p>
            <w:pPr>
              <w:ind w:left="20"/>
              <w:spacing w:after="0"/>
              <w:rPr>
                <w:sz w:val="20"/>
                <w:szCs w:val="20"/>
                <w:color w:val="auto"/>
              </w:rPr>
            </w:pPr>
            <w:r>
              <w:rPr>
                <w:rFonts w:ascii="Arial" w:cs="Arial" w:eastAsia="Arial" w:hAnsi="Arial"/>
                <w:sz w:val="13"/>
                <w:szCs w:val="13"/>
                <w:color w:val="auto"/>
              </w:rPr>
              <w:t>Balance at January 1, 2021</w:t>
            </w:r>
          </w:p>
        </w:tc>
        <w:tc>
          <w:tcPr>
            <w:tcW w:w="900" w:type="dxa"/>
            <w:vAlign w:val="bottom"/>
          </w:tcPr>
          <w:p>
            <w:pPr>
              <w:jc w:val="right"/>
              <w:ind w:right="39"/>
              <w:spacing w:after="0"/>
              <w:rPr>
                <w:sz w:val="20"/>
                <w:szCs w:val="20"/>
                <w:color w:val="auto"/>
              </w:rPr>
            </w:pPr>
            <w:r>
              <w:rPr>
                <w:rFonts w:ascii="Arial" w:cs="Arial" w:eastAsia="Arial" w:hAnsi="Arial"/>
                <w:sz w:val="13"/>
                <w:szCs w:val="13"/>
                <w:b w:val="1"/>
                <w:bCs w:val="1"/>
                <w:color w:val="auto"/>
              </w:rPr>
              <w:t>957,077</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560" w:type="dxa"/>
            <w:vAlign w:val="bottom"/>
          </w:tcPr>
          <w:p>
            <w:pPr>
              <w:jc w:val="right"/>
              <w:spacing w:after="0"/>
              <w:rPr>
                <w:sz w:val="20"/>
                <w:szCs w:val="20"/>
                <w:color w:val="auto"/>
              </w:rPr>
            </w:pPr>
            <w:r>
              <w:rPr>
                <w:rFonts w:ascii="Arial" w:cs="Arial" w:eastAsia="Arial" w:hAnsi="Arial"/>
                <w:sz w:val="13"/>
                <w:szCs w:val="13"/>
                <w:b w:val="1"/>
                <w:bCs w:val="1"/>
                <w:color w:val="auto"/>
              </w:rPr>
              <w:t>598.2</w:t>
            </w:r>
          </w:p>
        </w:tc>
        <w:tc>
          <w:tcPr>
            <w:tcW w:w="2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00" w:type="dxa"/>
            <w:vAlign w:val="bottom"/>
          </w:tcPr>
          <w:p>
            <w:pPr>
              <w:jc w:val="right"/>
              <w:ind w:right="20"/>
              <w:spacing w:after="0"/>
              <w:rPr>
                <w:sz w:val="20"/>
                <w:szCs w:val="20"/>
                <w:color w:val="auto"/>
              </w:rPr>
            </w:pPr>
            <w:r>
              <w:rPr>
                <w:rFonts w:ascii="Arial" w:cs="Arial" w:eastAsia="Arial" w:hAnsi="Arial"/>
                <w:sz w:val="13"/>
                <w:szCs w:val="13"/>
                <w:b w:val="1"/>
                <w:bCs w:val="1"/>
                <w:color w:val="auto"/>
              </w:rPr>
              <w:t>6,778.5</w:t>
            </w:r>
          </w:p>
        </w:tc>
        <w:tc>
          <w:tcPr>
            <w:tcW w:w="2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60" w:type="dxa"/>
            <w:vAlign w:val="bottom"/>
          </w:tcPr>
          <w:p>
            <w:pPr>
              <w:jc w:val="right"/>
              <w:ind w:right="59"/>
              <w:spacing w:after="0"/>
              <w:rPr>
                <w:sz w:val="20"/>
                <w:szCs w:val="20"/>
                <w:color w:val="auto"/>
              </w:rPr>
            </w:pPr>
            <w:r>
              <w:rPr>
                <w:rFonts w:ascii="Arial" w:cs="Arial" w:eastAsia="Arial" w:hAnsi="Arial"/>
                <w:sz w:val="13"/>
                <w:szCs w:val="13"/>
                <w:b w:val="1"/>
                <w:bCs w:val="1"/>
                <w:color w:val="auto"/>
              </w:rPr>
              <w:t>7,830.2</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40" w:type="dxa"/>
            <w:vAlign w:val="bottom"/>
          </w:tcPr>
          <w:p>
            <w:pPr>
              <w:jc w:val="right"/>
              <w:ind w:right="21"/>
              <w:spacing w:after="0"/>
              <w:rPr>
                <w:sz w:val="20"/>
                <w:szCs w:val="20"/>
                <w:color w:val="auto"/>
              </w:rPr>
            </w:pPr>
            <w:r>
              <w:rPr>
                <w:rFonts w:ascii="Arial" w:cs="Arial" w:eastAsia="Arial" w:hAnsi="Arial"/>
                <w:sz w:val="13"/>
                <w:szCs w:val="13"/>
                <w:b w:val="1"/>
                <w:bCs w:val="1"/>
                <w:color w:val="auto"/>
              </w:rPr>
              <w:t>(3,013.2)</w:t>
            </w:r>
          </w:p>
        </w:tc>
        <w:tc>
          <w:tcPr>
            <w:tcW w:w="1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080" w:type="dxa"/>
            <w:vAlign w:val="bottom"/>
          </w:tcPr>
          <w:p>
            <w:pPr>
              <w:jc w:val="right"/>
              <w:ind w:right="60"/>
              <w:spacing w:after="0"/>
              <w:rPr>
                <w:sz w:val="20"/>
                <w:szCs w:val="20"/>
                <w:color w:val="auto"/>
              </w:rPr>
            </w:pPr>
            <w:r>
              <w:rPr>
                <w:rFonts w:ascii="Arial" w:cs="Arial" w:eastAsia="Arial" w:hAnsi="Arial"/>
                <w:sz w:val="13"/>
                <w:szCs w:val="13"/>
                <w:b w:val="1"/>
                <w:bCs w:val="1"/>
                <w:color w:val="auto"/>
              </w:rPr>
              <w:t>(6,496.4)</w:t>
            </w:r>
          </w:p>
        </w:tc>
        <w:tc>
          <w:tcPr>
            <w:tcW w:w="840" w:type="dxa"/>
            <w:vAlign w:val="bottom"/>
          </w:tcPr>
          <w:p>
            <w:pPr>
              <w:jc w:val="right"/>
              <w:ind w:right="59"/>
              <w:spacing w:after="0"/>
              <w:rPr>
                <w:sz w:val="20"/>
                <w:szCs w:val="20"/>
                <w:color w:val="auto"/>
              </w:rPr>
            </w:pPr>
            <w:r>
              <w:rPr>
                <w:rFonts w:ascii="Arial" w:cs="Arial" w:eastAsia="Arial" w:hAnsi="Arial"/>
                <w:sz w:val="13"/>
                <w:szCs w:val="13"/>
                <w:b w:val="1"/>
                <w:bCs w:val="1"/>
                <w:color w:val="auto"/>
              </w:rPr>
              <w:t>487</w:t>
            </w:r>
          </w:p>
        </w:tc>
        <w:tc>
          <w:tcPr>
            <w:tcW w:w="2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(55.7)</w:t>
            </w:r>
          </w:p>
        </w:tc>
        <w:tc>
          <w:tcPr>
            <w:tcW w:w="2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183.6</w:t>
            </w:r>
          </w:p>
        </w:tc>
        <w:tc>
          <w:tcPr>
            <w:tcW w:w="0" w:type="dxa"/>
            <w:vAlign w:val="bottom"/>
          </w:tcPr>
          <w:p>
            <w:pPr>
              <w:spacing w:after="0"/>
              <w:rPr>
                <w:sz w:val="1"/>
                <w:szCs w:val="1"/>
                <w:color w:val="auto"/>
              </w:rPr>
            </w:pPr>
          </w:p>
        </w:tc>
      </w:tr>
      <w:tr>
        <w:trPr>
          <w:trHeight w:val="179"/>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3"/>
                <w:szCs w:val="13"/>
                <w:b w:val="1"/>
                <w:bCs w:val="1"/>
                <w:color w:val="auto"/>
              </w:rPr>
              <w:t>2,745.5</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47.8</w:t>
            </w:r>
          </w:p>
        </w:tc>
        <w:tc>
          <w:tcPr>
            <w:tcW w:w="0" w:type="dxa"/>
            <w:vAlign w:val="bottom"/>
          </w:tcPr>
          <w:p>
            <w:pPr>
              <w:spacing w:after="0"/>
              <w:rPr>
                <w:sz w:val="1"/>
                <w:szCs w:val="1"/>
                <w:color w:val="auto"/>
              </w:rPr>
            </w:pPr>
          </w:p>
        </w:tc>
      </w:tr>
      <w:tr>
        <w:trPr>
          <w:trHeight w:val="172"/>
        </w:trPr>
        <w:tc>
          <w:tcPr>
            <w:tcW w:w="2620" w:type="dxa"/>
            <w:vAlign w:val="bottom"/>
          </w:tcPr>
          <w:p>
            <w:pPr>
              <w:ind w:left="20"/>
              <w:spacing w:after="0"/>
              <w:rPr>
                <w:sz w:val="20"/>
                <w:szCs w:val="20"/>
                <w:color w:val="auto"/>
              </w:rPr>
            </w:pPr>
            <w:r>
              <w:rPr>
                <w:rFonts w:ascii="Arial" w:cs="Arial" w:eastAsia="Arial" w:hAnsi="Arial"/>
                <w:sz w:val="13"/>
                <w:szCs w:val="13"/>
                <w:color w:val="auto"/>
              </w:rPr>
              <w:t>Other comprehensive income, net of tax</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100"/>
              <w:spacing w:after="0"/>
              <w:rPr>
                <w:sz w:val="20"/>
                <w:szCs w:val="20"/>
                <w:color w:val="auto"/>
              </w:rPr>
            </w:pPr>
            <w:r>
              <w:rPr>
                <w:rFonts w:ascii="Arial" w:cs="Arial" w:eastAsia="Arial" w:hAnsi="Arial"/>
                <w:sz w:val="13"/>
                <w:szCs w:val="13"/>
                <w:b w:val="1"/>
                <w:bCs w:val="1"/>
                <w:color w:val="auto"/>
              </w:rPr>
              <w:t>209.3</w:t>
            </w: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dividends declared per share: $1.70</w:t>
            </w: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3"/>
                <w:szCs w:val="13"/>
                <w:b w:val="1"/>
                <w:bCs w:val="1"/>
                <w:color w:val="auto"/>
              </w:rPr>
              <w:t>(1,542.9)</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620" w:type="dxa"/>
            <w:vAlign w:val="bottom"/>
          </w:tcPr>
          <w:p>
            <w:pPr>
              <w:ind w:left="20"/>
              <w:spacing w:after="0"/>
              <w:rPr>
                <w:sz w:val="20"/>
                <w:szCs w:val="20"/>
                <w:color w:val="auto"/>
              </w:rPr>
            </w:pPr>
            <w:r>
              <w:rPr>
                <w:rFonts w:ascii="Arial" w:cs="Arial" w:eastAsia="Arial" w:hAnsi="Arial"/>
                <w:sz w:val="13"/>
                <w:szCs w:val="13"/>
                <w:color w:val="auto"/>
              </w:rPr>
              <w:t>Retirement of treasury shares</w:t>
            </w: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(2,467)</w:t>
            </w: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b w:val="1"/>
                <w:bCs w:val="1"/>
                <w:color w:val="auto"/>
              </w:rPr>
              <w:t>(1.6)</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ind w:right="19"/>
              <w:spacing w:after="0"/>
              <w:rPr>
                <w:sz w:val="20"/>
                <w:szCs w:val="20"/>
                <w:color w:val="auto"/>
              </w:rPr>
            </w:pPr>
            <w:r>
              <w:rPr>
                <w:rFonts w:ascii="Arial" w:cs="Arial" w:eastAsia="Arial" w:hAnsi="Arial"/>
                <w:sz w:val="13"/>
                <w:szCs w:val="13"/>
                <w:b w:val="1"/>
                <w:bCs w:val="1"/>
                <w:color w:val="auto"/>
              </w:rPr>
              <w:t>(498.5)</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tcPr>
          <w:p>
            <w:pPr>
              <w:jc w:val="right"/>
              <w:ind w:right="19"/>
              <w:spacing w:after="0"/>
              <w:rPr>
                <w:sz w:val="20"/>
                <w:szCs w:val="20"/>
                <w:color w:val="auto"/>
              </w:rPr>
            </w:pPr>
            <w:r>
              <w:rPr>
                <w:rFonts w:ascii="Arial" w:cs="Arial" w:eastAsia="Arial" w:hAnsi="Arial"/>
                <w:sz w:val="13"/>
                <w:szCs w:val="13"/>
                <w:b w:val="1"/>
                <w:bCs w:val="1"/>
                <w:color w:val="auto"/>
              </w:rPr>
              <w:t>(2,467)</w:t>
            </w:r>
          </w:p>
        </w:tc>
        <w:tc>
          <w:tcPr>
            <w:tcW w:w="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500.0</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 of treasury shares</w:t>
            </w: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3"/>
                <w:szCs w:val="13"/>
                <w:b w:val="1"/>
                <w:bCs w:val="1"/>
                <w:color w:val="auto"/>
              </w:rPr>
              <w:t>2,467</w:t>
            </w: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(500.0)</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620" w:type="dxa"/>
            <w:vAlign w:val="bottom"/>
          </w:tcPr>
          <w:p>
            <w:pPr>
              <w:ind w:left="20"/>
              <w:spacing w:after="0" w:line="129" w:lineRule="exact"/>
              <w:rPr>
                <w:sz w:val="20"/>
                <w:szCs w:val="20"/>
                <w:color w:val="auto"/>
              </w:rPr>
            </w:pPr>
            <w:r>
              <w:rPr>
                <w:rFonts w:ascii="Arial" w:cs="Arial" w:eastAsia="Arial" w:hAnsi="Arial"/>
                <w:sz w:val="13"/>
                <w:szCs w:val="13"/>
                <w:color w:val="auto"/>
              </w:rPr>
              <w:t>Issuance of stock under employee stock</w:t>
            </w:r>
          </w:p>
        </w:tc>
        <w:tc>
          <w:tcPr>
            <w:tcW w:w="900" w:type="dxa"/>
            <w:vAlign w:val="bottom"/>
            <w:vMerge w:val="restart"/>
          </w:tcPr>
          <w:p>
            <w:pPr>
              <w:jc w:val="right"/>
              <w:ind w:right="39"/>
              <w:spacing w:after="0"/>
              <w:rPr>
                <w:sz w:val="20"/>
                <w:szCs w:val="20"/>
                <w:color w:val="auto"/>
              </w:rPr>
            </w:pPr>
            <w:r>
              <w:rPr>
                <w:rFonts w:ascii="Arial" w:cs="Arial" w:eastAsia="Arial" w:hAnsi="Arial"/>
                <w:sz w:val="13"/>
                <w:szCs w:val="13"/>
                <w:b w:val="1"/>
                <w:bCs w:val="1"/>
                <w:color w:val="auto"/>
              </w:rPr>
              <w:t>2,428</w:t>
            </w:r>
          </w:p>
        </w:tc>
        <w:tc>
          <w:tcPr>
            <w:tcW w:w="16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1.5</w:t>
            </w:r>
          </w:p>
        </w:tc>
        <w:tc>
          <w:tcPr>
            <w:tcW w:w="2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(285.8)</w:t>
            </w: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40" w:type="dxa"/>
            <w:vAlign w:val="bottom"/>
            <w:vMerge w:val="restart"/>
          </w:tcPr>
          <w:p>
            <w:pPr>
              <w:jc w:val="right"/>
              <w:ind w:right="19"/>
              <w:spacing w:after="0"/>
              <w:rPr>
                <w:sz w:val="20"/>
                <w:szCs w:val="20"/>
                <w:color w:val="auto"/>
              </w:rPr>
            </w:pPr>
            <w:r>
              <w:rPr>
                <w:rFonts w:ascii="Arial" w:cs="Arial" w:eastAsia="Arial" w:hAnsi="Arial"/>
                <w:sz w:val="13"/>
                <w:szCs w:val="13"/>
                <w:b w:val="1"/>
                <w:bCs w:val="1"/>
                <w:color w:val="auto"/>
              </w:rPr>
              <w:t>(24)</w:t>
            </w:r>
          </w:p>
        </w:tc>
        <w:tc>
          <w:tcPr>
            <w:tcW w:w="2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3.0</w:t>
            </w: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20" w:type="dxa"/>
            <w:vAlign w:val="bottom"/>
          </w:tcPr>
          <w:p>
            <w:pPr>
              <w:ind w:left="20"/>
              <w:spacing w:after="0"/>
              <w:rPr>
                <w:sz w:val="20"/>
                <w:szCs w:val="20"/>
                <w:color w:val="auto"/>
              </w:rPr>
            </w:pPr>
            <w:r>
              <w:rPr>
                <w:rFonts w:ascii="Arial" w:cs="Arial" w:eastAsia="Arial" w:hAnsi="Arial"/>
                <w:sz w:val="13"/>
                <w:szCs w:val="13"/>
                <w:color w:val="auto"/>
              </w:rPr>
              <w:t>plans, net</w:t>
            </w:r>
          </w:p>
        </w:tc>
        <w:tc>
          <w:tcPr>
            <w:tcW w:w="9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177.4</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6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w:t>
            </w:r>
          </w:p>
        </w:tc>
        <w:tc>
          <w:tcPr>
            <w:tcW w:w="9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(0.9)</w:t>
            </w: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3"/>
                <w:szCs w:val="13"/>
                <w:b w:val="1"/>
                <w:bCs w:val="1"/>
                <w:color w:val="auto"/>
              </w:rPr>
              <w:t>(4.2)</w:t>
            </w: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(12.3)</w:t>
            </w:r>
          </w:p>
        </w:tc>
        <w:tc>
          <w:tcPr>
            <w:tcW w:w="0" w:type="dxa"/>
            <w:vAlign w:val="bottom"/>
          </w:tcPr>
          <w:p>
            <w:pPr>
              <w:spacing w:after="0"/>
              <w:rPr>
                <w:sz w:val="1"/>
                <w:szCs w:val="1"/>
                <w:color w:val="auto"/>
              </w:rPr>
            </w:pPr>
          </w:p>
        </w:tc>
      </w:tr>
      <w:tr>
        <w:trPr>
          <w:trHeight w:val="180"/>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June 30, 2021</w:t>
            </w: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3"/>
                <w:szCs w:val="13"/>
                <w:b w:val="1"/>
                <w:bCs w:val="1"/>
                <w:color w:val="auto"/>
              </w:rPr>
              <w:t>957,038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598.1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6,669.2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3"/>
                <w:szCs w:val="13"/>
                <w:b w:val="1"/>
                <w:bCs w:val="1"/>
                <w:color w:val="auto"/>
              </w:rPr>
              <w:t>8,530.1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3"/>
                <w:szCs w:val="13"/>
                <w:b w:val="1"/>
                <w:bCs w:val="1"/>
                <w:color w:val="auto"/>
              </w:rPr>
              <w:t>(3,013.2)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3"/>
                <w:szCs w:val="13"/>
                <w:b w:val="1"/>
                <w:bCs w:val="1"/>
                <w:color w:val="auto"/>
              </w:rPr>
              <w:t>(6,287.1)</w:t>
            </w:r>
          </w:p>
        </w:tc>
        <w:tc>
          <w:tcPr>
            <w:tcW w:w="8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3"/>
                <w:szCs w:val="13"/>
                <w:b w:val="1"/>
                <w:bCs w:val="1"/>
                <w:color w:val="auto"/>
              </w:rPr>
              <w:t>463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(52.7)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219.1</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120" w:firstLine="8"/>
        <w:spacing w:after="0" w:line="232" w:lineRule="auto"/>
        <w:tabs>
          <w:tab w:leader="none" w:pos="135" w:val="left"/>
        </w:tabs>
        <w:numPr>
          <w:ilvl w:val="0"/>
          <w:numId w:val="3"/>
        </w:numPr>
        <w:rPr>
          <w:rFonts w:ascii="Arial" w:cs="Arial" w:eastAsia="Arial" w:hAnsi="Arial"/>
          <w:sz w:val="15"/>
          <w:szCs w:val="15"/>
          <w:color w:val="auto"/>
          <w:vertAlign w:val="superscript"/>
        </w:rPr>
      </w:pPr>
      <w:r>
        <w:rPr>
          <w:rFonts w:ascii="Arial" w:cs="Arial" w:eastAsia="Arial" w:hAnsi="Arial"/>
          <w:sz w:val="12"/>
          <w:szCs w:val="12"/>
          <w:color w:val="auto"/>
        </w:rPr>
        <w:t>As of June 30, 2021, there was $500.0 million remaining under our $8.00 billion share repurchase program authorized in June 2018. A $5.00 billion share repurchase program was authorized in May 2021. There were no shares repurchased under the $5.00 billion share repurchase program during the six months ended June 30, 2021.</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Consolidated Condensed Statements of Cash Flows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w:t>
      </w:r>
    </w:p>
    <w:p>
      <w:pPr>
        <w:spacing w:after="0" w:line="312" w:lineRule="exact"/>
        <w:rPr>
          <w:sz w:val="20"/>
          <w:szCs w:val="20"/>
          <w:color w:val="auto"/>
        </w:rPr>
      </w:pPr>
    </w:p>
    <w:p>
      <w:pPr>
        <w:ind w:left="9080"/>
        <w:spacing w:after="0"/>
        <w:rPr>
          <w:sz w:val="20"/>
          <w:szCs w:val="20"/>
          <w:color w:val="auto"/>
        </w:rPr>
      </w:pPr>
      <w:r>
        <w:rPr>
          <w:rFonts w:ascii="Arial" w:cs="Arial" w:eastAsia="Arial" w:hAnsi="Arial"/>
          <w:sz w:val="14"/>
          <w:szCs w:val="14"/>
          <w:b w:val="1"/>
          <w:bCs w:val="1"/>
          <w:color w:val="auto"/>
        </w:rPr>
        <w:t>Six Months Ended June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8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88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2,745.5</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2,868.5</w:t>
            </w:r>
          </w:p>
        </w:tc>
        <w:tc>
          <w:tcPr>
            <w:tcW w:w="0" w:type="dxa"/>
            <w:vAlign w:val="bottom"/>
          </w:tcPr>
          <w:p>
            <w:pPr>
              <w:spacing w:after="0"/>
              <w:rPr>
                <w:sz w:val="1"/>
                <w:szCs w:val="1"/>
                <w:color w:val="auto"/>
              </w:rPr>
            </w:pPr>
          </w:p>
        </w:tc>
      </w:tr>
      <w:tr>
        <w:trPr>
          <w:trHeight w:val="229"/>
        </w:trPr>
        <w:tc>
          <w:tcPr>
            <w:tcW w:w="8800" w:type="dxa"/>
            <w:vAlign w:val="bottom"/>
          </w:tcPr>
          <w:p>
            <w:pPr>
              <w:ind w:left="20"/>
              <w:spacing w:after="0"/>
              <w:rPr>
                <w:sz w:val="20"/>
                <w:szCs w:val="20"/>
                <w:color w:val="auto"/>
              </w:rPr>
            </w:pPr>
            <w:r>
              <w:rPr>
                <w:rFonts w:ascii="Arial" w:cs="Arial" w:eastAsia="Arial" w:hAnsi="Arial"/>
                <w:sz w:val="18"/>
                <w:szCs w:val="18"/>
                <w:b w:val="1"/>
                <w:bCs w:val="1"/>
                <w:color w:val="auto"/>
              </w:rPr>
              <w:t>Adjustments to Reconcile Net Income to Cash Flows from Operating Activities: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719.6</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598.0</w:t>
            </w:r>
          </w:p>
        </w:tc>
        <w:tc>
          <w:tcPr>
            <w:tcW w:w="0" w:type="dxa"/>
            <w:vAlign w:val="bottom"/>
          </w:tcPr>
          <w:p>
            <w:pPr>
              <w:spacing w:after="0"/>
              <w:rPr>
                <w:sz w:val="1"/>
                <w:szCs w:val="1"/>
                <w:color w:val="auto"/>
              </w:rPr>
            </w:pPr>
          </w:p>
        </w:tc>
      </w:tr>
      <w:tr>
        <w:trPr>
          <w:trHeight w:val="229"/>
        </w:trPr>
        <w:tc>
          <w:tcPr>
            <w:tcW w:w="8800" w:type="dxa"/>
            <w:vAlign w:val="bottom"/>
          </w:tcPr>
          <w:p>
            <w:pPr>
              <w:ind w:left="140"/>
              <w:spacing w:after="0"/>
              <w:rPr>
                <w:sz w:val="20"/>
                <w:szCs w:val="20"/>
                <w:color w:val="auto"/>
              </w:rPr>
            </w:pPr>
            <w:r>
              <w:rPr>
                <w:rFonts w:ascii="Arial" w:cs="Arial" w:eastAsia="Arial" w:hAnsi="Arial"/>
                <w:sz w:val="18"/>
                <w:szCs w:val="18"/>
                <w:color w:val="auto"/>
              </w:rPr>
              <w:t>Change in deferred income taxes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(413.8)</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29"/>
        </w:trPr>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 expense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177.4</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w:t>
            </w:r>
          </w:p>
        </w:tc>
        <w:tc>
          <w:tcPr>
            <w:tcW w:w="0" w:type="dxa"/>
            <w:vAlign w:val="bottom"/>
          </w:tcPr>
          <w:p>
            <w:pPr>
              <w:spacing w:after="0"/>
              <w:rPr>
                <w:sz w:val="1"/>
                <w:szCs w:val="1"/>
                <w:color w:val="auto"/>
              </w:rPr>
            </w:pPr>
          </w:p>
        </w:tc>
      </w:tr>
      <w:tr>
        <w:trPr>
          <w:trHeight w:val="230"/>
        </w:trPr>
        <w:tc>
          <w:tcPr>
            <w:tcW w:w="8800" w:type="dxa"/>
            <w:vAlign w:val="bottom"/>
          </w:tcPr>
          <w:p>
            <w:pPr>
              <w:ind w:left="140"/>
              <w:spacing w:after="0"/>
              <w:rPr>
                <w:sz w:val="20"/>
                <w:szCs w:val="20"/>
                <w:color w:val="auto"/>
              </w:rPr>
            </w:pPr>
            <w:r>
              <w:rPr>
                <w:rFonts w:ascii="Arial" w:cs="Arial" w:eastAsia="Arial" w:hAnsi="Arial"/>
                <w:sz w:val="18"/>
                <w:szCs w:val="18"/>
                <w:color w:val="auto"/>
              </w:rPr>
              <w:t>Net investment gains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(518.1)</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(765.0)</w:t>
            </w:r>
          </w:p>
        </w:tc>
        <w:tc>
          <w:tcPr>
            <w:tcW w:w="0" w:type="dxa"/>
            <w:vAlign w:val="bottom"/>
          </w:tcPr>
          <w:p>
            <w:pPr>
              <w:spacing w:after="0"/>
              <w:rPr>
                <w:sz w:val="1"/>
                <w:szCs w:val="1"/>
                <w:color w:val="auto"/>
              </w:rPr>
            </w:pPr>
          </w:p>
        </w:tc>
      </w:tr>
      <w:tr>
        <w:trPr>
          <w:trHeight w:val="229"/>
        </w:trPr>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Acquired in-process research and development (Note 3)</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324.3</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294.1</w:t>
            </w:r>
          </w:p>
        </w:tc>
        <w:tc>
          <w:tcPr>
            <w:tcW w:w="0" w:type="dxa"/>
            <w:vAlign w:val="bottom"/>
          </w:tcPr>
          <w:p>
            <w:pPr>
              <w:spacing w:after="0"/>
              <w:rPr>
                <w:sz w:val="1"/>
                <w:szCs w:val="1"/>
                <w:color w:val="auto"/>
              </w:rPr>
            </w:pPr>
          </w:p>
        </w:tc>
      </w:tr>
      <w:tr>
        <w:trPr>
          <w:trHeight w:val="230"/>
        </w:trPr>
        <w:tc>
          <w:tcPr>
            <w:tcW w:w="8800" w:type="dxa"/>
            <w:vAlign w:val="bottom"/>
          </w:tcPr>
          <w:p>
            <w:pPr>
              <w:ind w:left="140"/>
              <w:spacing w:after="0"/>
              <w:rPr>
                <w:sz w:val="20"/>
                <w:szCs w:val="20"/>
                <w:color w:val="auto"/>
              </w:rPr>
            </w:pPr>
            <w:r>
              <w:rPr>
                <w:rFonts w:ascii="Arial" w:cs="Arial" w:eastAsia="Arial" w:hAnsi="Arial"/>
                <w:sz w:val="18"/>
                <w:szCs w:val="18"/>
                <w:color w:val="auto"/>
              </w:rPr>
              <w:t>Other changes in operating assets and liabilities, net of acquisitions and divestitures</w:t>
            </w:r>
          </w:p>
        </w:tc>
        <w:tc>
          <w:tcPr>
            <w:tcW w:w="280" w:type="dxa"/>
            <w:vAlign w:val="bottom"/>
          </w:tcPr>
          <w:p>
            <w:pPr>
              <w:spacing w:after="0"/>
              <w:rPr>
                <w:sz w:val="19"/>
                <w:szCs w:val="19"/>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b w:val="1"/>
                <w:bCs w:val="1"/>
                <w:color w:val="auto"/>
              </w:rPr>
              <w:t>118.4</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(481.6)</w:t>
            </w:r>
          </w:p>
        </w:tc>
        <w:tc>
          <w:tcPr>
            <w:tcW w:w="0" w:type="dxa"/>
            <w:vAlign w:val="bottom"/>
          </w:tcPr>
          <w:p>
            <w:pPr>
              <w:spacing w:after="0"/>
              <w:rPr>
                <w:sz w:val="1"/>
                <w:szCs w:val="1"/>
                <w:color w:val="auto"/>
              </w:rPr>
            </w:pPr>
          </w:p>
        </w:tc>
      </w:tr>
      <w:tr>
        <w:trPr>
          <w:trHeight w:val="229"/>
        </w:trPr>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non-cash operating activities, net</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319.6</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308.7</w:t>
            </w:r>
          </w:p>
        </w:tc>
        <w:tc>
          <w:tcPr>
            <w:tcW w:w="0" w:type="dxa"/>
            <w:vAlign w:val="bottom"/>
          </w:tcPr>
          <w:p>
            <w:pPr>
              <w:spacing w:after="0"/>
              <w:rPr>
                <w:sz w:val="1"/>
                <w:szCs w:val="1"/>
                <w:color w:val="auto"/>
              </w:rPr>
            </w:pPr>
          </w:p>
        </w:tc>
      </w:tr>
      <w:tr>
        <w:trPr>
          <w:trHeight w:val="223"/>
        </w:trPr>
        <w:tc>
          <w:tcPr>
            <w:tcW w:w="8800" w:type="dxa"/>
            <w:vAlign w:val="bottom"/>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280" w:type="dxa"/>
            <w:vAlign w:val="bottom"/>
          </w:tcPr>
          <w:p>
            <w:pPr>
              <w:spacing w:after="0"/>
              <w:rPr>
                <w:sz w:val="19"/>
                <w:szCs w:val="19"/>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b w:val="1"/>
                <w:bCs w:val="1"/>
                <w:color w:val="auto"/>
              </w:rPr>
              <w:t>3,472.9</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2,877.8</w:t>
            </w:r>
          </w:p>
        </w:tc>
        <w:tc>
          <w:tcPr>
            <w:tcW w:w="0" w:type="dxa"/>
            <w:vAlign w:val="bottom"/>
          </w:tcPr>
          <w:p>
            <w:pPr>
              <w:spacing w:after="0"/>
              <w:rPr>
                <w:sz w:val="1"/>
                <w:szCs w:val="1"/>
                <w:color w:val="auto"/>
              </w:rPr>
            </w:pPr>
          </w:p>
        </w:tc>
      </w:tr>
      <w:tr>
        <w:trPr>
          <w:trHeight w:val="229"/>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00" w:type="dxa"/>
            <w:vAlign w:val="bottom"/>
          </w:tcPr>
          <w:p>
            <w:pPr>
              <w:ind w:left="140"/>
              <w:spacing w:after="0"/>
              <w:rPr>
                <w:sz w:val="20"/>
                <w:szCs w:val="20"/>
                <w:color w:val="auto"/>
              </w:rPr>
            </w:pPr>
            <w:r>
              <w:rPr>
                <w:rFonts w:ascii="Arial" w:cs="Arial" w:eastAsia="Arial" w:hAnsi="Arial"/>
                <w:sz w:val="18"/>
                <w:szCs w:val="18"/>
                <w:color w:val="auto"/>
              </w:rPr>
              <w:t>Net purchases of property and equipment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(681.6)</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(540.1)</w:t>
            </w:r>
          </w:p>
        </w:tc>
        <w:tc>
          <w:tcPr>
            <w:tcW w:w="0" w:type="dxa"/>
            <w:vAlign w:val="bottom"/>
          </w:tcPr>
          <w:p>
            <w:pPr>
              <w:spacing w:after="0"/>
              <w:rPr>
                <w:sz w:val="1"/>
                <w:szCs w:val="1"/>
                <w:color w:val="auto"/>
              </w:rPr>
            </w:pPr>
          </w:p>
        </w:tc>
      </w:tr>
      <w:tr>
        <w:trPr>
          <w:trHeight w:val="230"/>
        </w:trPr>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sales and maturities of short-term investments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21.3</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0" w:type="dxa"/>
            <w:vAlign w:val="bottom"/>
          </w:tcPr>
          <w:p>
            <w:pPr>
              <w:spacing w:after="0"/>
              <w:rPr>
                <w:sz w:val="1"/>
                <w:szCs w:val="1"/>
                <w:color w:val="auto"/>
              </w:rPr>
            </w:pPr>
          </w:p>
        </w:tc>
      </w:tr>
      <w:tr>
        <w:trPr>
          <w:trHeight w:val="229"/>
        </w:trPr>
        <w:tc>
          <w:tcPr>
            <w:tcW w:w="8800" w:type="dxa"/>
            <w:vAlign w:val="bottom"/>
          </w:tcPr>
          <w:p>
            <w:pPr>
              <w:ind w:left="140"/>
              <w:spacing w:after="0"/>
              <w:rPr>
                <w:sz w:val="20"/>
                <w:szCs w:val="20"/>
                <w:color w:val="auto"/>
              </w:rPr>
            </w:pPr>
            <w:r>
              <w:rPr>
                <w:rFonts w:ascii="Arial" w:cs="Arial" w:eastAsia="Arial" w:hAnsi="Arial"/>
                <w:sz w:val="18"/>
                <w:szCs w:val="18"/>
                <w:color w:val="auto"/>
              </w:rPr>
              <w:t>Purchases of short-term investments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(26.6)</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sales of noncurrent investments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461.9</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412.0</w:t>
            </w:r>
          </w:p>
        </w:tc>
        <w:tc>
          <w:tcPr>
            <w:tcW w:w="0" w:type="dxa"/>
            <w:vAlign w:val="bottom"/>
          </w:tcPr>
          <w:p>
            <w:pPr>
              <w:spacing w:after="0"/>
              <w:rPr>
                <w:sz w:val="1"/>
                <w:szCs w:val="1"/>
                <w:color w:val="auto"/>
              </w:rPr>
            </w:pPr>
          </w:p>
        </w:tc>
      </w:tr>
      <w:tr>
        <w:trPr>
          <w:trHeight w:val="230"/>
        </w:trPr>
        <w:tc>
          <w:tcPr>
            <w:tcW w:w="8800" w:type="dxa"/>
            <w:vAlign w:val="bottom"/>
          </w:tcPr>
          <w:p>
            <w:pPr>
              <w:ind w:left="140"/>
              <w:spacing w:after="0"/>
              <w:rPr>
                <w:sz w:val="20"/>
                <w:szCs w:val="20"/>
                <w:color w:val="auto"/>
              </w:rPr>
            </w:pPr>
            <w:r>
              <w:rPr>
                <w:rFonts w:ascii="Arial" w:cs="Arial" w:eastAsia="Arial" w:hAnsi="Arial"/>
                <w:sz w:val="18"/>
                <w:szCs w:val="18"/>
                <w:color w:val="auto"/>
              </w:rPr>
              <w:t>Purchases of noncurrent investments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(503.1)</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(154.8)</w:t>
            </w:r>
          </w:p>
        </w:tc>
        <w:tc>
          <w:tcPr>
            <w:tcW w:w="0" w:type="dxa"/>
            <w:vAlign w:val="bottom"/>
          </w:tcPr>
          <w:p>
            <w:pPr>
              <w:spacing w:after="0"/>
              <w:rPr>
                <w:sz w:val="1"/>
                <w:szCs w:val="1"/>
                <w:color w:val="auto"/>
              </w:rPr>
            </w:pPr>
          </w:p>
        </w:tc>
      </w:tr>
      <w:tr>
        <w:trPr>
          <w:trHeight w:val="229"/>
        </w:trPr>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paid for acquisitions, net of cash acquired (Note 3)</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(747.4)</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(849.3)</w:t>
            </w:r>
          </w:p>
        </w:tc>
        <w:tc>
          <w:tcPr>
            <w:tcW w:w="0" w:type="dxa"/>
            <w:vAlign w:val="bottom"/>
          </w:tcPr>
          <w:p>
            <w:pPr>
              <w:spacing w:after="0"/>
              <w:rPr>
                <w:sz w:val="1"/>
                <w:szCs w:val="1"/>
                <w:color w:val="auto"/>
              </w:rPr>
            </w:pPr>
          </w:p>
        </w:tc>
      </w:tr>
      <w:tr>
        <w:trPr>
          <w:trHeight w:val="230"/>
        </w:trPr>
        <w:tc>
          <w:tcPr>
            <w:tcW w:w="8800" w:type="dxa"/>
            <w:vAlign w:val="bottom"/>
          </w:tcPr>
          <w:p>
            <w:pPr>
              <w:ind w:left="140"/>
              <w:spacing w:after="0"/>
              <w:rPr>
                <w:sz w:val="20"/>
                <w:szCs w:val="20"/>
                <w:color w:val="auto"/>
              </w:rPr>
            </w:pPr>
            <w:r>
              <w:rPr>
                <w:rFonts w:ascii="Arial" w:cs="Arial" w:eastAsia="Arial" w:hAnsi="Arial"/>
                <w:sz w:val="18"/>
                <w:szCs w:val="18"/>
                <w:color w:val="auto"/>
              </w:rPr>
              <w:t>Purchases of in-process research and development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(341.8)</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(254.4)</w:t>
            </w:r>
          </w:p>
        </w:tc>
        <w:tc>
          <w:tcPr>
            <w:tcW w:w="0" w:type="dxa"/>
            <w:vAlign w:val="bottom"/>
          </w:tcPr>
          <w:p>
            <w:pPr>
              <w:spacing w:after="0"/>
              <w:rPr>
                <w:sz w:val="1"/>
                <w:szCs w:val="1"/>
                <w:color w:val="auto"/>
              </w:rPr>
            </w:pPr>
          </w:p>
        </w:tc>
      </w:tr>
      <w:tr>
        <w:trPr>
          <w:trHeight w:val="230"/>
        </w:trPr>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investing activities, net</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50.5</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3"/>
        </w:trPr>
        <w:tc>
          <w:tcPr>
            <w:tcW w:w="8800" w:type="dxa"/>
            <w:vAlign w:val="bottom"/>
          </w:tcPr>
          <w:p>
            <w:pPr>
              <w:ind w:left="20"/>
              <w:spacing w:after="0"/>
              <w:rPr>
                <w:sz w:val="20"/>
                <w:szCs w:val="20"/>
                <w:color w:val="auto"/>
              </w:rPr>
            </w:pPr>
            <w:r>
              <w:rPr>
                <w:rFonts w:ascii="Arial" w:cs="Arial" w:eastAsia="Arial" w:hAnsi="Arial"/>
                <w:sz w:val="18"/>
                <w:szCs w:val="18"/>
                <w:b w:val="1"/>
                <w:bCs w:val="1"/>
                <w:color w:val="auto"/>
              </w:rPr>
              <w:t>Net Cash Used for Investing Activities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(1,766.8)</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(1,271.3)</w:t>
            </w:r>
          </w:p>
        </w:tc>
        <w:tc>
          <w:tcPr>
            <w:tcW w:w="0" w:type="dxa"/>
            <w:vAlign w:val="bottom"/>
          </w:tcPr>
          <w:p>
            <w:pPr>
              <w:spacing w:after="0"/>
              <w:rPr>
                <w:sz w:val="1"/>
                <w:szCs w:val="1"/>
                <w:color w:val="auto"/>
              </w:rPr>
            </w:pPr>
          </w:p>
        </w:tc>
      </w:tr>
      <w:tr>
        <w:trPr>
          <w:trHeight w:val="230"/>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0" w:type="dxa"/>
            <w:vAlign w:val="bottom"/>
          </w:tcPr>
          <w:p>
            <w:pPr>
              <w:ind w:left="140"/>
              <w:spacing w:after="0"/>
              <w:rPr>
                <w:sz w:val="20"/>
                <w:szCs w:val="20"/>
                <w:color w:val="auto"/>
              </w:rPr>
            </w:pPr>
            <w:r>
              <w:rPr>
                <w:rFonts w:ascii="Arial" w:cs="Arial" w:eastAsia="Arial" w:hAnsi="Arial"/>
                <w:sz w:val="18"/>
                <w:szCs w:val="18"/>
                <w:color w:val="auto"/>
              </w:rPr>
              <w:t>Dividends paid</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(1,543.1)</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(1,345.5)</w:t>
            </w:r>
          </w:p>
        </w:tc>
        <w:tc>
          <w:tcPr>
            <w:tcW w:w="0" w:type="dxa"/>
            <w:vAlign w:val="bottom"/>
          </w:tcPr>
          <w:p>
            <w:pPr>
              <w:spacing w:after="0"/>
              <w:rPr>
                <w:sz w:val="1"/>
                <w:szCs w:val="1"/>
                <w:color w:val="auto"/>
              </w:rPr>
            </w:pPr>
          </w:p>
        </w:tc>
      </w:tr>
      <w:tr>
        <w:trPr>
          <w:trHeight w:val="229"/>
        </w:trPr>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change in short-term borrowings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196.3</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w:t>
            </w:r>
          </w:p>
        </w:tc>
        <w:tc>
          <w:tcPr>
            <w:tcW w:w="0" w:type="dxa"/>
            <w:vAlign w:val="bottom"/>
          </w:tcPr>
          <w:p>
            <w:pPr>
              <w:spacing w:after="0"/>
              <w:rPr>
                <w:sz w:val="1"/>
                <w:szCs w:val="1"/>
                <w:color w:val="auto"/>
              </w:rPr>
            </w:pPr>
          </w:p>
        </w:tc>
      </w:tr>
      <w:tr>
        <w:trPr>
          <w:trHeight w:val="230"/>
        </w:trPr>
        <w:tc>
          <w:tcPr>
            <w:tcW w:w="8800" w:type="dxa"/>
            <w:vAlign w:val="bottom"/>
          </w:tcPr>
          <w:p>
            <w:pPr>
              <w:ind w:left="140"/>
              <w:spacing w:after="0"/>
              <w:rPr>
                <w:sz w:val="20"/>
                <w:szCs w:val="20"/>
                <w:color w:val="auto"/>
              </w:rPr>
            </w:pPr>
            <w:r>
              <w:rPr>
                <w:rFonts w:ascii="Arial" w:cs="Arial" w:eastAsia="Arial" w:hAnsi="Arial"/>
                <w:sz w:val="18"/>
                <w:szCs w:val="18"/>
                <w:color w:val="auto"/>
              </w:rPr>
              <w:t>Proceeds from issuance of long-term debt</w:t>
            </w:r>
          </w:p>
        </w:tc>
        <w:tc>
          <w:tcPr>
            <w:tcW w:w="280" w:type="dxa"/>
            <w:vAlign w:val="bottom"/>
          </w:tcPr>
          <w:p>
            <w:pPr>
              <w:spacing w:after="0"/>
              <w:rPr>
                <w:sz w:val="19"/>
                <w:szCs w:val="19"/>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988.6</w:t>
            </w:r>
          </w:p>
        </w:tc>
        <w:tc>
          <w:tcPr>
            <w:tcW w:w="0" w:type="dxa"/>
            <w:vAlign w:val="bottom"/>
          </w:tcPr>
          <w:p>
            <w:pPr>
              <w:spacing w:after="0"/>
              <w:rPr>
                <w:sz w:val="1"/>
                <w:szCs w:val="1"/>
                <w:color w:val="auto"/>
              </w:rPr>
            </w:pPr>
          </w:p>
        </w:tc>
      </w:tr>
      <w:tr>
        <w:trPr>
          <w:trHeight w:val="230"/>
        </w:trPr>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Repayments of long-term debt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(276.3)</w:t>
            </w:r>
          </w:p>
        </w:tc>
        <w:tc>
          <w:tcPr>
            <w:tcW w:w="0" w:type="dxa"/>
            <w:vAlign w:val="bottom"/>
          </w:tcPr>
          <w:p>
            <w:pPr>
              <w:spacing w:after="0"/>
              <w:rPr>
                <w:sz w:val="1"/>
                <w:szCs w:val="1"/>
                <w:color w:val="auto"/>
              </w:rPr>
            </w:pPr>
          </w:p>
        </w:tc>
      </w:tr>
      <w:tr>
        <w:trPr>
          <w:trHeight w:val="230"/>
        </w:trPr>
        <w:tc>
          <w:tcPr>
            <w:tcW w:w="8800" w:type="dxa"/>
            <w:vAlign w:val="bottom"/>
          </w:tcPr>
          <w:p>
            <w:pPr>
              <w:ind w:left="140"/>
              <w:spacing w:after="0"/>
              <w:rPr>
                <w:sz w:val="20"/>
                <w:szCs w:val="20"/>
                <w:color w:val="auto"/>
              </w:rPr>
            </w:pPr>
            <w:r>
              <w:rPr>
                <w:rFonts w:ascii="Arial" w:cs="Arial" w:eastAsia="Arial" w:hAnsi="Arial"/>
                <w:sz w:val="18"/>
                <w:szCs w:val="18"/>
                <w:color w:val="auto"/>
              </w:rPr>
              <w:t>Purchases of common stock</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(500.0)</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29"/>
        </w:trPr>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financing activities, net</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(294.8)</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(197.9)</w:t>
            </w:r>
          </w:p>
        </w:tc>
        <w:tc>
          <w:tcPr>
            <w:tcW w:w="0" w:type="dxa"/>
            <w:vAlign w:val="bottom"/>
          </w:tcPr>
          <w:p>
            <w:pPr>
              <w:spacing w:after="0"/>
              <w:rPr>
                <w:sz w:val="1"/>
                <w:szCs w:val="1"/>
                <w:color w:val="auto"/>
              </w:rPr>
            </w:pPr>
          </w:p>
        </w:tc>
      </w:tr>
      <w:tr>
        <w:trPr>
          <w:trHeight w:val="223"/>
        </w:trPr>
        <w:tc>
          <w:tcPr>
            <w:tcW w:w="8800" w:type="dxa"/>
            <w:vAlign w:val="bottom"/>
          </w:tcPr>
          <w:p>
            <w:pPr>
              <w:ind w:left="20"/>
              <w:spacing w:after="0"/>
              <w:rPr>
                <w:sz w:val="20"/>
                <w:szCs w:val="20"/>
                <w:color w:val="auto"/>
              </w:rPr>
            </w:pPr>
            <w:r>
              <w:rPr>
                <w:rFonts w:ascii="Arial" w:cs="Arial" w:eastAsia="Arial" w:hAnsi="Arial"/>
                <w:sz w:val="18"/>
                <w:szCs w:val="18"/>
                <w:b w:val="1"/>
                <w:bCs w:val="1"/>
                <w:color w:val="auto"/>
              </w:rPr>
              <w:t>Net Cash Used for Financing Activities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(2,141.6)</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(1,566.5)</w:t>
            </w:r>
          </w:p>
        </w:tc>
        <w:tc>
          <w:tcPr>
            <w:tcW w:w="0" w:type="dxa"/>
            <w:vAlign w:val="bottom"/>
          </w:tcPr>
          <w:p>
            <w:pPr>
              <w:spacing w:after="0"/>
              <w:rPr>
                <w:sz w:val="1"/>
                <w:szCs w:val="1"/>
                <w:color w:val="auto"/>
              </w:rPr>
            </w:pPr>
          </w:p>
        </w:tc>
      </w:tr>
      <w:tr>
        <w:trPr>
          <w:trHeight w:val="229"/>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37"/>
        </w:trPr>
        <w:tc>
          <w:tcPr>
            <w:tcW w:w="8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increase in cash and cash equivalents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(437.1)</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29"/>
        </w:trPr>
        <w:tc>
          <w:tcPr>
            <w:tcW w:w="8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at January 1</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3,657.1</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2,337.5</w:t>
            </w:r>
          </w:p>
        </w:tc>
        <w:tc>
          <w:tcPr>
            <w:tcW w:w="0" w:type="dxa"/>
            <w:vAlign w:val="bottom"/>
          </w:tcPr>
          <w:p>
            <w:pPr>
              <w:spacing w:after="0"/>
              <w:rPr>
                <w:sz w:val="1"/>
                <w:szCs w:val="1"/>
                <w:color w:val="auto"/>
              </w:rPr>
            </w:pPr>
          </w:p>
        </w:tc>
      </w:tr>
      <w:tr>
        <w:trPr>
          <w:trHeight w:val="230"/>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at June 30</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3,220.0</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2,365.1</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0" w:name="page11"/>
    <w:bookmarkEnd w:id="10"/>
    <w:p>
      <w:pPr>
        <w:jc w:val="center"/>
        <w:ind w:right="-79"/>
        <w:spacing w:after="0"/>
        <w:rPr>
          <w:sz w:val="20"/>
          <w:szCs w:val="20"/>
          <w:color w:val="auto"/>
        </w:rPr>
      </w:pPr>
      <w:r>
        <w:rPr>
          <w:rFonts w:ascii="Arial" w:cs="Arial" w:eastAsia="Arial" w:hAnsi="Arial"/>
          <w:sz w:val="18"/>
          <w:szCs w:val="18"/>
          <w:b w:val="1"/>
          <w:bCs w:val="1"/>
          <w:color w:val="auto"/>
        </w:rPr>
        <w:t>Notes to Consolidated Condensed Financial Statements</w:t>
      </w:r>
    </w:p>
    <w:p>
      <w:pPr>
        <w:spacing w:after="0" w:line="32"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(Tables present dollars in millions, except per-share data)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have prepared the accompanying unaudited consolidated condensed financial statements in accordance with the requirements of Form 10-Q and, therefore, they do not include all information and footnotes necessary for a fair presentation of financial position, results of operations, and cash flows in conformity with accounting principles generally accepted in the United States (GAAP). In our opinion, the consolidated condensed financial statements reflect all adjustments (including those that are normal and recurring) that are necessary for a fair presentation of the results of operations for the periods shown. In preparing financial statements in conformity with GAAP, we must make estimates and assumptions that affect the reported amounts of assets, liabilities, revenue, expenses, and related disclosures at the date of the financial statements and during the reporting period. Actual results could differ from those estimates.</w:t>
      </w:r>
    </w:p>
    <w:p>
      <w:pPr>
        <w:spacing w:after="0" w:line="99" w:lineRule="exact"/>
        <w:rPr>
          <w:sz w:val="20"/>
          <w:szCs w:val="20"/>
          <w:color w:val="auto"/>
        </w:rPr>
      </w:pPr>
    </w:p>
    <w:p>
      <w:pPr>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The information included in this Quarterly Report on Form 10-Q should be read in conjunction with our consolidated financial statements and accompanying notes included in our Annual Report on </w:t>
      </w:r>
      <w:hyperlink r:id="rId14">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2020. We issue our financial statements by filing them with the Securities and Exchange Commission and have evaluated subsequent events up to the time of the filing of this Quarterly Report on Form 10-Q.</w:t>
      </w:r>
    </w:p>
    <w:p>
      <w:pPr>
        <w:spacing w:after="0" w:line="96"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All per-share amounts, unless otherwise noted in the footnotes, are presented on a diluted basis, that is, based on the weighted-average number of common shares outstanding plus the effect of incremental shares from our stock-based compensation programs.</w:t>
      </w:r>
    </w:p>
    <w:p>
      <w:pPr>
        <w:spacing w:after="0" w:line="90"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operate as a single operating segment engaged in the discovery, development, manufacturing, marketing, and sales of pharmaceutical products worldwide. A global research and development organization and a supply chain organization are responsible for the discovery, development, manufacturing, and supply of our products. Regional commercial organizations market, distribute, and sell the products. The business is also supported by global corporate staff functions. Our determination that we operate as a single segment is consistent with the financial information regularly reviewed by the chief operating decision maker for purposes of evaluating performance, allocating resources, setting incentive compensation targets, and planning and forecasting for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86" w:right="41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2: Revenue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recognized in our consolidated condensed statements of operations: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3"/>
          </w:tcPr>
          <w:p>
            <w:pPr>
              <w:jc w:val="right"/>
              <w:ind w:right="635"/>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3"/>
          </w:tcPr>
          <w:p>
            <w:pPr>
              <w:jc w:val="right"/>
              <w:ind w:right="695"/>
              <w:spacing w:after="0"/>
              <w:rPr>
                <w:sz w:val="20"/>
                <w:szCs w:val="20"/>
                <w:color w:val="auto"/>
              </w:rPr>
            </w:pPr>
            <w:r>
              <w:rPr>
                <w:rFonts w:ascii="Arial" w:cs="Arial" w:eastAsia="Arial" w:hAnsi="Arial"/>
                <w:sz w:val="14"/>
                <w:szCs w:val="14"/>
                <w:b w:val="1"/>
                <w:bCs w:val="1"/>
                <w:color w:val="auto"/>
              </w:rPr>
              <w:t>Six Months Ended June 30,</w:t>
            </w:r>
          </w:p>
        </w:tc>
      </w:tr>
      <w:tr>
        <w:trPr>
          <w:trHeight w:val="209"/>
        </w:trPr>
        <w:tc>
          <w:tcPr>
            <w:tcW w:w="42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2020</w:t>
            </w:r>
          </w:p>
        </w:tc>
      </w:tr>
      <w:tr>
        <w:trPr>
          <w:trHeight w:val="223"/>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product revenue</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28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6,070.5</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5,077.7</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12,390.5</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10,481.2</w:t>
            </w:r>
          </w:p>
        </w:tc>
      </w:tr>
      <w:tr>
        <w:trPr>
          <w:trHeight w:val="229"/>
        </w:trPr>
        <w:tc>
          <w:tcPr>
            <w:tcW w:w="42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Collaboration and other revenue </w:t>
            </w:r>
            <w:r>
              <w:rPr>
                <w:rFonts w:ascii="Arial" w:cs="Arial" w:eastAsia="Arial" w:hAnsi="Arial"/>
                <w:sz w:val="23"/>
                <w:szCs w:val="23"/>
                <w:color w:val="auto"/>
                <w:vertAlign w:val="superscript"/>
              </w:rPr>
              <w:t>(1)</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669.6</w:t>
            </w:r>
          </w:p>
        </w:tc>
        <w:tc>
          <w:tcPr>
            <w:tcW w:w="4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421.7</w:t>
            </w:r>
          </w:p>
        </w:tc>
        <w:tc>
          <w:tcPr>
            <w:tcW w:w="4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1,155.2</w:t>
            </w:r>
          </w:p>
        </w:tc>
        <w:tc>
          <w:tcPr>
            <w:tcW w:w="4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878.0</w:t>
            </w:r>
          </w:p>
        </w:tc>
      </w:tr>
      <w:tr>
        <w:trPr>
          <w:trHeight w:val="23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6,740.1</w:t>
            </w:r>
          </w:p>
        </w:tc>
        <w:tc>
          <w:tcPr>
            <w:tcW w:w="4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5,499.4</w:t>
            </w:r>
          </w:p>
        </w:tc>
        <w:tc>
          <w:tcPr>
            <w:tcW w:w="4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13,545.7</w:t>
            </w:r>
          </w:p>
        </w:tc>
        <w:tc>
          <w:tcPr>
            <w:tcW w:w="4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11,359.2</w:t>
            </w:r>
          </w:p>
        </w:tc>
      </w:tr>
    </w:tbl>
    <w:p>
      <w:pPr>
        <w:spacing w:after="0" w:line="113" w:lineRule="exact"/>
        <w:rPr>
          <w:sz w:val="20"/>
          <w:szCs w:val="20"/>
          <w:color w:val="auto"/>
        </w:rPr>
      </w:pPr>
    </w:p>
    <w:p>
      <w:pPr>
        <w:ind w:left="180" w:right="440" w:hanging="172"/>
        <w:spacing w:after="0" w:line="217" w:lineRule="auto"/>
        <w:tabs>
          <w:tab w:leader="none" w:pos="158"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Collaboration and other revenue associated with prior period transfers of intellectual property was $31.0 million and $73.9 million during the three and six months ended June 30, 2021, respectively, and $34.7 million and $70.0 million during the three and six months ended June 30, 2020, respectively.</w:t>
      </w:r>
    </w:p>
    <w:p>
      <w:pPr>
        <w:spacing w:after="0" w:line="94" w:lineRule="exact"/>
        <w:rPr>
          <w:sz w:val="20"/>
          <w:szCs w:val="20"/>
          <w:color w:val="auto"/>
        </w:rPr>
      </w:pPr>
    </w:p>
    <w:p>
      <w:pPr>
        <w:ind w:right="140"/>
        <w:spacing w:after="0" w:line="237" w:lineRule="auto"/>
        <w:rPr>
          <w:sz w:val="20"/>
          <w:szCs w:val="20"/>
          <w:color w:val="auto"/>
        </w:rPr>
      </w:pPr>
      <w:r>
        <w:rPr>
          <w:rFonts w:ascii="Arial" w:cs="Arial" w:eastAsia="Arial" w:hAnsi="Arial"/>
          <w:sz w:val="17"/>
          <w:szCs w:val="17"/>
          <w:color w:val="auto"/>
        </w:rPr>
        <w:t>We recognize revenue primarily from two different types of contracts, product sales to customers (net product revenue) and collaborations and other arrangements. Revenue recognized from collaborations and other arrangements includes our share of profits from the collaboration, as well as royalties, upfront and milestone payments we receive under these types of contracts. See Note 4 for additional information related to certain of our collaborations and other arrangements. Collaboration and other revenue disclosed above includes the revenue from the Jardiance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Trajenta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families of products resulting from our collaboration with Boehringer Ingelheim discussed in Note</w:t>
      </w:r>
    </w:p>
    <w:p>
      <w:pPr>
        <w:spacing w:after="0" w:line="1" w:lineRule="exact"/>
        <w:rPr>
          <w:sz w:val="20"/>
          <w:szCs w:val="20"/>
          <w:color w:val="auto"/>
        </w:rPr>
      </w:pPr>
    </w:p>
    <w:p>
      <w:pPr>
        <w:ind w:right="420" w:firstLine="8"/>
        <w:spacing w:after="0" w:line="375" w:lineRule="auto"/>
        <w:tabs>
          <w:tab w:leader="none" w:pos="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Substantially all of the remainder of collaboration and other revenue is related to contracts accounted for as contracts with customers. </w:t>
      </w:r>
      <w:r>
        <w:rPr>
          <w:rFonts w:ascii="Arial" w:cs="Arial" w:eastAsia="Arial" w:hAnsi="Arial"/>
          <w:sz w:val="18"/>
          <w:szCs w:val="18"/>
          <w:u w:val="single" w:color="auto"/>
          <w:color w:val="auto"/>
        </w:rPr>
        <w:t>Adjustments to Revenue</w:t>
      </w:r>
    </w:p>
    <w:p>
      <w:pPr>
        <w:spacing w:after="0" w:line="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Adjustments to increase (decrease) revenue recognized as a result of changes in estimates for our most significant United States (U.S.) sales returns, rebates, and discounts liability balances for products shipped in previous periods were less than 1 percent of U.S. revenue during each of the three and six months ended June 30, 2021, and approximately (2) percent and 1 percent of U.S. revenue for the three and six months ended June 30, 2020, respectively.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Liabilities</w:t>
      </w:r>
    </w:p>
    <w:p>
      <w:pPr>
        <w:spacing w:after="0" w:line="11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Our contract liabilities result from arrangements where we have received payment in advance of performance under the contract and do not include sales returns, rebates, and discounts. Changes in contract liabilities are generally due to either receipt of additional advance payments or our performance under the contract.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contract liability balances: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4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June 30, 2021</w:t>
            </w:r>
          </w:p>
        </w:tc>
        <w:tc>
          <w:tcPr>
            <w:tcW w:w="2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December 31, 2020</w:t>
            </w:r>
          </w:p>
        </w:tc>
      </w:tr>
      <w:tr>
        <w:trPr>
          <w:trHeight w:val="223"/>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liabilities</w:t>
            </w:r>
          </w:p>
        </w:tc>
        <w:tc>
          <w:tcPr>
            <w:tcW w:w="326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600" w:type="dxa"/>
            <w:vAlign w:val="bottom"/>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270.9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276.8</w:t>
            </w:r>
          </w:p>
        </w:tc>
      </w:tr>
    </w:tbl>
    <w:p>
      <w:pPr>
        <w:spacing w:after="0" w:line="215" w:lineRule="exact"/>
        <w:rPr>
          <w:sz w:val="20"/>
          <w:szCs w:val="20"/>
          <w:color w:val="auto"/>
        </w:rPr>
      </w:pPr>
    </w:p>
    <w:p>
      <w:pPr>
        <w:jc w:val="both"/>
        <w:ind w:right="560"/>
        <w:spacing w:after="0" w:line="256" w:lineRule="auto"/>
        <w:rPr>
          <w:sz w:val="20"/>
          <w:szCs w:val="20"/>
          <w:color w:val="auto"/>
        </w:rPr>
      </w:pPr>
      <w:r>
        <w:rPr>
          <w:rFonts w:ascii="Arial" w:cs="Arial" w:eastAsia="Arial" w:hAnsi="Arial"/>
          <w:sz w:val="18"/>
          <w:szCs w:val="18"/>
          <w:color w:val="auto"/>
        </w:rPr>
        <w:t>During the three and six months ended June 30, 2021 and 2020, revenue recognized from contract liabilities as of the beginning of the respective year was not material. Revenue expected to be recognized in the future from contract liabilities as the related performance obligations are satisfied is not expected to be material in any one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auto"/>
        </w:rPr>
        <w:t>Disaggregation of 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revenue by product for the three months ended June 30, 2021 and 2020:</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ind w:right="31"/>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183"/>
        </w:trPr>
        <w:tc>
          <w:tcPr>
            <w:tcW w:w="4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r>
      <w:tr>
        <w:trPr>
          <w:trHeight w:val="183"/>
        </w:trPr>
        <w:tc>
          <w:tcPr>
            <w:tcW w:w="42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U.S.</w:t>
            </w: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Outside U.S.</w:t>
            </w: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Total</w:t>
            </w:r>
          </w:p>
        </w:tc>
        <w:tc>
          <w:tcPr>
            <w:tcW w:w="3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U.S.</w:t>
            </w: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Outside U.S.</w:t>
            </w: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Total</w:t>
            </w:r>
          </w:p>
        </w:tc>
      </w:tr>
      <w:tr>
        <w:trPr>
          <w:trHeight w:val="223"/>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Revenue—to unaffiliated customers: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4240" w:type="dxa"/>
            <w:vAlign w:val="bottom"/>
          </w:tcPr>
          <w:p>
            <w:pPr>
              <w:ind w:left="220"/>
              <w:spacing w:after="0"/>
              <w:rPr>
                <w:sz w:val="20"/>
                <w:szCs w:val="20"/>
                <w:color w:val="auto"/>
              </w:rPr>
            </w:pPr>
            <w:r>
              <w:rPr>
                <w:rFonts w:ascii="Arial" w:cs="Arial" w:eastAsia="Arial" w:hAnsi="Arial"/>
                <w:sz w:val="18"/>
                <w:szCs w:val="18"/>
                <w:color w:val="auto"/>
              </w:rPr>
              <w:t>Diabetes:</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4240" w:type="dxa"/>
            <w:vAlign w:val="bottom"/>
            <w:shd w:val="clear" w:color="auto" w:fill="CCEEFF"/>
          </w:tcPr>
          <w:p>
            <w:pPr>
              <w:ind w:left="680"/>
              <w:spacing w:after="0" w:line="230" w:lineRule="exact"/>
              <w:rPr>
                <w:sz w:val="20"/>
                <w:szCs w:val="20"/>
                <w:color w:val="auto"/>
              </w:rPr>
            </w:pPr>
            <w:r>
              <w:rPr>
                <w:rFonts w:ascii="Arial" w:cs="Arial" w:eastAsia="Arial" w:hAnsi="Arial"/>
                <w:sz w:val="18"/>
                <w:szCs w:val="18"/>
                <w:i w:val="1"/>
                <w:iCs w:val="1"/>
                <w:color w:val="auto"/>
              </w:rPr>
              <w:t>Trulicity</w:t>
            </w:r>
            <w:r>
              <w:rPr>
                <w:rFonts w:ascii="Arial" w:cs="Arial" w:eastAsia="Arial" w:hAnsi="Arial"/>
                <w:sz w:val="23"/>
                <w:szCs w:val="23"/>
                <w:color w:val="auto"/>
                <w:vertAlign w:val="superscript"/>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1,147.6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388.0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1,535.6</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277.2</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1,229.8</w:t>
            </w:r>
          </w:p>
        </w:tc>
      </w:tr>
      <w:tr>
        <w:trPr>
          <w:trHeight w:val="229"/>
        </w:trPr>
        <w:tc>
          <w:tcPr>
            <w:tcW w:w="4240" w:type="dxa"/>
            <w:vAlign w:val="bottom"/>
          </w:tcPr>
          <w:p>
            <w:pPr>
              <w:ind w:left="680"/>
              <w:spacing w:after="0" w:line="230" w:lineRule="exact"/>
              <w:rPr>
                <w:sz w:val="20"/>
                <w:szCs w:val="20"/>
                <w:color w:val="auto"/>
              </w:rPr>
            </w:pPr>
            <w:r>
              <w:rPr>
                <w:rFonts w:ascii="Arial" w:cs="Arial" w:eastAsia="Arial" w:hAnsi="Arial"/>
                <w:sz w:val="18"/>
                <w:szCs w:val="18"/>
                <w:i w:val="1"/>
                <w:iCs w:val="1"/>
                <w:color w:val="auto"/>
              </w:rPr>
              <w:t>Humalog</w:t>
            </w:r>
            <w:r>
              <w:rPr>
                <w:rFonts w:ascii="Arial" w:cs="Arial" w:eastAsia="Arial" w:hAnsi="Arial"/>
                <w:sz w:val="23"/>
                <w:szCs w:val="23"/>
                <w:color w:val="auto"/>
                <w:vertAlign w:val="superscript"/>
              </w:rPr>
              <w:t>® (1)</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329.1</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278.6</w:t>
            </w:r>
          </w:p>
        </w:tc>
        <w:tc>
          <w:tcPr>
            <w:tcW w:w="16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607.6</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281.7</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273.3</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555.1</w:t>
            </w:r>
          </w:p>
        </w:tc>
      </w:tr>
      <w:tr>
        <w:trPr>
          <w:trHeight w:val="230"/>
        </w:trPr>
        <w:tc>
          <w:tcPr>
            <w:tcW w:w="4240" w:type="dxa"/>
            <w:vAlign w:val="bottom"/>
            <w:shd w:val="clear" w:color="auto" w:fill="CCEEFF"/>
          </w:tcPr>
          <w:p>
            <w:pPr>
              <w:ind w:left="680"/>
              <w:spacing w:after="0" w:line="230" w:lineRule="exact"/>
              <w:rPr>
                <w:sz w:val="20"/>
                <w:szCs w:val="20"/>
                <w:color w:val="auto"/>
              </w:rPr>
            </w:pPr>
            <w:r>
              <w:rPr>
                <w:rFonts w:ascii="Arial" w:cs="Arial" w:eastAsia="Arial" w:hAnsi="Arial"/>
                <w:sz w:val="18"/>
                <w:szCs w:val="18"/>
                <w:i w:val="1"/>
                <w:iCs w:val="1"/>
                <w:color w:val="auto"/>
              </w:rPr>
              <w:t>Humulin</w:t>
            </w:r>
            <w:r>
              <w:rPr>
                <w:rFonts w:ascii="Arial" w:cs="Arial" w:eastAsia="Arial" w:hAnsi="Arial"/>
                <w:sz w:val="23"/>
                <w:szCs w:val="23"/>
                <w:color w:val="auto"/>
                <w:vertAlign w:val="superscript"/>
              </w:rPr>
              <w:t>®</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221.1</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94.3</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315.3</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214.3</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313.6</w:t>
            </w:r>
          </w:p>
        </w:tc>
      </w:tr>
      <w:tr>
        <w:trPr>
          <w:trHeight w:val="229"/>
        </w:trPr>
        <w:tc>
          <w:tcPr>
            <w:tcW w:w="4240" w:type="dxa"/>
            <w:vAlign w:val="bottom"/>
          </w:tcPr>
          <w:p>
            <w:pPr>
              <w:ind w:left="680"/>
              <w:spacing w:after="0" w:line="230" w:lineRule="exact"/>
              <w:rPr>
                <w:sz w:val="20"/>
                <w:szCs w:val="20"/>
                <w:color w:val="auto"/>
              </w:rPr>
            </w:pPr>
            <w:r>
              <w:rPr>
                <w:rFonts w:ascii="Arial" w:cs="Arial" w:eastAsia="Arial" w:hAnsi="Arial"/>
                <w:sz w:val="18"/>
                <w:szCs w:val="18"/>
                <w:i w:val="1"/>
                <w:iCs w:val="1"/>
                <w:color w:val="auto"/>
              </w:rPr>
              <w:t xml:space="preserve">Jardiance </w:t>
            </w:r>
            <w:r>
              <w:rPr>
                <w:rFonts w:ascii="Arial" w:cs="Arial" w:eastAsia="Arial" w:hAnsi="Arial"/>
                <w:sz w:val="23"/>
                <w:szCs w:val="23"/>
                <w:color w:val="auto"/>
                <w:vertAlign w:val="superscript"/>
              </w:rPr>
              <w:t>(2)</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194.4</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162.1</w:t>
            </w:r>
          </w:p>
        </w:tc>
        <w:tc>
          <w:tcPr>
            <w:tcW w:w="16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356.5</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145.1</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116.9</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262.0</w:t>
            </w:r>
          </w:p>
        </w:tc>
      </w:tr>
      <w:tr>
        <w:trPr>
          <w:trHeight w:val="229"/>
        </w:trPr>
        <w:tc>
          <w:tcPr>
            <w:tcW w:w="4240" w:type="dxa"/>
            <w:vAlign w:val="bottom"/>
            <w:shd w:val="clear" w:color="auto" w:fill="CCEEFF"/>
          </w:tcPr>
          <w:p>
            <w:pPr>
              <w:ind w:left="680"/>
              <w:spacing w:after="0" w:line="230" w:lineRule="exact"/>
              <w:rPr>
                <w:sz w:val="20"/>
                <w:szCs w:val="20"/>
                <w:color w:val="auto"/>
              </w:rPr>
            </w:pPr>
            <w:r>
              <w:rPr>
                <w:rFonts w:ascii="Arial" w:cs="Arial" w:eastAsia="Arial" w:hAnsi="Arial"/>
                <w:sz w:val="18"/>
                <w:szCs w:val="18"/>
                <w:i w:val="1"/>
                <w:iCs w:val="1"/>
                <w:color w:val="auto"/>
              </w:rPr>
              <w:t>Basaglar</w:t>
            </w:r>
            <w:r>
              <w:rPr>
                <w:rFonts w:ascii="Arial" w:cs="Arial" w:eastAsia="Arial" w:hAnsi="Arial"/>
                <w:sz w:val="23"/>
                <w:szCs w:val="23"/>
                <w:color w:val="auto"/>
                <w:vertAlign w:val="superscript"/>
              </w:rPr>
              <w:t>®</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133.4</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77.3</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210.7</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290.4</w:t>
            </w:r>
          </w:p>
        </w:tc>
      </w:tr>
      <w:tr>
        <w:trPr>
          <w:trHeight w:val="230"/>
        </w:trPr>
        <w:tc>
          <w:tcPr>
            <w:tcW w:w="4240" w:type="dxa"/>
            <w:vAlign w:val="bottom"/>
            <w:tcBorders>
              <w:bottom w:val="single" w:sz="8" w:color="CCEEFF"/>
            </w:tcBorders>
          </w:tcPr>
          <w:p>
            <w:pPr>
              <w:ind w:left="680"/>
              <w:spacing w:after="0"/>
              <w:rPr>
                <w:sz w:val="20"/>
                <w:szCs w:val="20"/>
                <w:color w:val="auto"/>
              </w:rPr>
            </w:pPr>
            <w:r>
              <w:rPr>
                <w:rFonts w:ascii="Arial" w:cs="Arial" w:eastAsia="Arial" w:hAnsi="Arial"/>
                <w:sz w:val="18"/>
                <w:szCs w:val="18"/>
                <w:i w:val="1"/>
                <w:iCs w:val="1"/>
                <w:color w:val="auto"/>
              </w:rPr>
              <w:t>Other Diabetes</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54.2</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95.4</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149.8</w:t>
            </w: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w:t>
            </w:r>
          </w:p>
        </w:tc>
      </w:tr>
      <w:tr>
        <w:trPr>
          <w:trHeight w:val="223"/>
        </w:trPr>
        <w:tc>
          <w:tcPr>
            <w:tcW w:w="4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Diabetes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2,079.8</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1,095.7</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3,175.5</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1,873.3</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905.7</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2,779.0</w:t>
            </w:r>
          </w:p>
        </w:tc>
      </w:tr>
      <w:tr>
        <w:trPr>
          <w:trHeight w:val="54"/>
        </w:trPr>
        <w:tc>
          <w:tcPr>
            <w:tcW w:w="4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29"/>
        </w:trPr>
        <w:tc>
          <w:tcPr>
            <w:tcW w:w="4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Oncology:</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4240" w:type="dxa"/>
            <w:vAlign w:val="bottom"/>
          </w:tcPr>
          <w:p>
            <w:pPr>
              <w:ind w:left="680"/>
              <w:spacing w:after="0" w:line="230" w:lineRule="exact"/>
              <w:rPr>
                <w:sz w:val="20"/>
                <w:szCs w:val="20"/>
                <w:color w:val="auto"/>
              </w:rPr>
            </w:pPr>
            <w:r>
              <w:rPr>
                <w:rFonts w:ascii="Arial" w:cs="Arial" w:eastAsia="Arial" w:hAnsi="Arial"/>
                <w:sz w:val="18"/>
                <w:szCs w:val="18"/>
                <w:i w:val="1"/>
                <w:iCs w:val="1"/>
                <w:color w:val="auto"/>
              </w:rPr>
              <w:t>Alimta</w:t>
            </w:r>
            <w:r>
              <w:rPr>
                <w:rFonts w:ascii="Arial" w:cs="Arial" w:eastAsia="Arial" w:hAnsi="Arial"/>
                <w:sz w:val="23"/>
                <w:szCs w:val="23"/>
                <w:color w:val="auto"/>
                <w:vertAlign w:val="superscript"/>
              </w:rPr>
              <w:t>®</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353.5</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257.1</w:t>
            </w:r>
          </w:p>
        </w:tc>
        <w:tc>
          <w:tcPr>
            <w:tcW w:w="16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610.6</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317.2</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221.9</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539.1</w:t>
            </w:r>
          </w:p>
        </w:tc>
      </w:tr>
      <w:tr>
        <w:trPr>
          <w:trHeight w:val="229"/>
        </w:trPr>
        <w:tc>
          <w:tcPr>
            <w:tcW w:w="4240" w:type="dxa"/>
            <w:vAlign w:val="bottom"/>
            <w:shd w:val="clear" w:color="auto" w:fill="CCEEFF"/>
          </w:tcPr>
          <w:p>
            <w:pPr>
              <w:ind w:left="680"/>
              <w:spacing w:after="0" w:line="230" w:lineRule="exact"/>
              <w:rPr>
                <w:sz w:val="20"/>
                <w:szCs w:val="20"/>
                <w:color w:val="auto"/>
              </w:rPr>
            </w:pPr>
            <w:r>
              <w:rPr>
                <w:rFonts w:ascii="Arial" w:cs="Arial" w:eastAsia="Arial" w:hAnsi="Arial"/>
                <w:sz w:val="18"/>
                <w:szCs w:val="18"/>
                <w:i w:val="1"/>
                <w:iCs w:val="1"/>
                <w:color w:val="auto"/>
              </w:rPr>
              <w:t>Verzenio</w:t>
            </w:r>
            <w:r>
              <w:rPr>
                <w:rFonts w:ascii="Arial" w:cs="Arial" w:eastAsia="Arial" w:hAnsi="Arial"/>
                <w:sz w:val="23"/>
                <w:szCs w:val="23"/>
                <w:color w:val="auto"/>
                <w:vertAlign w:val="superscript"/>
              </w:rPr>
              <w:t>®</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209.7</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131.6</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341.3</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w:t>
            </w:r>
          </w:p>
        </w:tc>
      </w:tr>
      <w:tr>
        <w:trPr>
          <w:trHeight w:val="230"/>
        </w:trPr>
        <w:tc>
          <w:tcPr>
            <w:tcW w:w="4240" w:type="dxa"/>
            <w:vAlign w:val="bottom"/>
          </w:tcPr>
          <w:p>
            <w:pPr>
              <w:ind w:left="680"/>
              <w:spacing w:after="0" w:line="230" w:lineRule="exact"/>
              <w:rPr>
                <w:sz w:val="20"/>
                <w:szCs w:val="20"/>
                <w:color w:val="auto"/>
              </w:rPr>
            </w:pPr>
            <w:r>
              <w:rPr>
                <w:rFonts w:ascii="Arial" w:cs="Arial" w:eastAsia="Arial" w:hAnsi="Arial"/>
                <w:sz w:val="18"/>
                <w:szCs w:val="18"/>
                <w:i w:val="1"/>
                <w:iCs w:val="1"/>
                <w:color w:val="auto"/>
              </w:rPr>
              <w:t>Cyramza</w:t>
            </w:r>
            <w:r>
              <w:rPr>
                <w:rFonts w:ascii="Arial" w:cs="Arial" w:eastAsia="Arial" w:hAnsi="Arial"/>
                <w:sz w:val="23"/>
                <w:szCs w:val="23"/>
                <w:color w:val="auto"/>
                <w:vertAlign w:val="superscript"/>
              </w:rPr>
              <w:t>®</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101.4</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167.3</w:t>
            </w:r>
          </w:p>
        </w:tc>
        <w:tc>
          <w:tcPr>
            <w:tcW w:w="16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268.7</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94.1</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162.7</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256.7</w:t>
            </w:r>
          </w:p>
        </w:tc>
      </w:tr>
      <w:tr>
        <w:trPr>
          <w:trHeight w:val="229"/>
        </w:trPr>
        <w:tc>
          <w:tcPr>
            <w:tcW w:w="4240" w:type="dxa"/>
            <w:vAlign w:val="bottom"/>
            <w:shd w:val="clear" w:color="auto" w:fill="CCEEFF"/>
          </w:tcPr>
          <w:p>
            <w:pPr>
              <w:ind w:left="680"/>
              <w:spacing w:after="0" w:line="230" w:lineRule="exact"/>
              <w:rPr>
                <w:sz w:val="20"/>
                <w:szCs w:val="20"/>
                <w:color w:val="auto"/>
              </w:rPr>
            </w:pPr>
            <w:r>
              <w:rPr>
                <w:rFonts w:ascii="Arial" w:cs="Arial" w:eastAsia="Arial" w:hAnsi="Arial"/>
                <w:sz w:val="18"/>
                <w:szCs w:val="18"/>
                <w:i w:val="1"/>
                <w:iCs w:val="1"/>
                <w:color w:val="auto"/>
              </w:rPr>
              <w:t>Erbitux</w:t>
            </w:r>
            <w:r>
              <w:rPr>
                <w:rFonts w:ascii="Arial" w:cs="Arial" w:eastAsia="Arial" w:hAnsi="Arial"/>
                <w:sz w:val="23"/>
                <w:szCs w:val="23"/>
                <w:i w:val="1"/>
                <w:iCs w:val="1"/>
                <w:color w:val="auto"/>
                <w:vertAlign w:val="superscript"/>
              </w:rPr>
              <w:t>®</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135.8</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11.2</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147.0</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w:t>
            </w:r>
          </w:p>
        </w:tc>
      </w:tr>
      <w:tr>
        <w:trPr>
          <w:trHeight w:val="229"/>
        </w:trPr>
        <w:tc>
          <w:tcPr>
            <w:tcW w:w="4240" w:type="dxa"/>
            <w:vAlign w:val="bottom"/>
          </w:tcPr>
          <w:p>
            <w:pPr>
              <w:ind w:left="680"/>
              <w:spacing w:after="0" w:line="230" w:lineRule="exact"/>
              <w:rPr>
                <w:sz w:val="20"/>
                <w:szCs w:val="20"/>
                <w:color w:val="auto"/>
              </w:rPr>
            </w:pPr>
            <w:r>
              <w:rPr>
                <w:rFonts w:ascii="Arial" w:cs="Arial" w:eastAsia="Arial" w:hAnsi="Arial"/>
                <w:sz w:val="18"/>
                <w:szCs w:val="18"/>
                <w:i w:val="1"/>
                <w:iCs w:val="1"/>
                <w:color w:val="auto"/>
              </w:rPr>
              <w:t>Tyvyt</w:t>
            </w:r>
            <w:r>
              <w:rPr>
                <w:rFonts w:ascii="Arial" w:cs="Arial" w:eastAsia="Arial" w:hAnsi="Arial"/>
                <w:sz w:val="23"/>
                <w:szCs w:val="23"/>
                <w:i w:val="1"/>
                <w:iCs w:val="1"/>
                <w:color w:val="auto"/>
                <w:vertAlign w:val="superscript"/>
              </w:rPr>
              <w:t>®</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105.0</w:t>
            </w:r>
          </w:p>
        </w:tc>
        <w:tc>
          <w:tcPr>
            <w:tcW w:w="16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105.0</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64.1</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64.1</w:t>
            </w:r>
          </w:p>
        </w:tc>
      </w:tr>
      <w:tr>
        <w:trPr>
          <w:trHeight w:val="230"/>
        </w:trPr>
        <w:tc>
          <w:tcPr>
            <w:tcW w:w="4240" w:type="dxa"/>
            <w:vAlign w:val="bottom"/>
            <w:shd w:val="clear" w:color="auto" w:fill="CCEEFF"/>
          </w:tcPr>
          <w:p>
            <w:pPr>
              <w:ind w:left="680"/>
              <w:spacing w:after="0"/>
              <w:rPr>
                <w:sz w:val="20"/>
                <w:szCs w:val="20"/>
                <w:color w:val="auto"/>
              </w:rPr>
            </w:pPr>
            <w:r>
              <w:rPr>
                <w:rFonts w:ascii="Arial" w:cs="Arial" w:eastAsia="Arial" w:hAnsi="Arial"/>
                <w:sz w:val="18"/>
                <w:szCs w:val="18"/>
                <w:i w:val="1"/>
                <w:iCs w:val="1"/>
                <w:color w:val="auto"/>
              </w:rPr>
              <w:t>Other Oncology</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27.9</w:t>
            </w: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53.5</w:t>
            </w: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81.4</w:t>
            </w:r>
          </w:p>
        </w:tc>
        <w:tc>
          <w:tcPr>
            <w:tcW w:w="3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w:t>
            </w:r>
          </w:p>
        </w:tc>
      </w:tr>
      <w:tr>
        <w:trPr>
          <w:trHeight w:val="257"/>
        </w:trPr>
        <w:tc>
          <w:tcPr>
            <w:tcW w:w="424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Oncology</w:t>
            </w:r>
          </w:p>
        </w:tc>
        <w:tc>
          <w:tcPr>
            <w:tcW w:w="28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828.3</w:t>
            </w:r>
          </w:p>
        </w:tc>
        <w:tc>
          <w:tcPr>
            <w:tcW w:w="14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725.7</w:t>
            </w:r>
          </w:p>
        </w:tc>
        <w:tc>
          <w:tcPr>
            <w:tcW w:w="16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jc w:val="right"/>
              <w:ind w:right="11"/>
              <w:spacing w:after="0"/>
              <w:rPr>
                <w:sz w:val="20"/>
                <w:szCs w:val="20"/>
                <w:color w:val="auto"/>
              </w:rPr>
            </w:pPr>
            <w:r>
              <w:rPr>
                <w:rFonts w:ascii="Arial" w:cs="Arial" w:eastAsia="Arial" w:hAnsi="Arial"/>
                <w:sz w:val="18"/>
                <w:szCs w:val="18"/>
                <w:b w:val="1"/>
                <w:bCs w:val="1"/>
                <w:color w:val="auto"/>
              </w:rPr>
              <w:t>1,554.0</w:t>
            </w:r>
          </w:p>
        </w:tc>
        <w:tc>
          <w:tcPr>
            <w:tcW w:w="34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682.7</w:t>
            </w:r>
          </w:p>
        </w:tc>
        <w:tc>
          <w:tcPr>
            <w:tcW w:w="180" w:type="dxa"/>
            <w:vAlign w:val="bottom"/>
            <w:tcBorders>
              <w:bottom w:val="single" w:sz="8" w:color="CCEEFF"/>
            </w:tcBorders>
          </w:tcPr>
          <w:p>
            <w:pPr>
              <w:spacing w:after="0"/>
              <w:rPr>
                <w:sz w:val="22"/>
                <w:szCs w:val="22"/>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585.9</w:t>
            </w:r>
          </w:p>
        </w:tc>
        <w:tc>
          <w:tcPr>
            <w:tcW w:w="28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1,268.6</w:t>
            </w:r>
          </w:p>
        </w:tc>
      </w:tr>
      <w:tr>
        <w:trPr>
          <w:trHeight w:val="230"/>
        </w:trPr>
        <w:tc>
          <w:tcPr>
            <w:tcW w:w="4240" w:type="dxa"/>
            <w:vAlign w:val="bottom"/>
          </w:tcPr>
          <w:p>
            <w:pPr>
              <w:ind w:left="360"/>
              <w:spacing w:after="0"/>
              <w:rPr>
                <w:sz w:val="20"/>
                <w:szCs w:val="20"/>
                <w:color w:val="auto"/>
              </w:rPr>
            </w:pPr>
            <w:r>
              <w:rPr>
                <w:rFonts w:ascii="Arial" w:cs="Arial" w:eastAsia="Arial" w:hAnsi="Arial"/>
                <w:sz w:val="18"/>
                <w:szCs w:val="18"/>
                <w:color w:val="auto"/>
              </w:rPr>
              <w:t>Immunology:</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4240" w:type="dxa"/>
            <w:vAlign w:val="bottom"/>
            <w:shd w:val="clear" w:color="auto" w:fill="CCEEFF"/>
          </w:tcPr>
          <w:p>
            <w:pPr>
              <w:ind w:left="680"/>
              <w:spacing w:after="0" w:line="230" w:lineRule="exact"/>
              <w:rPr>
                <w:sz w:val="20"/>
                <w:szCs w:val="20"/>
                <w:color w:val="auto"/>
              </w:rPr>
            </w:pPr>
            <w:r>
              <w:rPr>
                <w:rFonts w:ascii="Arial" w:cs="Arial" w:eastAsia="Arial" w:hAnsi="Arial"/>
                <w:sz w:val="18"/>
                <w:szCs w:val="18"/>
                <w:i w:val="1"/>
                <w:iCs w:val="1"/>
                <w:color w:val="auto"/>
              </w:rPr>
              <w:t>Taltz</w:t>
            </w:r>
            <w:r>
              <w:rPr>
                <w:rFonts w:ascii="Arial" w:cs="Arial" w:eastAsia="Arial" w:hAnsi="Arial"/>
                <w:sz w:val="23"/>
                <w:szCs w:val="23"/>
                <w:color w:val="auto"/>
                <w:vertAlign w:val="superscript"/>
              </w:rPr>
              <w:t>®</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399.8</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169.3</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569.1</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289.2</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395.2</w:t>
            </w:r>
          </w:p>
        </w:tc>
      </w:tr>
      <w:tr>
        <w:trPr>
          <w:trHeight w:val="229"/>
        </w:trPr>
        <w:tc>
          <w:tcPr>
            <w:tcW w:w="4240" w:type="dxa"/>
            <w:vAlign w:val="bottom"/>
          </w:tcPr>
          <w:p>
            <w:pPr>
              <w:ind w:left="680"/>
              <w:spacing w:after="0" w:line="230" w:lineRule="exact"/>
              <w:rPr>
                <w:sz w:val="20"/>
                <w:szCs w:val="20"/>
                <w:color w:val="auto"/>
              </w:rPr>
            </w:pPr>
            <w:r>
              <w:rPr>
                <w:rFonts w:ascii="Arial" w:cs="Arial" w:eastAsia="Arial" w:hAnsi="Arial"/>
                <w:sz w:val="18"/>
                <w:szCs w:val="18"/>
                <w:i w:val="1"/>
                <w:iCs w:val="1"/>
                <w:color w:val="auto"/>
              </w:rPr>
              <w:t>Olumiant</w:t>
            </w:r>
            <w:r>
              <w:rPr>
                <w:rFonts w:ascii="Arial" w:cs="Arial" w:eastAsia="Arial" w:hAnsi="Arial"/>
                <w:sz w:val="23"/>
                <w:szCs w:val="23"/>
                <w:color w:val="auto"/>
                <w:vertAlign w:val="superscript"/>
              </w:rPr>
              <w:t>®</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17.8</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190.6</w:t>
            </w:r>
          </w:p>
        </w:tc>
        <w:tc>
          <w:tcPr>
            <w:tcW w:w="16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208.4</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13.2</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131.8</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145.0</w:t>
            </w:r>
          </w:p>
        </w:tc>
      </w:tr>
      <w:tr>
        <w:trPr>
          <w:trHeight w:val="230"/>
        </w:trPr>
        <w:tc>
          <w:tcPr>
            <w:tcW w:w="4240" w:type="dxa"/>
            <w:vAlign w:val="bottom"/>
            <w:shd w:val="clear" w:color="auto" w:fill="CCEEFF"/>
          </w:tcPr>
          <w:p>
            <w:pPr>
              <w:ind w:left="680"/>
              <w:spacing w:after="0"/>
              <w:rPr>
                <w:sz w:val="20"/>
                <w:szCs w:val="20"/>
                <w:color w:val="auto"/>
              </w:rPr>
            </w:pPr>
            <w:r>
              <w:rPr>
                <w:rFonts w:ascii="Arial" w:cs="Arial" w:eastAsia="Arial" w:hAnsi="Arial"/>
                <w:sz w:val="18"/>
                <w:szCs w:val="18"/>
                <w:i w:val="1"/>
                <w:iCs w:val="1"/>
                <w:color w:val="auto"/>
              </w:rPr>
              <w:t>Other Immunology</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7.9</w:t>
            </w:r>
          </w:p>
        </w:tc>
        <w:tc>
          <w:tcPr>
            <w:tcW w:w="3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23"/>
        </w:trPr>
        <w:tc>
          <w:tcPr>
            <w:tcW w:w="4240" w:type="dxa"/>
            <w:vAlign w:val="bottom"/>
          </w:tcPr>
          <w:p>
            <w:pPr>
              <w:ind w:left="480"/>
              <w:spacing w:after="0"/>
              <w:rPr>
                <w:sz w:val="20"/>
                <w:szCs w:val="20"/>
                <w:color w:val="auto"/>
              </w:rPr>
            </w:pPr>
            <w:r>
              <w:rPr>
                <w:rFonts w:ascii="Arial" w:cs="Arial" w:eastAsia="Arial" w:hAnsi="Arial"/>
                <w:sz w:val="18"/>
                <w:szCs w:val="18"/>
                <w:color w:val="auto"/>
              </w:rPr>
              <w:t>Total Immunology</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422.4</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363.1</w:t>
            </w:r>
          </w:p>
        </w:tc>
        <w:tc>
          <w:tcPr>
            <w:tcW w:w="16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785.4</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310.5</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237.8</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548.3</w:t>
            </w:r>
          </w:p>
        </w:tc>
      </w:tr>
      <w:tr>
        <w:trPr>
          <w:trHeight w:val="95"/>
        </w:trPr>
        <w:tc>
          <w:tcPr>
            <w:tcW w:w="42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r>
      <w:tr>
        <w:trPr>
          <w:trHeight w:val="230"/>
        </w:trPr>
        <w:tc>
          <w:tcPr>
            <w:tcW w:w="4240" w:type="dxa"/>
            <w:vAlign w:val="bottom"/>
          </w:tcPr>
          <w:p>
            <w:pPr>
              <w:ind w:left="360"/>
              <w:spacing w:after="0"/>
              <w:rPr>
                <w:sz w:val="20"/>
                <w:szCs w:val="20"/>
                <w:color w:val="auto"/>
              </w:rPr>
            </w:pPr>
            <w:r>
              <w:rPr>
                <w:rFonts w:ascii="Arial" w:cs="Arial" w:eastAsia="Arial" w:hAnsi="Arial"/>
                <w:sz w:val="18"/>
                <w:szCs w:val="18"/>
                <w:color w:val="auto"/>
              </w:rPr>
              <w:t>Neuroscience:</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4240" w:type="dxa"/>
            <w:vAlign w:val="bottom"/>
            <w:shd w:val="clear" w:color="auto" w:fill="CCEEFF"/>
          </w:tcPr>
          <w:p>
            <w:pPr>
              <w:ind w:left="680"/>
              <w:spacing w:after="0" w:line="230" w:lineRule="exact"/>
              <w:rPr>
                <w:sz w:val="20"/>
                <w:szCs w:val="20"/>
                <w:color w:val="auto"/>
              </w:rPr>
            </w:pPr>
            <w:r>
              <w:rPr>
                <w:rFonts w:ascii="Arial" w:cs="Arial" w:eastAsia="Arial" w:hAnsi="Arial"/>
                <w:sz w:val="18"/>
                <w:szCs w:val="18"/>
                <w:i w:val="1"/>
                <w:iCs w:val="1"/>
                <w:color w:val="auto"/>
              </w:rPr>
              <w:t>Cymbalta</w:t>
            </w:r>
            <w:r>
              <w:rPr>
                <w:rFonts w:ascii="Arial" w:cs="Arial" w:eastAsia="Arial" w:hAnsi="Arial"/>
                <w:sz w:val="23"/>
                <w:szCs w:val="23"/>
                <w:color w:val="auto"/>
                <w:vertAlign w:val="superscript"/>
              </w:rPr>
              <w:t>®</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12.4</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163.3</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175.6</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w:t>
            </w:r>
          </w:p>
        </w:tc>
      </w:tr>
      <w:tr>
        <w:trPr>
          <w:trHeight w:val="229"/>
        </w:trPr>
        <w:tc>
          <w:tcPr>
            <w:tcW w:w="4240" w:type="dxa"/>
            <w:vAlign w:val="bottom"/>
          </w:tcPr>
          <w:p>
            <w:pPr>
              <w:ind w:left="680"/>
              <w:spacing w:after="0" w:line="230" w:lineRule="exact"/>
              <w:rPr>
                <w:sz w:val="20"/>
                <w:szCs w:val="20"/>
                <w:color w:val="auto"/>
              </w:rPr>
            </w:pPr>
            <w:r>
              <w:rPr>
                <w:rFonts w:ascii="Arial" w:cs="Arial" w:eastAsia="Arial" w:hAnsi="Arial"/>
                <w:sz w:val="18"/>
                <w:szCs w:val="18"/>
                <w:i w:val="1"/>
                <w:iCs w:val="1"/>
                <w:color w:val="auto"/>
              </w:rPr>
              <w:t>Emgality</w:t>
            </w:r>
            <w:r>
              <w:rPr>
                <w:rFonts w:ascii="Arial" w:cs="Arial" w:eastAsia="Arial" w:hAnsi="Arial"/>
                <w:sz w:val="23"/>
                <w:szCs w:val="23"/>
                <w:color w:val="auto"/>
                <w:vertAlign w:val="superscript"/>
              </w:rPr>
              <w:t>®</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112.1</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44.2</w:t>
            </w:r>
          </w:p>
        </w:tc>
        <w:tc>
          <w:tcPr>
            <w:tcW w:w="16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156.3</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80.6</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87.4</w:t>
            </w:r>
          </w:p>
        </w:tc>
      </w:tr>
      <w:tr>
        <w:trPr>
          <w:trHeight w:val="230"/>
        </w:trPr>
        <w:tc>
          <w:tcPr>
            <w:tcW w:w="4240" w:type="dxa"/>
            <w:vAlign w:val="bottom"/>
            <w:shd w:val="clear" w:color="auto" w:fill="CCEEFF"/>
          </w:tcPr>
          <w:p>
            <w:pPr>
              <w:ind w:left="680"/>
              <w:spacing w:after="0" w:line="230" w:lineRule="exact"/>
              <w:rPr>
                <w:sz w:val="20"/>
                <w:szCs w:val="20"/>
                <w:color w:val="auto"/>
              </w:rPr>
            </w:pPr>
            <w:r>
              <w:rPr>
                <w:rFonts w:ascii="Arial" w:cs="Arial" w:eastAsia="Arial" w:hAnsi="Arial"/>
                <w:sz w:val="18"/>
                <w:szCs w:val="18"/>
                <w:i w:val="1"/>
                <w:iCs w:val="1"/>
                <w:color w:val="auto"/>
              </w:rPr>
              <w:t>Zyprexa</w:t>
            </w:r>
            <w:r>
              <w:rPr>
                <w:rFonts w:ascii="Arial" w:cs="Arial" w:eastAsia="Arial" w:hAnsi="Arial"/>
                <w:sz w:val="23"/>
                <w:szCs w:val="23"/>
                <w:color w:val="auto"/>
                <w:vertAlign w:val="superscript"/>
              </w:rPr>
              <w:t>®</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86.9</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95.4</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w:t>
            </w:r>
          </w:p>
        </w:tc>
      </w:tr>
      <w:tr>
        <w:trPr>
          <w:trHeight w:val="230"/>
        </w:trPr>
        <w:tc>
          <w:tcPr>
            <w:tcW w:w="4240" w:type="dxa"/>
            <w:vAlign w:val="bottom"/>
            <w:tcBorders>
              <w:bottom w:val="single" w:sz="8" w:color="CCEEFF"/>
            </w:tcBorders>
          </w:tcPr>
          <w:p>
            <w:pPr>
              <w:ind w:left="680"/>
              <w:spacing w:after="0"/>
              <w:rPr>
                <w:sz w:val="20"/>
                <w:szCs w:val="20"/>
                <w:color w:val="auto"/>
              </w:rPr>
            </w:pPr>
            <w:r>
              <w:rPr>
                <w:rFonts w:ascii="Arial" w:cs="Arial" w:eastAsia="Arial" w:hAnsi="Arial"/>
                <w:sz w:val="18"/>
                <w:szCs w:val="18"/>
                <w:i w:val="1"/>
                <w:iCs w:val="1"/>
                <w:color w:val="auto"/>
              </w:rPr>
              <w:t>Other Neuroscience</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33.8</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51.1</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84.9</w:t>
            </w: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w:t>
            </w:r>
          </w:p>
        </w:tc>
      </w:tr>
      <w:tr>
        <w:trPr>
          <w:trHeight w:val="223"/>
        </w:trPr>
        <w:tc>
          <w:tcPr>
            <w:tcW w:w="4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Neuroscience</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166.7</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345.5</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512.2</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318.5</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422.5</w:t>
            </w:r>
          </w:p>
        </w:tc>
      </w:tr>
      <w:tr>
        <w:trPr>
          <w:trHeight w:val="54"/>
        </w:trPr>
        <w:tc>
          <w:tcPr>
            <w:tcW w:w="4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29"/>
        </w:trPr>
        <w:tc>
          <w:tcPr>
            <w:tcW w:w="4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4240" w:type="dxa"/>
            <w:vAlign w:val="bottom"/>
          </w:tcPr>
          <w:p>
            <w:pPr>
              <w:ind w:left="680"/>
              <w:spacing w:after="0" w:line="230" w:lineRule="exact"/>
              <w:rPr>
                <w:sz w:val="20"/>
                <w:szCs w:val="20"/>
                <w:color w:val="auto"/>
              </w:rPr>
            </w:pPr>
            <w:r>
              <w:rPr>
                <w:rFonts w:ascii="Arial" w:cs="Arial" w:eastAsia="Arial" w:hAnsi="Arial"/>
                <w:sz w:val="18"/>
                <w:szCs w:val="18"/>
                <w:i w:val="1"/>
                <w:iCs w:val="1"/>
                <w:color w:val="auto"/>
              </w:rPr>
              <w:t xml:space="preserve">COVID-19 Antibodies </w:t>
            </w:r>
            <w:r>
              <w:rPr>
                <w:rFonts w:ascii="Arial" w:cs="Arial" w:eastAsia="Arial" w:hAnsi="Arial"/>
                <w:sz w:val="23"/>
                <w:szCs w:val="23"/>
                <w:color w:val="auto"/>
                <w:vertAlign w:val="superscript"/>
              </w:rPr>
              <w:t>(3)</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83.4</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65.7</w:t>
            </w:r>
          </w:p>
        </w:tc>
        <w:tc>
          <w:tcPr>
            <w:tcW w:w="16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148.9</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240" w:type="dxa"/>
            <w:vAlign w:val="bottom"/>
            <w:shd w:val="clear" w:color="auto" w:fill="CCEEFF"/>
          </w:tcPr>
          <w:p>
            <w:pPr>
              <w:ind w:left="680"/>
              <w:spacing w:after="0" w:line="230" w:lineRule="exact"/>
              <w:rPr>
                <w:sz w:val="20"/>
                <w:szCs w:val="20"/>
                <w:color w:val="auto"/>
              </w:rPr>
            </w:pPr>
            <w:r>
              <w:rPr>
                <w:rFonts w:ascii="Arial" w:cs="Arial" w:eastAsia="Arial" w:hAnsi="Arial"/>
                <w:sz w:val="18"/>
                <w:szCs w:val="18"/>
                <w:i w:val="1"/>
                <w:iCs w:val="1"/>
                <w:color w:val="auto"/>
              </w:rPr>
              <w:t>Forteo</w:t>
            </w:r>
            <w:r>
              <w:rPr>
                <w:rFonts w:ascii="Arial" w:cs="Arial" w:eastAsia="Arial" w:hAnsi="Arial"/>
                <w:sz w:val="23"/>
                <w:szCs w:val="23"/>
                <w:i w:val="1"/>
                <w:iCs w:val="1"/>
                <w:color w:val="auto"/>
                <w:vertAlign w:val="superscript"/>
              </w:rPr>
              <w:t>®</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122.8</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95.6</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218.4</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w:t>
            </w:r>
          </w:p>
        </w:tc>
      </w:tr>
      <w:tr>
        <w:trPr>
          <w:trHeight w:val="230"/>
        </w:trPr>
        <w:tc>
          <w:tcPr>
            <w:tcW w:w="4240" w:type="dxa"/>
            <w:vAlign w:val="bottom"/>
          </w:tcPr>
          <w:p>
            <w:pPr>
              <w:ind w:left="680"/>
              <w:spacing w:after="0" w:line="230" w:lineRule="exact"/>
              <w:rPr>
                <w:sz w:val="20"/>
                <w:szCs w:val="20"/>
                <w:color w:val="auto"/>
              </w:rPr>
            </w:pPr>
            <w:r>
              <w:rPr>
                <w:rFonts w:ascii="Arial" w:cs="Arial" w:eastAsia="Arial" w:hAnsi="Arial"/>
                <w:sz w:val="18"/>
                <w:szCs w:val="18"/>
                <w:i w:val="1"/>
                <w:iCs w:val="1"/>
                <w:color w:val="auto"/>
              </w:rPr>
              <w:t>Cialis</w:t>
            </w:r>
            <w:r>
              <w:rPr>
                <w:rFonts w:ascii="Arial" w:cs="Arial" w:eastAsia="Arial" w:hAnsi="Arial"/>
                <w:sz w:val="23"/>
                <w:szCs w:val="23"/>
                <w:i w:val="1"/>
                <w:iCs w:val="1"/>
                <w:color w:val="auto"/>
                <w:vertAlign w:val="superscript"/>
              </w:rPr>
              <w:t>®</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(5.2)</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286.3</w:t>
            </w:r>
          </w:p>
        </w:tc>
        <w:tc>
          <w:tcPr>
            <w:tcW w:w="16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281.0</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23.4</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107.3</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130.7</w:t>
            </w:r>
          </w:p>
        </w:tc>
      </w:tr>
      <w:tr>
        <w:trPr>
          <w:trHeight w:val="229"/>
        </w:trPr>
        <w:tc>
          <w:tcPr>
            <w:tcW w:w="4240" w:type="dxa"/>
            <w:vAlign w:val="bottom"/>
            <w:shd w:val="clear" w:color="auto" w:fill="CCEEFF"/>
          </w:tcPr>
          <w:p>
            <w:pPr>
              <w:ind w:left="680"/>
              <w:spacing w:after="0"/>
              <w:rPr>
                <w:sz w:val="20"/>
                <w:szCs w:val="20"/>
                <w:color w:val="auto"/>
              </w:rPr>
            </w:pPr>
            <w:r>
              <w:rPr>
                <w:rFonts w:ascii="Arial" w:cs="Arial" w:eastAsia="Arial" w:hAnsi="Arial"/>
                <w:sz w:val="18"/>
                <w:szCs w:val="18"/>
                <w:i w:val="1"/>
                <w:iCs w:val="1"/>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w:t>
            </w: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58.4</w:t>
            </w: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64.6</w:t>
            </w:r>
          </w:p>
        </w:tc>
        <w:tc>
          <w:tcPr>
            <w:tcW w:w="3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w:t>
            </w:r>
          </w:p>
        </w:tc>
      </w:tr>
      <w:tr>
        <w:trPr>
          <w:trHeight w:val="223"/>
        </w:trPr>
        <w:tc>
          <w:tcPr>
            <w:tcW w:w="424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Other</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207.0</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506.0</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712.9</w:t>
            </w: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174.4</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306.7</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481.0</w:t>
            </w:r>
          </w:p>
        </w:tc>
      </w:tr>
      <w:tr>
        <w:trPr>
          <w:trHeight w:val="23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3,704.2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3,035.9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6,740.1</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3,144.8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2,354.6</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5,499.4</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55" w:lineRule="exact"/>
        <w:rPr>
          <w:sz w:val="20"/>
          <w:szCs w:val="20"/>
          <w:color w:val="auto"/>
        </w:rPr>
      </w:pPr>
    </w:p>
    <w:p>
      <w:pPr>
        <w:ind w:left="140" w:hanging="132"/>
        <w:spacing w:after="0"/>
        <w:tabs>
          <w:tab w:leader="none" w:pos="140" w:val="left"/>
        </w:tabs>
        <w:numPr>
          <w:ilvl w:val="0"/>
          <w:numId w:val="6"/>
        </w:numPr>
        <w:rPr>
          <w:rFonts w:ascii="Arial" w:cs="Arial" w:eastAsia="Arial" w:hAnsi="Arial"/>
          <w:sz w:val="9"/>
          <w:szCs w:val="9"/>
          <w:color w:val="auto"/>
        </w:rPr>
      </w:pPr>
      <w:r>
        <w:rPr>
          <w:rFonts w:ascii="Arial" w:cs="Arial" w:eastAsia="Arial" w:hAnsi="Arial"/>
          <w:sz w:val="14"/>
          <w:szCs w:val="14"/>
          <w:color w:val="auto"/>
        </w:rPr>
        <w:t>Humalog revenue includes insulin lispro.</w:t>
      </w:r>
    </w:p>
    <w:p>
      <w:pPr>
        <w:spacing w:after="0" w:line="55" w:lineRule="exact"/>
        <w:rPr>
          <w:rFonts w:ascii="Arial" w:cs="Arial" w:eastAsia="Arial" w:hAnsi="Arial"/>
          <w:sz w:val="9"/>
          <w:szCs w:val="9"/>
          <w:color w:val="auto"/>
        </w:rPr>
      </w:pPr>
    </w:p>
    <w:p>
      <w:pPr>
        <w:ind w:left="140" w:hanging="132"/>
        <w:spacing w:after="0"/>
        <w:tabs>
          <w:tab w:leader="none" w:pos="140" w:val="left"/>
        </w:tabs>
        <w:numPr>
          <w:ilvl w:val="0"/>
          <w:numId w:val="6"/>
        </w:numPr>
        <w:rPr>
          <w:rFonts w:ascii="Arial" w:cs="Arial" w:eastAsia="Arial" w:hAnsi="Arial"/>
          <w:sz w:val="9"/>
          <w:szCs w:val="9"/>
          <w:color w:val="auto"/>
        </w:rPr>
      </w:pPr>
      <w:r>
        <w:rPr>
          <w:rFonts w:ascii="Arial" w:cs="Arial" w:eastAsia="Arial" w:hAnsi="Arial"/>
          <w:sz w:val="14"/>
          <w:szCs w:val="14"/>
          <w:color w:val="auto"/>
        </w:rPr>
        <w:t>Jardiance revenue includes Glyxambi</w:t>
      </w:r>
      <w:r>
        <w:rPr>
          <w:rFonts w:ascii="Arial" w:cs="Arial" w:eastAsia="Arial" w:hAnsi="Arial"/>
          <w:sz w:val="9"/>
          <w:szCs w:val="9"/>
          <w:color w:val="auto"/>
        </w:rPr>
        <w:t>®</w:t>
      </w:r>
      <w:r>
        <w:rPr>
          <w:rFonts w:ascii="Arial" w:cs="Arial" w:eastAsia="Arial" w:hAnsi="Arial"/>
          <w:sz w:val="14"/>
          <w:szCs w:val="14"/>
          <w:color w:val="auto"/>
        </w:rPr>
        <w:t>, Synjardy</w:t>
      </w:r>
      <w:r>
        <w:rPr>
          <w:rFonts w:ascii="Arial" w:cs="Arial" w:eastAsia="Arial" w:hAnsi="Arial"/>
          <w:sz w:val="9"/>
          <w:szCs w:val="9"/>
          <w:color w:val="auto"/>
        </w:rPr>
        <w:t>®</w:t>
      </w:r>
      <w:r>
        <w:rPr>
          <w:rFonts w:ascii="Arial" w:cs="Arial" w:eastAsia="Arial" w:hAnsi="Arial"/>
          <w:sz w:val="14"/>
          <w:szCs w:val="14"/>
          <w:color w:val="auto"/>
        </w:rPr>
        <w:t>, and Trijardy</w:t>
      </w:r>
      <w:r>
        <w:rPr>
          <w:rFonts w:ascii="Arial" w:cs="Arial" w:eastAsia="Arial" w:hAnsi="Arial"/>
          <w:sz w:val="9"/>
          <w:szCs w:val="9"/>
          <w:color w:val="auto"/>
        </w:rPr>
        <w:t>®</w:t>
      </w:r>
      <w:r>
        <w:rPr>
          <w:rFonts w:ascii="Arial" w:cs="Arial" w:eastAsia="Arial" w:hAnsi="Arial"/>
          <w:sz w:val="14"/>
          <w:szCs w:val="14"/>
          <w:color w:val="auto"/>
        </w:rPr>
        <w:t xml:space="preserve"> XR.</w:t>
      </w:r>
    </w:p>
    <w:p>
      <w:pPr>
        <w:spacing w:after="0" w:line="55" w:lineRule="exact"/>
        <w:rPr>
          <w:rFonts w:ascii="Arial" w:cs="Arial" w:eastAsia="Arial" w:hAnsi="Arial"/>
          <w:sz w:val="9"/>
          <w:szCs w:val="9"/>
          <w:color w:val="auto"/>
        </w:rPr>
      </w:pPr>
    </w:p>
    <w:p>
      <w:pPr>
        <w:ind w:firstLine="8"/>
        <w:spacing w:after="0" w:line="258" w:lineRule="auto"/>
        <w:tabs>
          <w:tab w:leader="none" w:pos="140" w:val="left"/>
        </w:tabs>
        <w:numPr>
          <w:ilvl w:val="0"/>
          <w:numId w:val="6"/>
        </w:numPr>
        <w:rPr>
          <w:rFonts w:ascii="Arial" w:cs="Arial" w:eastAsia="Arial" w:hAnsi="Arial"/>
          <w:sz w:val="9"/>
          <w:szCs w:val="9"/>
          <w:color w:val="auto"/>
        </w:rPr>
      </w:pPr>
      <w:r>
        <w:rPr>
          <w:rFonts w:ascii="Arial" w:cs="Arial" w:eastAsia="Arial" w:hAnsi="Arial"/>
          <w:sz w:val="14"/>
          <w:szCs w:val="14"/>
          <w:color w:val="auto"/>
        </w:rPr>
        <w:t>COVID-19 antibodies include sales for bamlanivimab administered alone as well as sales for bamlanivimab and etesevimab administered together and were made pursuant to Emergency Use Authorizations (EUAs).</w:t>
      </w:r>
    </w:p>
    <w:p>
      <w:pPr>
        <w:sectPr>
          <w:pgSz w:w="11900" w:h="16838" w:orient="portrait"/>
          <w:cols w:equalWidth="0" w:num="1">
            <w:col w:w="11240"/>
          </w:cols>
          <w:pgMar w:left="320" w:top="10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color w:val="auto"/>
        </w:rPr>
        <w:t>The following table summarizes revenue by product for the six months ended June 30, 2021 and 2020:</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ind w:right="131"/>
              <w:spacing w:after="0"/>
              <w:rPr>
                <w:sz w:val="20"/>
                <w:szCs w:val="20"/>
                <w:color w:val="auto"/>
              </w:rPr>
            </w:pPr>
            <w:r>
              <w:rPr>
                <w:rFonts w:ascii="Arial" w:cs="Arial" w:eastAsia="Arial" w:hAnsi="Arial"/>
                <w:sz w:val="14"/>
                <w:szCs w:val="14"/>
                <w:b w:val="1"/>
                <w:bCs w:val="1"/>
                <w:color w:val="auto"/>
              </w:rPr>
              <w:t>Six Months Ended June 30,</w:t>
            </w: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83"/>
        </w:trPr>
        <w:tc>
          <w:tcPr>
            <w:tcW w:w="4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r>
      <w:tr>
        <w:trPr>
          <w:trHeight w:val="183"/>
        </w:trPr>
        <w:tc>
          <w:tcPr>
            <w:tcW w:w="41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U.S.</w:t>
            </w: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Outside U.S.</w:t>
            </w: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Total</w:t>
            </w:r>
          </w:p>
        </w:tc>
        <w:tc>
          <w:tcPr>
            <w:tcW w:w="3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U.S.</w:t>
            </w: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Outside U.S.</w:t>
            </w: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Total</w:t>
            </w:r>
          </w:p>
        </w:tc>
      </w:tr>
      <w:tr>
        <w:trPr>
          <w:trHeight w:val="223"/>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Revenue—to unaffiliated customers:</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4160" w:type="dxa"/>
            <w:vAlign w:val="bottom"/>
          </w:tcPr>
          <w:p>
            <w:pPr>
              <w:ind w:left="220"/>
              <w:spacing w:after="0"/>
              <w:rPr>
                <w:sz w:val="20"/>
                <w:szCs w:val="20"/>
                <w:color w:val="auto"/>
              </w:rPr>
            </w:pPr>
            <w:r>
              <w:rPr>
                <w:rFonts w:ascii="Arial" w:cs="Arial" w:eastAsia="Arial" w:hAnsi="Arial"/>
                <w:sz w:val="18"/>
                <w:szCs w:val="18"/>
                <w:color w:val="auto"/>
              </w:rPr>
              <w:t>Diabetes:</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4160" w:type="dxa"/>
            <w:vAlign w:val="bottom"/>
            <w:shd w:val="clear" w:color="auto" w:fill="CCEEFF"/>
          </w:tcPr>
          <w:p>
            <w:pPr>
              <w:ind w:left="680"/>
              <w:spacing w:after="0"/>
              <w:rPr>
                <w:sz w:val="20"/>
                <w:szCs w:val="20"/>
                <w:color w:val="auto"/>
              </w:rPr>
            </w:pPr>
            <w:r>
              <w:rPr>
                <w:rFonts w:ascii="Arial" w:cs="Arial" w:eastAsia="Arial" w:hAnsi="Arial"/>
                <w:sz w:val="18"/>
                <w:szCs w:val="18"/>
                <w:i w:val="1"/>
                <w:iCs w:val="1"/>
                <w:color w:val="auto"/>
              </w:rPr>
              <w:t>Trulicity</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2,264.3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723.7</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2,988.1</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577.1</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2,459.1</w:t>
            </w:r>
          </w:p>
        </w:tc>
      </w:tr>
      <w:tr>
        <w:trPr>
          <w:trHeight w:val="230"/>
        </w:trPr>
        <w:tc>
          <w:tcPr>
            <w:tcW w:w="4160" w:type="dxa"/>
            <w:vAlign w:val="bottom"/>
          </w:tcPr>
          <w:p>
            <w:pPr>
              <w:ind w:left="680"/>
              <w:spacing w:after="0" w:line="230" w:lineRule="exact"/>
              <w:rPr>
                <w:sz w:val="20"/>
                <w:szCs w:val="20"/>
                <w:color w:val="auto"/>
              </w:rPr>
            </w:pPr>
            <w:r>
              <w:rPr>
                <w:rFonts w:ascii="Arial" w:cs="Arial" w:eastAsia="Arial" w:hAnsi="Arial"/>
                <w:sz w:val="18"/>
                <w:szCs w:val="18"/>
                <w:i w:val="1"/>
                <w:iCs w:val="1"/>
                <w:color w:val="auto"/>
              </w:rPr>
              <w:t xml:space="preserve">Humalog </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661.7</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562.9</w:t>
            </w:r>
          </w:p>
        </w:tc>
        <w:tc>
          <w:tcPr>
            <w:tcW w:w="240" w:type="dxa"/>
            <w:vAlign w:val="bottom"/>
          </w:tcPr>
          <w:p>
            <w:pPr>
              <w:spacing w:after="0"/>
              <w:rPr>
                <w:sz w:val="19"/>
                <w:szCs w:val="19"/>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1,224.6</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680.3</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570.5</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1,250.8</w:t>
            </w:r>
          </w:p>
        </w:tc>
      </w:tr>
      <w:tr>
        <w:trPr>
          <w:trHeight w:val="229"/>
        </w:trPr>
        <w:tc>
          <w:tcPr>
            <w:tcW w:w="4160" w:type="dxa"/>
            <w:vAlign w:val="bottom"/>
            <w:shd w:val="clear" w:color="auto" w:fill="CCEEFF"/>
          </w:tcPr>
          <w:p>
            <w:pPr>
              <w:ind w:left="680"/>
              <w:spacing w:after="0"/>
              <w:rPr>
                <w:sz w:val="20"/>
                <w:szCs w:val="20"/>
                <w:color w:val="auto"/>
              </w:rPr>
            </w:pPr>
            <w:r>
              <w:rPr>
                <w:rFonts w:ascii="Arial" w:cs="Arial" w:eastAsia="Arial" w:hAnsi="Arial"/>
                <w:sz w:val="18"/>
                <w:szCs w:val="18"/>
                <w:i w:val="1"/>
                <w:iCs w:val="1"/>
                <w:color w:val="auto"/>
              </w:rPr>
              <w:t>Humulin</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440.1</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196.9</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637.0</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428.4</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629.3</w:t>
            </w:r>
          </w:p>
        </w:tc>
      </w:tr>
      <w:tr>
        <w:trPr>
          <w:trHeight w:val="229"/>
        </w:trPr>
        <w:tc>
          <w:tcPr>
            <w:tcW w:w="4160" w:type="dxa"/>
            <w:vAlign w:val="bottom"/>
          </w:tcPr>
          <w:p>
            <w:pPr>
              <w:ind w:left="680"/>
              <w:spacing w:after="0" w:line="230" w:lineRule="exact"/>
              <w:rPr>
                <w:sz w:val="20"/>
                <w:szCs w:val="20"/>
                <w:color w:val="auto"/>
              </w:rPr>
            </w:pPr>
            <w:r>
              <w:rPr>
                <w:rFonts w:ascii="Arial" w:cs="Arial" w:eastAsia="Arial" w:hAnsi="Arial"/>
                <w:sz w:val="18"/>
                <w:szCs w:val="18"/>
                <w:i w:val="1"/>
                <w:iCs w:val="1"/>
                <w:color w:val="auto"/>
              </w:rPr>
              <w:t xml:space="preserve">Jardiance </w:t>
            </w:r>
            <w:r>
              <w:rPr>
                <w:rFonts w:ascii="Arial" w:cs="Arial" w:eastAsia="Arial" w:hAnsi="Arial"/>
                <w:sz w:val="23"/>
                <w:szCs w:val="23"/>
                <w:color w:val="auto"/>
                <w:vertAlign w:val="superscript"/>
              </w:rPr>
              <w:t>(2)</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345.6</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322.9</w:t>
            </w:r>
          </w:p>
        </w:tc>
        <w:tc>
          <w:tcPr>
            <w:tcW w:w="240" w:type="dxa"/>
            <w:vAlign w:val="bottom"/>
          </w:tcPr>
          <w:p>
            <w:pPr>
              <w:spacing w:after="0"/>
              <w:rPr>
                <w:sz w:val="19"/>
                <w:szCs w:val="19"/>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668.5</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289.7</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239.8</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529.5</w:t>
            </w:r>
          </w:p>
        </w:tc>
      </w:tr>
      <w:tr>
        <w:trPr>
          <w:trHeight w:val="230"/>
        </w:trPr>
        <w:tc>
          <w:tcPr>
            <w:tcW w:w="4160" w:type="dxa"/>
            <w:vAlign w:val="bottom"/>
            <w:shd w:val="clear" w:color="auto" w:fill="CCEEFF"/>
          </w:tcPr>
          <w:p>
            <w:pPr>
              <w:ind w:left="680"/>
              <w:spacing w:after="0"/>
              <w:rPr>
                <w:sz w:val="20"/>
                <w:szCs w:val="20"/>
                <w:color w:val="auto"/>
              </w:rPr>
            </w:pPr>
            <w:r>
              <w:rPr>
                <w:rFonts w:ascii="Arial" w:cs="Arial" w:eastAsia="Arial" w:hAnsi="Arial"/>
                <w:sz w:val="18"/>
                <w:szCs w:val="18"/>
                <w:i w:val="1"/>
                <w:iCs w:val="1"/>
                <w:color w:val="auto"/>
              </w:rPr>
              <w:t>Basaglar</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308.6</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148.7</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457.3</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460.1</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594.1</w:t>
            </w:r>
          </w:p>
        </w:tc>
      </w:tr>
      <w:tr>
        <w:trPr>
          <w:trHeight w:val="229"/>
        </w:trPr>
        <w:tc>
          <w:tcPr>
            <w:tcW w:w="4160" w:type="dxa"/>
            <w:vAlign w:val="bottom"/>
            <w:tcBorders>
              <w:bottom w:val="single" w:sz="8" w:color="CCEEFF"/>
            </w:tcBorders>
          </w:tcPr>
          <w:p>
            <w:pPr>
              <w:ind w:left="680"/>
              <w:spacing w:after="0"/>
              <w:rPr>
                <w:sz w:val="20"/>
                <w:szCs w:val="20"/>
                <w:color w:val="auto"/>
              </w:rPr>
            </w:pPr>
            <w:r>
              <w:rPr>
                <w:rFonts w:ascii="Arial" w:cs="Arial" w:eastAsia="Arial" w:hAnsi="Arial"/>
                <w:sz w:val="18"/>
                <w:szCs w:val="18"/>
                <w:i w:val="1"/>
                <w:iCs w:val="1"/>
                <w:color w:val="auto"/>
              </w:rPr>
              <w:t>Other Diabetes</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120.7</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190.4</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311.1</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161.2</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285.1</w:t>
            </w:r>
          </w:p>
        </w:tc>
      </w:tr>
      <w:tr>
        <w:trPr>
          <w:trHeight w:val="223"/>
        </w:trPr>
        <w:tc>
          <w:tcPr>
            <w:tcW w:w="4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Diabetes</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4,141.0</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2,145.5</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6,286.6</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3,864.5</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1,883.4</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5,747.9</w:t>
            </w:r>
          </w:p>
        </w:tc>
      </w:tr>
      <w:tr>
        <w:trPr>
          <w:trHeight w:val="54"/>
        </w:trPr>
        <w:tc>
          <w:tcPr>
            <w:tcW w:w="4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30"/>
        </w:trPr>
        <w:tc>
          <w:tcPr>
            <w:tcW w:w="4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Oncology:</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4160" w:type="dxa"/>
            <w:vAlign w:val="bottom"/>
          </w:tcPr>
          <w:p>
            <w:pPr>
              <w:ind w:left="680"/>
              <w:spacing w:after="0"/>
              <w:rPr>
                <w:sz w:val="20"/>
                <w:szCs w:val="20"/>
                <w:color w:val="auto"/>
              </w:rPr>
            </w:pPr>
            <w:r>
              <w:rPr>
                <w:rFonts w:ascii="Arial" w:cs="Arial" w:eastAsia="Arial" w:hAnsi="Arial"/>
                <w:sz w:val="18"/>
                <w:szCs w:val="18"/>
                <w:i w:val="1"/>
                <w:iCs w:val="1"/>
                <w:color w:val="auto"/>
              </w:rPr>
              <w:t>Alimta</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614.6</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554.9</w:t>
            </w:r>
          </w:p>
        </w:tc>
        <w:tc>
          <w:tcPr>
            <w:tcW w:w="240" w:type="dxa"/>
            <w:vAlign w:val="bottom"/>
          </w:tcPr>
          <w:p>
            <w:pPr>
              <w:spacing w:after="0"/>
              <w:rPr>
                <w:sz w:val="19"/>
                <w:szCs w:val="19"/>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1,169.6</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641.5</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457.7</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1,099.2</w:t>
            </w:r>
          </w:p>
        </w:tc>
      </w:tr>
      <w:tr>
        <w:trPr>
          <w:trHeight w:val="230"/>
        </w:trPr>
        <w:tc>
          <w:tcPr>
            <w:tcW w:w="4160" w:type="dxa"/>
            <w:vAlign w:val="bottom"/>
            <w:shd w:val="clear" w:color="auto" w:fill="CCEEFF"/>
          </w:tcPr>
          <w:p>
            <w:pPr>
              <w:ind w:left="680"/>
              <w:spacing w:after="0"/>
              <w:rPr>
                <w:sz w:val="20"/>
                <w:szCs w:val="20"/>
                <w:color w:val="auto"/>
              </w:rPr>
            </w:pPr>
            <w:r>
              <w:rPr>
                <w:rFonts w:ascii="Arial" w:cs="Arial" w:eastAsia="Arial" w:hAnsi="Arial"/>
                <w:sz w:val="18"/>
                <w:szCs w:val="18"/>
                <w:i w:val="1"/>
                <w:iCs w:val="1"/>
                <w:color w:val="auto"/>
              </w:rPr>
              <w:t>Verzenio</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382.5</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227.8</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610.3</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271.1</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396.7</w:t>
            </w:r>
          </w:p>
        </w:tc>
      </w:tr>
      <w:tr>
        <w:trPr>
          <w:trHeight w:val="229"/>
        </w:trPr>
        <w:tc>
          <w:tcPr>
            <w:tcW w:w="4160" w:type="dxa"/>
            <w:vAlign w:val="bottom"/>
          </w:tcPr>
          <w:p>
            <w:pPr>
              <w:ind w:left="680"/>
              <w:spacing w:after="0"/>
              <w:rPr>
                <w:sz w:val="20"/>
                <w:szCs w:val="20"/>
                <w:color w:val="auto"/>
              </w:rPr>
            </w:pPr>
            <w:r>
              <w:rPr>
                <w:rFonts w:ascii="Arial" w:cs="Arial" w:eastAsia="Arial" w:hAnsi="Arial"/>
                <w:sz w:val="18"/>
                <w:szCs w:val="18"/>
                <w:i w:val="1"/>
                <w:iCs w:val="1"/>
                <w:color w:val="auto"/>
              </w:rPr>
              <w:t>Cyramza</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181.5</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327.7</w:t>
            </w:r>
          </w:p>
        </w:tc>
        <w:tc>
          <w:tcPr>
            <w:tcW w:w="240" w:type="dxa"/>
            <w:vAlign w:val="bottom"/>
          </w:tcPr>
          <w:p>
            <w:pPr>
              <w:spacing w:after="0"/>
              <w:rPr>
                <w:sz w:val="19"/>
                <w:szCs w:val="19"/>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509.2</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183.2</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312.5</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495.7</w:t>
            </w:r>
          </w:p>
        </w:tc>
      </w:tr>
      <w:tr>
        <w:trPr>
          <w:trHeight w:val="229"/>
        </w:trPr>
        <w:tc>
          <w:tcPr>
            <w:tcW w:w="4160" w:type="dxa"/>
            <w:vAlign w:val="bottom"/>
            <w:shd w:val="clear" w:color="auto" w:fill="CCEEFF"/>
          </w:tcPr>
          <w:p>
            <w:pPr>
              <w:ind w:left="680"/>
              <w:spacing w:after="0"/>
              <w:rPr>
                <w:sz w:val="20"/>
                <w:szCs w:val="20"/>
                <w:color w:val="auto"/>
              </w:rPr>
            </w:pPr>
            <w:r>
              <w:rPr>
                <w:rFonts w:ascii="Arial" w:cs="Arial" w:eastAsia="Arial" w:hAnsi="Arial"/>
                <w:sz w:val="18"/>
                <w:szCs w:val="18"/>
                <w:i w:val="1"/>
                <w:iCs w:val="1"/>
                <w:color w:val="auto"/>
              </w:rPr>
              <w:t>Erbitux</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243.7</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25.7</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269.4</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233.7</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260.3</w:t>
            </w:r>
          </w:p>
        </w:tc>
      </w:tr>
      <w:tr>
        <w:trPr>
          <w:trHeight w:val="230"/>
        </w:trPr>
        <w:tc>
          <w:tcPr>
            <w:tcW w:w="4160" w:type="dxa"/>
            <w:vAlign w:val="bottom"/>
          </w:tcPr>
          <w:p>
            <w:pPr>
              <w:ind w:left="680"/>
              <w:spacing w:after="0"/>
              <w:rPr>
                <w:sz w:val="20"/>
                <w:szCs w:val="20"/>
                <w:color w:val="auto"/>
              </w:rPr>
            </w:pPr>
            <w:r>
              <w:rPr>
                <w:rFonts w:ascii="Arial" w:cs="Arial" w:eastAsia="Arial" w:hAnsi="Arial"/>
                <w:sz w:val="18"/>
                <w:szCs w:val="18"/>
                <w:i w:val="1"/>
                <w:iCs w:val="1"/>
                <w:color w:val="auto"/>
              </w:rPr>
              <w:t>Tyvyt</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214.6</w:t>
            </w:r>
          </w:p>
        </w:tc>
        <w:tc>
          <w:tcPr>
            <w:tcW w:w="240" w:type="dxa"/>
            <w:vAlign w:val="bottom"/>
          </w:tcPr>
          <w:p>
            <w:pPr>
              <w:spacing w:after="0"/>
              <w:rPr>
                <w:sz w:val="19"/>
                <w:szCs w:val="19"/>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214.6</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121.5</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121.5</w:t>
            </w:r>
          </w:p>
        </w:tc>
      </w:tr>
      <w:tr>
        <w:trPr>
          <w:trHeight w:val="229"/>
        </w:trPr>
        <w:tc>
          <w:tcPr>
            <w:tcW w:w="4160" w:type="dxa"/>
            <w:vAlign w:val="bottom"/>
            <w:shd w:val="clear" w:color="auto" w:fill="CCEEFF"/>
          </w:tcPr>
          <w:p>
            <w:pPr>
              <w:ind w:left="680"/>
              <w:spacing w:after="0"/>
              <w:rPr>
                <w:sz w:val="20"/>
                <w:szCs w:val="20"/>
                <w:color w:val="auto"/>
              </w:rPr>
            </w:pPr>
            <w:r>
              <w:rPr>
                <w:rFonts w:ascii="Arial" w:cs="Arial" w:eastAsia="Arial" w:hAnsi="Arial"/>
                <w:sz w:val="18"/>
                <w:szCs w:val="18"/>
                <w:i w:val="1"/>
                <w:iCs w:val="1"/>
                <w:color w:val="auto"/>
              </w:rPr>
              <w:t>Other Oncology</w:t>
            </w: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48.5</w:t>
            </w: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104.7</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153.2</w:t>
            </w: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w:t>
            </w:r>
          </w:p>
        </w:tc>
      </w:tr>
      <w:tr>
        <w:trPr>
          <w:trHeight w:val="257"/>
        </w:trPr>
        <w:tc>
          <w:tcPr>
            <w:tcW w:w="416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Oncology</w:t>
            </w:r>
          </w:p>
        </w:tc>
        <w:tc>
          <w:tcPr>
            <w:tcW w:w="26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1,470.8</w:t>
            </w:r>
          </w:p>
        </w:tc>
        <w:tc>
          <w:tcPr>
            <w:tcW w:w="16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1,455.4</w:t>
            </w:r>
          </w:p>
        </w:tc>
        <w:tc>
          <w:tcPr>
            <w:tcW w:w="24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jc w:val="right"/>
              <w:ind w:right="11"/>
              <w:spacing w:after="0"/>
              <w:rPr>
                <w:sz w:val="20"/>
                <w:szCs w:val="20"/>
                <w:color w:val="auto"/>
              </w:rPr>
            </w:pPr>
            <w:r>
              <w:rPr>
                <w:rFonts w:ascii="Arial" w:cs="Arial" w:eastAsia="Arial" w:hAnsi="Arial"/>
                <w:sz w:val="18"/>
                <w:szCs w:val="18"/>
                <w:b w:val="1"/>
                <w:bCs w:val="1"/>
                <w:color w:val="auto"/>
              </w:rPr>
              <w:t>2,926.3</w:t>
            </w:r>
          </w:p>
        </w:tc>
        <w:tc>
          <w:tcPr>
            <w:tcW w:w="36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1,340.6</w:t>
            </w:r>
          </w:p>
        </w:tc>
        <w:tc>
          <w:tcPr>
            <w:tcW w:w="16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1,129.5</w:t>
            </w:r>
          </w:p>
        </w:tc>
        <w:tc>
          <w:tcPr>
            <w:tcW w:w="30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2,470.1</w:t>
            </w:r>
          </w:p>
        </w:tc>
      </w:tr>
      <w:tr>
        <w:trPr>
          <w:trHeight w:val="229"/>
        </w:trPr>
        <w:tc>
          <w:tcPr>
            <w:tcW w:w="4160" w:type="dxa"/>
            <w:vAlign w:val="bottom"/>
          </w:tcPr>
          <w:p>
            <w:pPr>
              <w:ind w:left="360"/>
              <w:spacing w:after="0"/>
              <w:rPr>
                <w:sz w:val="20"/>
                <w:szCs w:val="20"/>
                <w:color w:val="auto"/>
              </w:rPr>
            </w:pPr>
            <w:r>
              <w:rPr>
                <w:rFonts w:ascii="Arial" w:cs="Arial" w:eastAsia="Arial" w:hAnsi="Arial"/>
                <w:sz w:val="18"/>
                <w:szCs w:val="18"/>
                <w:color w:val="auto"/>
              </w:rPr>
              <w:t>Immunology:</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4160" w:type="dxa"/>
            <w:vAlign w:val="bottom"/>
            <w:shd w:val="clear" w:color="auto" w:fill="CCEEFF"/>
          </w:tcPr>
          <w:p>
            <w:pPr>
              <w:ind w:left="680"/>
              <w:spacing w:after="0"/>
              <w:rPr>
                <w:sz w:val="20"/>
                <w:szCs w:val="20"/>
                <w:color w:val="auto"/>
              </w:rPr>
            </w:pPr>
            <w:r>
              <w:rPr>
                <w:rFonts w:ascii="Arial" w:cs="Arial" w:eastAsia="Arial" w:hAnsi="Arial"/>
                <w:sz w:val="18"/>
                <w:szCs w:val="18"/>
                <w:i w:val="1"/>
                <w:iCs w:val="1"/>
                <w:color w:val="auto"/>
              </w:rPr>
              <w:t>Taltz</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649.4</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322.9</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972.4</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616.7</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838.7</w:t>
            </w:r>
          </w:p>
        </w:tc>
      </w:tr>
      <w:tr>
        <w:trPr>
          <w:trHeight w:val="230"/>
        </w:trPr>
        <w:tc>
          <w:tcPr>
            <w:tcW w:w="4160" w:type="dxa"/>
            <w:vAlign w:val="bottom"/>
          </w:tcPr>
          <w:p>
            <w:pPr>
              <w:ind w:left="680"/>
              <w:spacing w:after="0"/>
              <w:rPr>
                <w:sz w:val="20"/>
                <w:szCs w:val="20"/>
                <w:color w:val="auto"/>
              </w:rPr>
            </w:pPr>
            <w:r>
              <w:rPr>
                <w:rFonts w:ascii="Arial" w:cs="Arial" w:eastAsia="Arial" w:hAnsi="Arial"/>
                <w:sz w:val="18"/>
                <w:szCs w:val="18"/>
                <w:i w:val="1"/>
                <w:iCs w:val="1"/>
                <w:color w:val="auto"/>
              </w:rPr>
              <w:t>Olumiant</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42.5</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359.7</w:t>
            </w:r>
          </w:p>
        </w:tc>
        <w:tc>
          <w:tcPr>
            <w:tcW w:w="240" w:type="dxa"/>
            <w:vAlign w:val="bottom"/>
          </w:tcPr>
          <w:p>
            <w:pPr>
              <w:spacing w:after="0"/>
              <w:rPr>
                <w:sz w:val="19"/>
                <w:szCs w:val="19"/>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402.2</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24.5</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260.2</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284.7</w:t>
            </w:r>
          </w:p>
        </w:tc>
      </w:tr>
      <w:tr>
        <w:trPr>
          <w:trHeight w:val="230"/>
        </w:trPr>
        <w:tc>
          <w:tcPr>
            <w:tcW w:w="4160" w:type="dxa"/>
            <w:vAlign w:val="bottom"/>
            <w:shd w:val="clear" w:color="auto" w:fill="CCEEFF"/>
          </w:tcPr>
          <w:p>
            <w:pPr>
              <w:ind w:left="680"/>
              <w:spacing w:after="0"/>
              <w:rPr>
                <w:sz w:val="20"/>
                <w:szCs w:val="20"/>
                <w:color w:val="auto"/>
              </w:rPr>
            </w:pPr>
            <w:r>
              <w:rPr>
                <w:rFonts w:ascii="Arial" w:cs="Arial" w:eastAsia="Arial" w:hAnsi="Arial"/>
                <w:sz w:val="18"/>
                <w:szCs w:val="18"/>
                <w:i w:val="1"/>
                <w:iCs w:val="1"/>
                <w:color w:val="auto"/>
              </w:rPr>
              <w:t>Other Immunology</w:t>
            </w: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15.2</w:t>
            </w: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24.7</w:t>
            </w: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57"/>
        </w:trPr>
        <w:tc>
          <w:tcPr>
            <w:tcW w:w="416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Immunology</w:t>
            </w:r>
          </w:p>
        </w:tc>
        <w:tc>
          <w:tcPr>
            <w:tcW w:w="26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707.1</w:t>
            </w:r>
          </w:p>
        </w:tc>
        <w:tc>
          <w:tcPr>
            <w:tcW w:w="16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692.2</w:t>
            </w:r>
          </w:p>
        </w:tc>
        <w:tc>
          <w:tcPr>
            <w:tcW w:w="24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jc w:val="right"/>
              <w:ind w:right="11"/>
              <w:spacing w:after="0"/>
              <w:rPr>
                <w:sz w:val="20"/>
                <w:szCs w:val="20"/>
                <w:color w:val="auto"/>
              </w:rPr>
            </w:pPr>
            <w:r>
              <w:rPr>
                <w:rFonts w:ascii="Arial" w:cs="Arial" w:eastAsia="Arial" w:hAnsi="Arial"/>
                <w:sz w:val="18"/>
                <w:szCs w:val="18"/>
                <w:b w:val="1"/>
                <w:bCs w:val="1"/>
                <w:color w:val="auto"/>
              </w:rPr>
              <w:t>1,399.3</w:t>
            </w:r>
          </w:p>
        </w:tc>
        <w:tc>
          <w:tcPr>
            <w:tcW w:w="36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651.9</w:t>
            </w:r>
          </w:p>
        </w:tc>
        <w:tc>
          <w:tcPr>
            <w:tcW w:w="16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482.2</w:t>
            </w:r>
          </w:p>
        </w:tc>
        <w:tc>
          <w:tcPr>
            <w:tcW w:w="30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1,134.1</w:t>
            </w:r>
          </w:p>
        </w:tc>
      </w:tr>
      <w:tr>
        <w:trPr>
          <w:trHeight w:val="230"/>
        </w:trPr>
        <w:tc>
          <w:tcPr>
            <w:tcW w:w="4160" w:type="dxa"/>
            <w:vAlign w:val="bottom"/>
          </w:tcPr>
          <w:p>
            <w:pPr>
              <w:ind w:left="360"/>
              <w:spacing w:after="0"/>
              <w:rPr>
                <w:sz w:val="20"/>
                <w:szCs w:val="20"/>
                <w:color w:val="auto"/>
              </w:rPr>
            </w:pPr>
            <w:r>
              <w:rPr>
                <w:rFonts w:ascii="Arial" w:cs="Arial" w:eastAsia="Arial" w:hAnsi="Arial"/>
                <w:sz w:val="18"/>
                <w:szCs w:val="18"/>
                <w:color w:val="auto"/>
              </w:rPr>
              <w:t>Neuroscience:</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4160" w:type="dxa"/>
            <w:vAlign w:val="bottom"/>
            <w:shd w:val="clear" w:color="auto" w:fill="CCEEFF"/>
          </w:tcPr>
          <w:p>
            <w:pPr>
              <w:ind w:left="680"/>
              <w:spacing w:after="0"/>
              <w:rPr>
                <w:sz w:val="20"/>
                <w:szCs w:val="20"/>
                <w:color w:val="auto"/>
              </w:rPr>
            </w:pPr>
            <w:r>
              <w:rPr>
                <w:rFonts w:ascii="Arial" w:cs="Arial" w:eastAsia="Arial" w:hAnsi="Arial"/>
                <w:sz w:val="18"/>
                <w:szCs w:val="18"/>
                <w:i w:val="1"/>
                <w:iCs w:val="1"/>
                <w:color w:val="auto"/>
              </w:rPr>
              <w:t>Cymbalta</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23.3</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328.9</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352.3</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370.9</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390.3</w:t>
            </w:r>
          </w:p>
        </w:tc>
      </w:tr>
      <w:tr>
        <w:trPr>
          <w:trHeight w:val="230"/>
        </w:trPr>
        <w:tc>
          <w:tcPr>
            <w:tcW w:w="4160" w:type="dxa"/>
            <w:vAlign w:val="bottom"/>
          </w:tcPr>
          <w:p>
            <w:pPr>
              <w:ind w:left="680"/>
              <w:spacing w:after="0"/>
              <w:rPr>
                <w:sz w:val="20"/>
                <w:szCs w:val="20"/>
                <w:color w:val="auto"/>
              </w:rPr>
            </w:pPr>
            <w:r>
              <w:rPr>
                <w:rFonts w:ascii="Arial" w:cs="Arial" w:eastAsia="Arial" w:hAnsi="Arial"/>
                <w:sz w:val="18"/>
                <w:szCs w:val="18"/>
                <w:i w:val="1"/>
                <w:iCs w:val="1"/>
                <w:color w:val="auto"/>
              </w:rPr>
              <w:t>Emgality</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213.6</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62.2</w:t>
            </w:r>
          </w:p>
        </w:tc>
        <w:tc>
          <w:tcPr>
            <w:tcW w:w="240" w:type="dxa"/>
            <w:vAlign w:val="bottom"/>
          </w:tcPr>
          <w:p>
            <w:pPr>
              <w:spacing w:after="0"/>
              <w:rPr>
                <w:sz w:val="19"/>
                <w:szCs w:val="19"/>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275.7</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147.9</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13.6</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161.5</w:t>
            </w:r>
          </w:p>
        </w:tc>
      </w:tr>
      <w:tr>
        <w:trPr>
          <w:trHeight w:val="230"/>
        </w:trPr>
        <w:tc>
          <w:tcPr>
            <w:tcW w:w="4160" w:type="dxa"/>
            <w:vAlign w:val="bottom"/>
            <w:shd w:val="clear" w:color="auto" w:fill="CCEEFF"/>
          </w:tcPr>
          <w:p>
            <w:pPr>
              <w:ind w:left="680"/>
              <w:spacing w:after="0"/>
              <w:rPr>
                <w:sz w:val="20"/>
                <w:szCs w:val="20"/>
                <w:color w:val="auto"/>
              </w:rPr>
            </w:pPr>
            <w:r>
              <w:rPr>
                <w:rFonts w:ascii="Arial" w:cs="Arial" w:eastAsia="Arial" w:hAnsi="Arial"/>
                <w:sz w:val="18"/>
                <w:szCs w:val="18"/>
                <w:i w:val="1"/>
                <w:iCs w:val="1"/>
                <w:color w:val="auto"/>
              </w:rPr>
              <w:t>Zyprexa</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15.3</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175.8</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191.1</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w:t>
            </w:r>
          </w:p>
        </w:tc>
      </w:tr>
      <w:tr>
        <w:trPr>
          <w:trHeight w:val="230"/>
        </w:trPr>
        <w:tc>
          <w:tcPr>
            <w:tcW w:w="4160" w:type="dxa"/>
            <w:vAlign w:val="bottom"/>
            <w:tcBorders>
              <w:bottom w:val="single" w:sz="8" w:color="CCEEFF"/>
            </w:tcBorders>
          </w:tcPr>
          <w:p>
            <w:pPr>
              <w:ind w:left="680"/>
              <w:spacing w:after="0"/>
              <w:rPr>
                <w:sz w:val="20"/>
                <w:szCs w:val="20"/>
                <w:color w:val="auto"/>
              </w:rPr>
            </w:pPr>
            <w:r>
              <w:rPr>
                <w:rFonts w:ascii="Arial" w:cs="Arial" w:eastAsia="Arial" w:hAnsi="Arial"/>
                <w:sz w:val="18"/>
                <w:szCs w:val="18"/>
                <w:i w:val="1"/>
                <w:iCs w:val="1"/>
                <w:color w:val="auto"/>
              </w:rPr>
              <w:t>Other Neuroscience</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56.2</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102.3</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158.5</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139.2</w:t>
            </w:r>
          </w:p>
        </w:tc>
      </w:tr>
      <w:tr>
        <w:trPr>
          <w:trHeight w:val="223"/>
        </w:trPr>
        <w:tc>
          <w:tcPr>
            <w:tcW w:w="4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Neuroscience</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308.4</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669.2</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977.6</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671.7</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886.0</w:t>
            </w:r>
          </w:p>
        </w:tc>
      </w:tr>
      <w:tr>
        <w:trPr>
          <w:trHeight w:val="54"/>
        </w:trPr>
        <w:tc>
          <w:tcPr>
            <w:tcW w:w="4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30"/>
        </w:trPr>
        <w:tc>
          <w:tcPr>
            <w:tcW w:w="4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4160" w:type="dxa"/>
            <w:vAlign w:val="bottom"/>
          </w:tcPr>
          <w:p>
            <w:pPr>
              <w:ind w:left="680"/>
              <w:spacing w:after="0" w:line="230" w:lineRule="exact"/>
              <w:rPr>
                <w:sz w:val="20"/>
                <w:szCs w:val="20"/>
                <w:color w:val="auto"/>
              </w:rPr>
            </w:pPr>
            <w:r>
              <w:rPr>
                <w:rFonts w:ascii="Arial" w:cs="Arial" w:eastAsia="Arial" w:hAnsi="Arial"/>
                <w:sz w:val="18"/>
                <w:szCs w:val="18"/>
                <w:i w:val="1"/>
                <w:iCs w:val="1"/>
                <w:color w:val="auto"/>
              </w:rPr>
              <w:t xml:space="preserve">COVID-19 Antibodies </w:t>
            </w:r>
            <w:r>
              <w:rPr>
                <w:rFonts w:ascii="Arial" w:cs="Arial" w:eastAsia="Arial" w:hAnsi="Arial"/>
                <w:sz w:val="23"/>
                <w:szCs w:val="23"/>
                <w:color w:val="auto"/>
                <w:vertAlign w:val="superscript"/>
              </w:rPr>
              <w:t>(3)</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734.0</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225.1</w:t>
            </w:r>
          </w:p>
        </w:tc>
        <w:tc>
          <w:tcPr>
            <w:tcW w:w="240" w:type="dxa"/>
            <w:vAlign w:val="bottom"/>
          </w:tcPr>
          <w:p>
            <w:pPr>
              <w:spacing w:after="0"/>
              <w:rPr>
                <w:sz w:val="19"/>
                <w:szCs w:val="19"/>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959.1</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160" w:type="dxa"/>
            <w:vAlign w:val="bottom"/>
            <w:shd w:val="clear" w:color="auto" w:fill="CCEEFF"/>
          </w:tcPr>
          <w:p>
            <w:pPr>
              <w:ind w:left="680"/>
              <w:spacing w:after="0"/>
              <w:rPr>
                <w:sz w:val="20"/>
                <w:szCs w:val="20"/>
                <w:color w:val="auto"/>
              </w:rPr>
            </w:pPr>
            <w:r>
              <w:rPr>
                <w:rFonts w:ascii="Arial" w:cs="Arial" w:eastAsia="Arial" w:hAnsi="Arial"/>
                <w:sz w:val="18"/>
                <w:szCs w:val="18"/>
                <w:i w:val="1"/>
                <w:iCs w:val="1"/>
                <w:color w:val="auto"/>
              </w:rPr>
              <w:t>Forteo</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220.5</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196.4</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416.9</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242.2</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282.9</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w:t>
            </w:r>
          </w:p>
        </w:tc>
      </w:tr>
      <w:tr>
        <w:trPr>
          <w:trHeight w:val="229"/>
        </w:trPr>
        <w:tc>
          <w:tcPr>
            <w:tcW w:w="4160" w:type="dxa"/>
            <w:vAlign w:val="bottom"/>
          </w:tcPr>
          <w:p>
            <w:pPr>
              <w:ind w:left="680"/>
              <w:spacing w:after="0"/>
              <w:rPr>
                <w:sz w:val="20"/>
                <w:szCs w:val="20"/>
                <w:color w:val="auto"/>
              </w:rPr>
            </w:pPr>
            <w:r>
              <w:rPr>
                <w:rFonts w:ascii="Arial" w:cs="Arial" w:eastAsia="Arial" w:hAnsi="Arial"/>
                <w:sz w:val="18"/>
                <w:szCs w:val="18"/>
                <w:i w:val="1"/>
                <w:iCs w:val="1"/>
                <w:color w:val="auto"/>
              </w:rPr>
              <w:t>Cialis</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3.4</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404.4</w:t>
            </w:r>
          </w:p>
        </w:tc>
        <w:tc>
          <w:tcPr>
            <w:tcW w:w="240" w:type="dxa"/>
            <w:vAlign w:val="bottom"/>
          </w:tcPr>
          <w:p>
            <w:pPr>
              <w:spacing w:after="0"/>
              <w:rPr>
                <w:sz w:val="19"/>
                <w:szCs w:val="19"/>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407.8</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49.5</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274.3</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323.8</w:t>
            </w:r>
          </w:p>
        </w:tc>
      </w:tr>
      <w:tr>
        <w:trPr>
          <w:trHeight w:val="230"/>
        </w:trPr>
        <w:tc>
          <w:tcPr>
            <w:tcW w:w="4160" w:type="dxa"/>
            <w:vAlign w:val="bottom"/>
            <w:shd w:val="clear" w:color="auto" w:fill="CCEEFF"/>
          </w:tcPr>
          <w:p>
            <w:pPr>
              <w:ind w:left="680"/>
              <w:spacing w:after="0"/>
              <w:rPr>
                <w:sz w:val="20"/>
                <w:szCs w:val="20"/>
                <w:color w:val="auto"/>
              </w:rPr>
            </w:pPr>
            <w:r>
              <w:rPr>
                <w:rFonts w:ascii="Arial" w:cs="Arial" w:eastAsia="Arial" w:hAnsi="Arial"/>
                <w:sz w:val="18"/>
                <w:szCs w:val="18"/>
                <w:i w:val="1"/>
                <w:iCs w:val="1"/>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60.2</w:t>
            </w: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111.9</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172.1</w:t>
            </w: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161.5</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272.3</w:t>
            </w:r>
          </w:p>
        </w:tc>
      </w:tr>
      <w:tr>
        <w:trPr>
          <w:trHeight w:val="223"/>
        </w:trPr>
        <w:tc>
          <w:tcPr>
            <w:tcW w:w="416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Other</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1,018.1</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937.8</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1,955.9</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402.4</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718.7</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1,121.1</w:t>
            </w:r>
          </w:p>
        </w:tc>
      </w:tr>
      <w:tr>
        <w:trPr>
          <w:trHeight w:val="230"/>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7,645.5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5,900.2</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13,545.7</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6,473.6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4,885.6</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11,359.2</w:t>
            </w: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43" w:lineRule="exact"/>
        <w:rPr>
          <w:sz w:val="20"/>
          <w:szCs w:val="20"/>
          <w:color w:val="auto"/>
        </w:rPr>
      </w:pPr>
    </w:p>
    <w:p>
      <w:pPr>
        <w:ind w:left="140" w:hanging="132"/>
        <w:spacing w:after="0"/>
        <w:tabs>
          <w:tab w:leader="none" w:pos="140" w:val="left"/>
        </w:tabs>
        <w:numPr>
          <w:ilvl w:val="0"/>
          <w:numId w:val="7"/>
        </w:numPr>
        <w:rPr>
          <w:rFonts w:ascii="Arial" w:cs="Arial" w:eastAsia="Arial" w:hAnsi="Arial"/>
          <w:sz w:val="16"/>
          <w:szCs w:val="16"/>
          <w:color w:val="auto"/>
          <w:vertAlign w:val="superscript"/>
        </w:rPr>
      </w:pPr>
      <w:r>
        <w:rPr>
          <w:rFonts w:ascii="Arial" w:cs="Arial" w:eastAsia="Arial" w:hAnsi="Arial"/>
          <w:sz w:val="12"/>
          <w:szCs w:val="12"/>
          <w:color w:val="auto"/>
        </w:rPr>
        <w:t>Humalog revenue includes insulin lispro.</w:t>
      </w:r>
    </w:p>
    <w:p>
      <w:pPr>
        <w:spacing w:after="0" w:line="43" w:lineRule="exact"/>
        <w:rPr>
          <w:rFonts w:ascii="Arial" w:cs="Arial" w:eastAsia="Arial" w:hAnsi="Arial"/>
          <w:sz w:val="16"/>
          <w:szCs w:val="16"/>
          <w:color w:val="auto"/>
          <w:vertAlign w:val="superscript"/>
        </w:rPr>
      </w:pPr>
    </w:p>
    <w:p>
      <w:pPr>
        <w:ind w:left="140" w:hanging="132"/>
        <w:spacing w:after="0" w:line="224" w:lineRule="auto"/>
        <w:tabs>
          <w:tab w:leader="none" w:pos="140" w:val="left"/>
        </w:tabs>
        <w:numPr>
          <w:ilvl w:val="0"/>
          <w:numId w:val="7"/>
        </w:numPr>
        <w:rPr>
          <w:rFonts w:ascii="Arial" w:cs="Arial" w:eastAsia="Arial" w:hAnsi="Arial"/>
          <w:sz w:val="16"/>
          <w:szCs w:val="16"/>
          <w:color w:val="auto"/>
          <w:vertAlign w:val="superscript"/>
        </w:rPr>
      </w:pPr>
      <w:r>
        <w:rPr>
          <w:rFonts w:ascii="Arial" w:cs="Arial" w:eastAsia="Arial" w:hAnsi="Arial"/>
          <w:sz w:val="12"/>
          <w:szCs w:val="12"/>
          <w:color w:val="auto"/>
        </w:rPr>
        <w:t>Jardiance revenue includes Glyxambi, Synjardy, and Trijardy XR.</w:t>
      </w:r>
    </w:p>
    <w:p>
      <w:pPr>
        <w:spacing w:after="0" w:line="44" w:lineRule="exact"/>
        <w:rPr>
          <w:rFonts w:ascii="Arial" w:cs="Arial" w:eastAsia="Arial" w:hAnsi="Arial"/>
          <w:sz w:val="16"/>
          <w:szCs w:val="16"/>
          <w:color w:val="auto"/>
          <w:vertAlign w:val="superscript"/>
        </w:rPr>
      </w:pPr>
    </w:p>
    <w:p>
      <w:pPr>
        <w:ind w:firstLine="8"/>
        <w:spacing w:after="0"/>
        <w:tabs>
          <w:tab w:leader="none" w:pos="140" w:val="left"/>
        </w:tabs>
        <w:numPr>
          <w:ilvl w:val="0"/>
          <w:numId w:val="7"/>
        </w:numPr>
        <w:rPr>
          <w:rFonts w:ascii="Arial" w:cs="Arial" w:eastAsia="Arial" w:hAnsi="Arial"/>
          <w:sz w:val="16"/>
          <w:szCs w:val="16"/>
          <w:color w:val="auto"/>
          <w:vertAlign w:val="superscript"/>
        </w:rPr>
      </w:pPr>
      <w:r>
        <w:rPr>
          <w:rFonts w:ascii="Arial" w:cs="Arial" w:eastAsia="Arial" w:hAnsi="Arial"/>
          <w:sz w:val="12"/>
          <w:szCs w:val="12"/>
          <w:color w:val="auto"/>
        </w:rPr>
        <w:t>COVID-19 antibodies include sales for bamlanivimab administered alone as well as sales for bamlanivimab and etesevimab administered together and were made pursuant to EUAs.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The following table summarizes revenue by geographical area:</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jc w:val="right"/>
              <w:ind w:right="233"/>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3"/>
          </w:tcPr>
          <w:p>
            <w:pPr>
              <w:jc w:val="center"/>
              <w:ind w:right="153"/>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55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r>
      <w:tr>
        <w:trPr>
          <w:trHeight w:val="223"/>
        </w:trPr>
        <w:tc>
          <w:tcPr>
            <w:tcW w:w="556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Revenue—to unaffiliated customers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5560" w:type="dxa"/>
            <w:vAlign w:val="bottom"/>
          </w:tcPr>
          <w:p>
            <w:pPr>
              <w:ind w:left="140"/>
              <w:spacing w:after="0"/>
              <w:rPr>
                <w:sz w:val="20"/>
                <w:szCs w:val="20"/>
                <w:color w:val="auto"/>
              </w:rPr>
            </w:pPr>
            <w:r>
              <w:rPr>
                <w:rFonts w:ascii="Arial" w:cs="Arial" w:eastAsia="Arial" w:hAnsi="Arial"/>
                <w:sz w:val="18"/>
                <w:szCs w:val="18"/>
                <w:color w:val="auto"/>
              </w:rPr>
              <w:t>U.S.</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15"/>
              <w:spacing w:after="0"/>
              <w:rPr>
                <w:sz w:val="20"/>
                <w:szCs w:val="20"/>
                <w:color w:val="auto"/>
              </w:rPr>
            </w:pPr>
            <w:r>
              <w:rPr>
                <w:rFonts w:ascii="Arial" w:cs="Arial" w:eastAsia="Arial" w:hAnsi="Arial"/>
                <w:sz w:val="18"/>
                <w:szCs w:val="18"/>
                <w:b w:val="1"/>
                <w:bCs w:val="1"/>
                <w:color w:val="auto"/>
              </w:rPr>
              <w:t>3,704.2</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3,144.8</w:t>
            </w:r>
          </w:p>
        </w:tc>
        <w:tc>
          <w:tcPr>
            <w:tcW w:w="3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5"/>
              <w:spacing w:after="0"/>
              <w:rPr>
                <w:sz w:val="20"/>
                <w:szCs w:val="20"/>
                <w:color w:val="auto"/>
              </w:rPr>
            </w:pPr>
            <w:r>
              <w:rPr>
                <w:rFonts w:ascii="Arial" w:cs="Arial" w:eastAsia="Arial" w:hAnsi="Arial"/>
                <w:sz w:val="18"/>
                <w:szCs w:val="18"/>
                <w:b w:val="1"/>
                <w:bCs w:val="1"/>
                <w:color w:val="auto"/>
              </w:rPr>
              <w:t>7,645.5</w:t>
            </w: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6,473.6</w:t>
            </w:r>
          </w:p>
        </w:tc>
      </w:tr>
      <w:tr>
        <w:trPr>
          <w:trHeight w:val="229"/>
        </w:trPr>
        <w:tc>
          <w:tcPr>
            <w:tcW w:w="5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Europe</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1,209.8</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873.0</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2,531.0</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1,934.1</w:t>
            </w:r>
          </w:p>
        </w:tc>
      </w:tr>
      <w:tr>
        <w:trPr>
          <w:trHeight w:val="229"/>
        </w:trPr>
        <w:tc>
          <w:tcPr>
            <w:tcW w:w="5560" w:type="dxa"/>
            <w:vAlign w:val="bottom"/>
          </w:tcPr>
          <w:p>
            <w:pPr>
              <w:ind w:left="140"/>
              <w:spacing w:after="0"/>
              <w:rPr>
                <w:sz w:val="20"/>
                <w:szCs w:val="20"/>
                <w:color w:val="auto"/>
              </w:rPr>
            </w:pPr>
            <w:r>
              <w:rPr>
                <w:rFonts w:ascii="Arial" w:cs="Arial" w:eastAsia="Arial" w:hAnsi="Arial"/>
                <w:sz w:val="18"/>
                <w:szCs w:val="18"/>
                <w:color w:val="auto"/>
              </w:rPr>
              <w:t>Japan</w:t>
            </w:r>
          </w:p>
        </w:tc>
        <w:tc>
          <w:tcPr>
            <w:tcW w:w="200" w:type="dxa"/>
            <w:vAlign w:val="bottom"/>
          </w:tcPr>
          <w:p>
            <w:pPr>
              <w:spacing w:after="0"/>
              <w:rPr>
                <w:sz w:val="19"/>
                <w:szCs w:val="19"/>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b w:val="1"/>
                <w:bCs w:val="1"/>
                <w:color w:val="auto"/>
              </w:rPr>
              <w:t>665.4</w:t>
            </w:r>
          </w:p>
        </w:tc>
        <w:tc>
          <w:tcPr>
            <w:tcW w:w="380" w:type="dxa"/>
            <w:vAlign w:val="bottom"/>
          </w:tcPr>
          <w:p>
            <w:pPr>
              <w:spacing w:after="0"/>
              <w:rPr>
                <w:sz w:val="19"/>
                <w:szCs w:val="19"/>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666.7</w:t>
            </w:r>
          </w:p>
        </w:tc>
        <w:tc>
          <w:tcPr>
            <w:tcW w:w="320" w:type="dxa"/>
            <w:vAlign w:val="bottom"/>
          </w:tcPr>
          <w:p>
            <w:pPr>
              <w:spacing w:after="0"/>
              <w:rPr>
                <w:sz w:val="19"/>
                <w:szCs w:val="19"/>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b w:val="1"/>
                <w:bCs w:val="1"/>
                <w:color w:val="auto"/>
              </w:rPr>
              <w:t>1,237.2</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1,259.0</w:t>
            </w:r>
          </w:p>
        </w:tc>
      </w:tr>
      <w:tr>
        <w:trPr>
          <w:trHeight w:val="230"/>
        </w:trPr>
        <w:tc>
          <w:tcPr>
            <w:tcW w:w="5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China</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522.5</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239.8</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884.7</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507.1</w:t>
            </w:r>
          </w:p>
        </w:tc>
      </w:tr>
      <w:tr>
        <w:trPr>
          <w:trHeight w:val="229"/>
        </w:trPr>
        <w:tc>
          <w:tcPr>
            <w:tcW w:w="55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foreign countries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638.1</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575.2</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1,247.3</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1,185.5</w:t>
            </w:r>
          </w:p>
        </w:tc>
      </w:tr>
      <w:tr>
        <w:trPr>
          <w:trHeight w:val="230"/>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6,740.1</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5,499.4</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13,545.7</w:t>
            </w:r>
          </w:p>
        </w:tc>
        <w:tc>
          <w:tcPr>
            <w:tcW w:w="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11,359.2</w:t>
            </w:r>
          </w:p>
        </w:tc>
      </w:tr>
    </w:tbl>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55" w:lineRule="exact"/>
        <w:rPr>
          <w:sz w:val="20"/>
          <w:szCs w:val="20"/>
          <w:color w:val="auto"/>
        </w:rPr>
      </w:pPr>
    </w:p>
    <w:p>
      <w:pPr>
        <w:ind w:left="140" w:hanging="132"/>
        <w:spacing w:after="0"/>
        <w:tabs>
          <w:tab w:leader="none" w:pos="140" w:val="left"/>
        </w:tabs>
        <w:numPr>
          <w:ilvl w:val="0"/>
          <w:numId w:val="8"/>
        </w:numPr>
        <w:rPr>
          <w:rFonts w:ascii="Arial" w:cs="Arial" w:eastAsia="Arial" w:hAnsi="Arial"/>
          <w:sz w:val="9"/>
          <w:szCs w:val="9"/>
          <w:color w:val="auto"/>
        </w:rPr>
      </w:pPr>
      <w:r>
        <w:rPr>
          <w:rFonts w:ascii="Arial" w:cs="Arial" w:eastAsia="Arial" w:hAnsi="Arial"/>
          <w:sz w:val="14"/>
          <w:szCs w:val="14"/>
          <w:color w:val="auto"/>
        </w:rPr>
        <w:t>Revenue is attributed to the countries based on the location of the customer.</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w:t>
      </w:r>
    </w:p>
    <w:p>
      <w:pPr>
        <w:spacing w:after="0" w:line="13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January 2021 and February 2020, we completed the acquisitions of Prevail Therapeutics Inc. (Prevail) and Dermira, Inc. (Dermira), respectively. These transactions, as further discussed in this note below in Acquisitions of Businesses, were accounted for as business combinations under the acquisition method of accounting. Under this method, the assets acquired and liabilities assumed were recorded at their respective fair values as of the acquisition date in our consolidated condensed financial statements. The determination of estimated fair value required management to make significant estimates and assumptions. The excess of the purchase price over the fair value of the acquired net assets, where applicable, has been recorded as goodwill. The results of operations of these acquisitions are included in our consolidated condensed financial statements from the date of acquisition.</w:t>
      </w:r>
    </w:p>
    <w:p>
      <w:pPr>
        <w:spacing w:after="0" w:line="9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also acquired assets in development which are further discussed in this note below in Asset Acquisitions. Upon each acquisition, the cost allocated to acquired in-process research and development (IPR&amp;D) was immediately expensed because the compound had no alternative future use. We recognized acquired IPR&amp;D charges of $25.0 million and $324.3 million for the three and six months ended June 30, 2021, respectively, and $241.8 million and $294.1 million for the three and six months ended June 30, 2020, respectively.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of Businesses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Prevail Acquisition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Transaction</w:t>
      </w:r>
    </w:p>
    <w:p>
      <w:pPr>
        <w:spacing w:after="0" w:line="1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January 2021, we acquired all shares of Prevail for a purchase price that included $22.50 per share in cash (or an aggregate of $747.4 million, net of cash acquired) plus one non-tradable contingent value right (CVR) per share. The CVR entitles Prevail stockholders to up to an additional $4.00 per share in cash (or an aggregate of approximately $160 million) payable, subject to certain terms and conditions, upon the first regulatory approval of a Prevail product in one of the following countries: U.S., Japan, United Kingdom, Germany, France, Italy or Spain. To achieve the full value of the CVR, such regulatory approval must occur by December 31, 2024. If such regulatory approval occurs after December 31, 2024, the value of the CVR will be reduced by approximately 8.3 cents per month until December 1, 2028, at which point the CVR will expire without payment.</w:t>
      </w:r>
    </w:p>
    <w:p>
      <w:pPr>
        <w:spacing w:after="0" w:line="9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Under the terms of the agreement, we acquired potentially disease-modifying AAV9-based gene therapies for patients with neurodegenerative diseases. The acquisition establishes a new modality for drug discovery and development, extending our research efforts through the creation of a gene therapy program that is being anchored by Prevail’s portfolio of assets. The lead gene therapies in clinical development that we acquired were PR001 for patients with Parkinson’s disease with GBA1 mutations and neuronopathic Gaucher disease and PR006 for patients with frontotemporal dementia with GRN mutations. Both PR001 and PR006 were granted Fast Track designation from the U.S. Food and Drug Administration (FDA).</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6"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Assets Acquired and Liabilities Assumed</w:t>
      </w:r>
    </w:p>
    <w:p>
      <w:pPr>
        <w:spacing w:after="0" w:line="13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access to Prevail information was limited prior to the acquisition. As a consequence, we are in the process of determining fair values and tax bases of a significant portion of the assets acquired and liabilities assumed, including the identification and valuation of intangible assets and tax exposures. The final determination of these amounts will be completed as soon as possible but no later than one year from the acquisition date. The final determination may result in asset and liability fair values and tax bases that differ from the preliminary estimates and require changes to the preliminary amounts recognized.</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preliminary amounts recognized for assets acquired and liabilities assumed as of the acquisition date:</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Estimated Fair Value at January 22,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20"/>
          </w:cols>
          <w:pgMar w:left="320" w:top="1052" w:right="359" w:bottom="1440" w:gutter="0" w:footer="0" w:header="0"/>
        </w:sectPr>
      </w:pP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w:t>
      </w:r>
    </w:p>
    <w:p>
      <w:pPr>
        <w:ind w:left="20"/>
        <w:spacing w:after="0" w:line="219" w:lineRule="auto"/>
        <w:rPr>
          <w:sz w:val="20"/>
          <w:szCs w:val="20"/>
          <w:color w:val="auto"/>
        </w:rPr>
      </w:pPr>
      <w:r>
        <w:rPr>
          <w:rFonts w:ascii="Arial" w:cs="Arial" w:eastAsia="Arial" w:hAnsi="Arial"/>
          <w:sz w:val="18"/>
          <w:szCs w:val="18"/>
          <w:color w:val="auto"/>
        </w:rPr>
        <w:t>Acquired IPR&amp;D</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line="217" w:lineRule="auto"/>
        <w:rPr>
          <w:sz w:val="20"/>
          <w:szCs w:val="20"/>
          <w:color w:val="auto"/>
        </w:rPr>
      </w:pPr>
      <w:r>
        <w:rPr>
          <w:rFonts w:ascii="Arial" w:cs="Arial" w:eastAsia="Arial" w:hAnsi="Arial"/>
          <w:sz w:val="18"/>
          <w:szCs w:val="18"/>
          <w:color w:val="auto"/>
        </w:rPr>
        <w:t>Goodwill</w:t>
      </w:r>
      <w:r>
        <w:rPr>
          <w:rFonts w:ascii="Arial" w:cs="Arial" w:eastAsia="Arial" w:hAnsi="Arial"/>
          <w:sz w:val="23"/>
          <w:szCs w:val="23"/>
          <w:color w:val="auto"/>
          <w:vertAlign w:val="superscript"/>
        </w:rPr>
        <w:t>(2)</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assets and liabilities, net</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Acquisition date fair value of consideration transferred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Less:</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Cash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8"/>
          <w:szCs w:val="18"/>
          <w:color w:val="auto"/>
        </w:rPr>
        <w:t>Fair value of CVR liability</w:t>
      </w:r>
      <w:r>
        <w:rPr>
          <w:rFonts w:ascii="Arial" w:cs="Arial" w:eastAsia="Arial" w:hAnsi="Arial"/>
          <w:sz w:val="23"/>
          <w:szCs w:val="23"/>
          <w:color w:val="auto"/>
          <w:vertAlign w:val="superscript"/>
        </w:rPr>
        <w:t>(3)</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paid, net of cash acquired</w:t>
      </w:r>
    </w:p>
    <w:p>
      <w:pPr>
        <w:spacing w:after="0" w:line="165" w:lineRule="exact"/>
        <w:rPr>
          <w:sz w:val="20"/>
          <w:szCs w:val="20"/>
          <w:color w:val="auto"/>
        </w:rPr>
      </w:pPr>
    </w:p>
    <w:p>
      <w:pPr>
        <w:ind w:left="140" w:hanging="132"/>
        <w:spacing w:after="0"/>
        <w:tabs>
          <w:tab w:leader="none" w:pos="140" w:val="left"/>
        </w:tabs>
        <w:numPr>
          <w:ilvl w:val="0"/>
          <w:numId w:val="9"/>
        </w:numPr>
        <w:rPr>
          <w:rFonts w:ascii="Arial" w:cs="Arial" w:eastAsia="Arial" w:hAnsi="Arial"/>
          <w:sz w:val="16"/>
          <w:szCs w:val="16"/>
          <w:color w:val="auto"/>
          <w:vertAlign w:val="superscript"/>
        </w:rPr>
      </w:pPr>
      <w:r>
        <w:rPr>
          <w:rFonts w:ascii="Arial" w:cs="Arial" w:eastAsia="Arial" w:hAnsi="Arial"/>
          <w:sz w:val="12"/>
          <w:szCs w:val="12"/>
          <w:color w:val="auto"/>
        </w:rPr>
        <w:t>Acquired IPR&amp;D intangibles primarily relate to PR001.</w:t>
      </w:r>
    </w:p>
    <w:p>
      <w:pPr>
        <w:spacing w:after="0" w:line="43" w:lineRule="exact"/>
        <w:rPr>
          <w:rFonts w:ascii="Arial" w:cs="Arial" w:eastAsia="Arial" w:hAnsi="Arial"/>
          <w:sz w:val="16"/>
          <w:szCs w:val="16"/>
          <w:color w:val="auto"/>
          <w:vertAlign w:val="superscript"/>
        </w:rPr>
      </w:pPr>
    </w:p>
    <w:p>
      <w:pPr>
        <w:ind w:left="140" w:hanging="132"/>
        <w:spacing w:after="0" w:line="224" w:lineRule="auto"/>
        <w:tabs>
          <w:tab w:leader="none" w:pos="140" w:val="left"/>
        </w:tabs>
        <w:numPr>
          <w:ilvl w:val="0"/>
          <w:numId w:val="9"/>
        </w:numPr>
        <w:rPr>
          <w:rFonts w:ascii="Arial" w:cs="Arial" w:eastAsia="Arial" w:hAnsi="Arial"/>
          <w:sz w:val="16"/>
          <w:szCs w:val="16"/>
          <w:color w:val="auto"/>
          <w:vertAlign w:val="superscript"/>
        </w:rPr>
      </w:pPr>
      <w:r>
        <w:rPr>
          <w:rFonts w:ascii="Arial" w:cs="Arial" w:eastAsia="Arial" w:hAnsi="Arial"/>
          <w:sz w:val="12"/>
          <w:szCs w:val="12"/>
          <w:color w:val="auto"/>
        </w:rPr>
        <w:t>The goodwill recognized from this acquisition is not deductible for tax purposes.</w:t>
      </w:r>
    </w:p>
    <w:p>
      <w:pPr>
        <w:spacing w:after="0" w:line="44" w:lineRule="exact"/>
        <w:rPr>
          <w:rFonts w:ascii="Arial" w:cs="Arial" w:eastAsia="Arial" w:hAnsi="Arial"/>
          <w:sz w:val="16"/>
          <w:szCs w:val="16"/>
          <w:color w:val="auto"/>
          <w:vertAlign w:val="superscript"/>
        </w:rPr>
      </w:pPr>
    </w:p>
    <w:p>
      <w:pPr>
        <w:ind w:left="140" w:hanging="132"/>
        <w:spacing w:after="0" w:line="224" w:lineRule="auto"/>
        <w:tabs>
          <w:tab w:leader="none" w:pos="140" w:val="left"/>
        </w:tabs>
        <w:numPr>
          <w:ilvl w:val="0"/>
          <w:numId w:val="9"/>
        </w:numPr>
        <w:rPr>
          <w:rFonts w:ascii="Arial" w:cs="Arial" w:eastAsia="Arial" w:hAnsi="Arial"/>
          <w:sz w:val="16"/>
          <w:szCs w:val="16"/>
          <w:color w:val="auto"/>
          <w:vertAlign w:val="superscript"/>
        </w:rPr>
      </w:pPr>
      <w:r>
        <w:rPr>
          <w:rFonts w:ascii="Arial" w:cs="Arial" w:eastAsia="Arial" w:hAnsi="Arial"/>
          <w:sz w:val="12"/>
          <w:szCs w:val="12"/>
          <w:color w:val="auto"/>
        </w:rPr>
        <w:t>See Note 6 for a discussion on the estimation of the CVR liability.</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tabs>
          <w:tab w:leader="none" w:pos="18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90.5</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824.0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118.8</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(98.0)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wp:posOffset>
            </wp:positionV>
            <wp:extent cx="14319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1431925" cy="8255"/>
                    </a:xfrm>
                    <a:prstGeom prst="rect">
                      <a:avLst/>
                    </a:prstGeom>
                    <a:noFill/>
                  </pic:spPr>
                </pic:pic>
              </a:graphicData>
            </a:graphic>
          </wp:anchor>
        </w:drawing>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903.8</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(90.5)</w:t>
      </w:r>
    </w:p>
    <w:p>
      <w:pPr>
        <w:spacing w:after="0" w:line="23"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(65.9)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wp:posOffset>
            </wp:positionV>
            <wp:extent cx="14319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1431925" cy="8255"/>
                    </a:xfrm>
                    <a:prstGeom prst="rect">
                      <a:avLst/>
                    </a:prstGeom>
                    <a:noFill/>
                  </pic:spPr>
                </pic:pic>
              </a:graphicData>
            </a:graphic>
          </wp:anchor>
        </w:drawing>
      </w:r>
    </w:p>
    <w:p>
      <w:pPr>
        <w:spacing w:after="0" w:line="16"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747.4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wp:posOffset>
            </wp:positionV>
            <wp:extent cx="143192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1431925" cy="17145"/>
                    </a:xfrm>
                    <a:prstGeom prst="rect">
                      <a:avLst/>
                    </a:prstGeom>
                    <a:noFill/>
                  </pic:spPr>
                </pic:pic>
              </a:graphicData>
            </a:graphic>
          </wp:anchor>
        </w:drawing>
      </w:r>
    </w:p>
    <w:p>
      <w:pPr>
        <w:spacing w:after="0" w:line="886" w:lineRule="exact"/>
        <w:rPr>
          <w:sz w:val="20"/>
          <w:szCs w:val="20"/>
          <w:color w:val="auto"/>
        </w:rPr>
      </w:pPr>
    </w:p>
    <w:p>
      <w:pPr>
        <w:sectPr>
          <w:pgSz w:w="11900" w:h="16838" w:orient="portrait"/>
          <w:cols w:equalWidth="0" w:num="2">
            <w:col w:w="8280" w:space="720"/>
            <w:col w:w="2220"/>
          </w:cols>
          <w:pgMar w:left="320" w:top="1052" w:right="359" w:bottom="1440" w:gutter="0" w:footer="0" w:header="0"/>
          <w:type w:val="continuous"/>
        </w:sectPr>
      </w:pPr>
    </w:p>
    <w:p>
      <w:pPr>
        <w:ind w:right="60"/>
        <w:spacing w:after="0" w:line="261" w:lineRule="auto"/>
        <w:rPr>
          <w:sz w:val="20"/>
          <w:szCs w:val="20"/>
          <w:color w:val="auto"/>
        </w:rPr>
      </w:pPr>
      <w:r>
        <w:rPr>
          <w:rFonts w:ascii="Arial" w:cs="Arial" w:eastAsia="Arial" w:hAnsi="Arial"/>
          <w:sz w:val="18"/>
          <w:szCs w:val="18"/>
          <w:color w:val="auto"/>
        </w:rPr>
        <w:t>Pro forma information has not been included as this acquisition did not have a material impact on our consolidated condensed statements of operations for the six months ended June 30, 2021 and 2020.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Dermira Acquisition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Transaction</w:t>
      </w:r>
    </w:p>
    <w:p>
      <w:pPr>
        <w:spacing w:after="0" w:line="135"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In February 2020, we acquired all shares of Dermira for a purchase price of approximately $849.3 million, net of cash acquired. Under the terms of the agreement, we acquired lebrikizumab, a novel, investigational, monoclonal antibody being evaluated for the treatment of moderate-to-severe atopic dermatitis. Lebrikizumab was granted Fast Track designation from the FDA. We also acquired Qbrexza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(glycopyrronium) cloth, a medicated cloth approved by the FDA for the topical treatment of primary axillary hyperhidrosis (uncontrolled excessive underarm sweating). During the six months ended June 30, 2021, we sold the rights to Qbrexza. See Note 5 for additional information.</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Acquired and Liabilities Assumed</w:t>
      </w:r>
    </w:p>
    <w:p>
      <w:pPr>
        <w:spacing w:after="0" w:line="135"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The fair values recognized related to the assets acquired and liabilities assumed in this acquisition included goodwill of $ 86.8 million, other intangibles of $1.20 billion primarily related to lebrikizumab, deferred income tax liabilities of $49.5 million, and long-term debt of $375.5 million. After the acquisition, we repaid $276.2 million of long-term debt assumed as part of our acquisition of Dermira.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2" w:right="35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Asset Acquisitions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asset acquisitions during the six months ended June 30, 2021 and 2020:</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Phase of Development</w:t>
            </w:r>
            <w:r>
              <w:rPr>
                <w:rFonts w:ascii="Arial" w:cs="Arial" w:eastAsia="Arial" w:hAnsi="Arial"/>
                <w:sz w:val="18"/>
                <w:szCs w:val="18"/>
                <w:b w:val="1"/>
                <w:bCs w:val="1"/>
                <w:color w:val="auto"/>
                <w:w w:val="93"/>
                <w:vertAlign w:val="subscript"/>
              </w:rPr>
              <w:t>(1)</w:t>
            </w:r>
          </w:p>
        </w:tc>
        <w:tc>
          <w:tcPr>
            <w:tcW w:w="200" w:type="dxa"/>
            <w:vAlign w:val="bottom"/>
          </w:tcPr>
          <w:p>
            <w:pPr>
              <w:spacing w:after="0"/>
              <w:rPr>
                <w:sz w:val="14"/>
                <w:szCs w:val="14"/>
                <w:color w:val="auto"/>
              </w:rPr>
            </w:pPr>
          </w:p>
        </w:tc>
        <w:tc>
          <w:tcPr>
            <w:tcW w:w="1340" w:type="dxa"/>
            <w:vAlign w:val="bottom"/>
          </w:tcPr>
          <w:p>
            <w:pPr>
              <w:jc w:val="right"/>
              <w:ind w:right="93"/>
              <w:spacing w:after="0"/>
              <w:rPr>
                <w:sz w:val="20"/>
                <w:szCs w:val="20"/>
                <w:color w:val="auto"/>
              </w:rPr>
            </w:pPr>
            <w:r>
              <w:rPr>
                <w:rFonts w:ascii="Arial" w:cs="Arial" w:eastAsia="Arial" w:hAnsi="Arial"/>
                <w:sz w:val="14"/>
                <w:szCs w:val="14"/>
                <w:b w:val="1"/>
                <w:bCs w:val="1"/>
                <w:color w:val="auto"/>
              </w:rPr>
              <w:t>Acquired IPR&amp;D</w:t>
            </w:r>
          </w:p>
        </w:tc>
        <w:tc>
          <w:tcPr>
            <w:tcW w:w="0" w:type="dxa"/>
            <w:vAlign w:val="bottom"/>
          </w:tcPr>
          <w:p>
            <w:pPr>
              <w:spacing w:after="0"/>
              <w:rPr>
                <w:sz w:val="1"/>
                <w:szCs w:val="1"/>
                <w:color w:val="auto"/>
              </w:rPr>
            </w:pPr>
          </w:p>
        </w:tc>
      </w:tr>
      <w:tr>
        <w:trPr>
          <w:trHeight w:val="109"/>
        </w:trPr>
        <w:tc>
          <w:tcPr>
            <w:tcW w:w="3040" w:type="dxa"/>
            <w:vAlign w:val="bottom"/>
            <w:vMerge w:val="restart"/>
          </w:tcPr>
          <w:p>
            <w:pPr>
              <w:ind w:left="1080"/>
              <w:spacing w:after="0"/>
              <w:rPr>
                <w:sz w:val="20"/>
                <w:szCs w:val="20"/>
                <w:color w:val="auto"/>
              </w:rPr>
            </w:pPr>
            <w:r>
              <w:rPr>
                <w:rFonts w:ascii="Arial" w:cs="Arial" w:eastAsia="Arial" w:hAnsi="Arial"/>
                <w:sz w:val="14"/>
                <w:szCs w:val="14"/>
                <w:b w:val="1"/>
                <w:bCs w:val="1"/>
                <w:color w:val="auto"/>
              </w:rPr>
              <w:t>Counterparty</w:t>
            </w:r>
          </w:p>
        </w:tc>
        <w:tc>
          <w:tcPr>
            <w:tcW w:w="332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Compound(s) or Therapy</w:t>
            </w: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Acquisition Month</w:t>
            </w:r>
          </w:p>
        </w:tc>
        <w:tc>
          <w:tcPr>
            <w:tcW w:w="17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34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Expense</w:t>
            </w:r>
          </w:p>
        </w:tc>
        <w:tc>
          <w:tcPr>
            <w:tcW w:w="0" w:type="dxa"/>
            <w:vAlign w:val="bottom"/>
          </w:tcPr>
          <w:p>
            <w:pPr>
              <w:spacing w:after="0"/>
              <w:rPr>
                <w:sz w:val="1"/>
                <w:szCs w:val="1"/>
                <w:color w:val="auto"/>
              </w:rPr>
            </w:pPr>
          </w:p>
        </w:tc>
      </w:tr>
      <w:tr>
        <w:trPr>
          <w:trHeight w:val="67"/>
        </w:trPr>
        <w:tc>
          <w:tcPr>
            <w:tcW w:w="3040" w:type="dxa"/>
            <w:vAlign w:val="bottom"/>
            <w:tcBorders>
              <w:bottom w:val="single" w:sz="8" w:color="auto"/>
            </w:tcBorders>
            <w:vMerge w:val="continue"/>
          </w:tcPr>
          <w:p>
            <w:pPr>
              <w:spacing w:after="0"/>
              <w:rPr>
                <w:sz w:val="5"/>
                <w:szCs w:val="5"/>
                <w:color w:val="auto"/>
              </w:rPr>
            </w:pPr>
          </w:p>
        </w:tc>
        <w:tc>
          <w:tcPr>
            <w:tcW w:w="3320" w:type="dxa"/>
            <w:vAlign w:val="bottom"/>
            <w:tcBorders>
              <w:bottom w:val="single" w:sz="8" w:color="auto"/>
            </w:tcBorders>
            <w:vMerge w:val="continue"/>
          </w:tcPr>
          <w:p>
            <w:pPr>
              <w:spacing w:after="0"/>
              <w:rPr>
                <w:sz w:val="5"/>
                <w:szCs w:val="5"/>
                <w:color w:val="auto"/>
              </w:rPr>
            </w:pPr>
          </w:p>
        </w:tc>
        <w:tc>
          <w:tcPr>
            <w:tcW w:w="1560" w:type="dxa"/>
            <w:vAlign w:val="bottom"/>
            <w:tcBorders>
              <w:bottom w:val="single" w:sz="8" w:color="auto"/>
            </w:tcBorders>
            <w:vMerge w:val="continue"/>
          </w:tcPr>
          <w:p>
            <w:pPr>
              <w:spacing w:after="0"/>
              <w:rPr>
                <w:sz w:val="5"/>
                <w:szCs w:val="5"/>
                <w:color w:val="auto"/>
              </w:rPr>
            </w:pPr>
          </w:p>
        </w:tc>
        <w:tc>
          <w:tcPr>
            <w:tcW w:w="17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30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Precision Biosciences, Inc.</w:t>
            </w:r>
          </w:p>
        </w:tc>
        <w:tc>
          <w:tcPr>
            <w:tcW w:w="3320" w:type="dxa"/>
            <w:vAlign w:val="bottom"/>
            <w:shd w:val="clear" w:color="auto" w:fill="CCEEFF"/>
          </w:tcPr>
          <w:p>
            <w:pPr>
              <w:ind w:left="60"/>
              <w:spacing w:after="0" w:line="182" w:lineRule="exact"/>
              <w:rPr>
                <w:sz w:val="20"/>
                <w:szCs w:val="20"/>
                <w:color w:val="auto"/>
              </w:rPr>
            </w:pPr>
            <w:r>
              <w:rPr>
                <w:rFonts w:ascii="Arial" w:cs="Arial" w:eastAsia="Arial" w:hAnsi="Arial"/>
                <w:sz w:val="18"/>
                <w:szCs w:val="18"/>
                <w:color w:val="auto"/>
              </w:rPr>
              <w:t>Research and development of potential</w:t>
            </w:r>
          </w:p>
        </w:tc>
        <w:tc>
          <w:tcPr>
            <w:tcW w:w="15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rPr>
              <w:t>January 2021</w:t>
            </w:r>
          </w:p>
        </w:tc>
        <w:tc>
          <w:tcPr>
            <w:tcW w:w="1780" w:type="dxa"/>
            <w:vAlign w:val="bottom"/>
            <w:vMerge w:val="restart"/>
            <w:shd w:val="clear" w:color="auto" w:fill="CCEEFF"/>
          </w:tcPr>
          <w:p>
            <w:pPr>
              <w:jc w:val="center"/>
              <w:ind w:left="12"/>
              <w:spacing w:after="0"/>
              <w:rPr>
                <w:sz w:val="20"/>
                <w:szCs w:val="20"/>
                <w:color w:val="auto"/>
              </w:rPr>
            </w:pPr>
            <w:r>
              <w:rPr>
                <w:rFonts w:ascii="Arial" w:cs="Arial" w:eastAsia="Arial" w:hAnsi="Arial"/>
                <w:sz w:val="18"/>
                <w:szCs w:val="18"/>
                <w:color w:val="auto"/>
                <w:w w:val="99"/>
              </w:rPr>
              <w:t>Pre-clinical</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107.8</w:t>
            </w:r>
          </w:p>
        </w:tc>
        <w:tc>
          <w:tcPr>
            <w:tcW w:w="0" w:type="dxa"/>
            <w:vAlign w:val="bottom"/>
          </w:tcPr>
          <w:p>
            <w:pPr>
              <w:spacing w:after="0"/>
              <w:rPr>
                <w:sz w:val="1"/>
                <w:szCs w:val="1"/>
                <w:color w:val="auto"/>
              </w:rPr>
            </w:pPr>
          </w:p>
        </w:tc>
      </w:tr>
      <w:tr>
        <w:trPr>
          <w:trHeight w:val="122"/>
        </w:trPr>
        <w:tc>
          <w:tcPr>
            <w:tcW w:w="3040" w:type="dxa"/>
            <w:vAlign w:val="bottom"/>
            <w:vMerge w:val="continue"/>
            <w:shd w:val="clear" w:color="auto" w:fill="CCEEFF"/>
          </w:tcPr>
          <w:p>
            <w:pPr>
              <w:spacing w:after="0"/>
              <w:rPr>
                <w:sz w:val="10"/>
                <w:szCs w:val="10"/>
                <w:color w:val="auto"/>
              </w:rPr>
            </w:pPr>
          </w:p>
        </w:tc>
        <w:tc>
          <w:tcPr>
            <w:tcW w:w="3320" w:type="dxa"/>
            <w:vAlign w:val="bottom"/>
            <w:vMerge w:val="restart"/>
            <w:shd w:val="clear" w:color="auto" w:fill="CCEEFF"/>
          </w:tcPr>
          <w:p>
            <w:pPr>
              <w:ind w:left="60"/>
              <w:spacing w:after="0"/>
              <w:rPr>
                <w:sz w:val="20"/>
                <w:szCs w:val="20"/>
                <w:color w:val="auto"/>
              </w:rPr>
            </w:pPr>
            <w:r>
              <w:rPr>
                <w:rFonts w:ascii="Arial" w:cs="Arial" w:eastAsia="Arial" w:hAnsi="Arial"/>
                <w:sz w:val="18"/>
                <w:szCs w:val="18"/>
                <w:color w:val="auto"/>
              </w:rPr>
              <w:t>in vivo therapies for genetic disorders</w:t>
            </w:r>
          </w:p>
        </w:tc>
        <w:tc>
          <w:tcPr>
            <w:tcW w:w="1560" w:type="dxa"/>
            <w:vAlign w:val="bottom"/>
            <w:vMerge w:val="continue"/>
            <w:shd w:val="clear" w:color="auto" w:fill="CCEEFF"/>
          </w:tcPr>
          <w:p>
            <w:pPr>
              <w:spacing w:after="0"/>
              <w:rPr>
                <w:sz w:val="10"/>
                <w:szCs w:val="10"/>
                <w:color w:val="auto"/>
              </w:rPr>
            </w:pPr>
          </w:p>
        </w:tc>
        <w:tc>
          <w:tcPr>
            <w:tcW w:w="1780" w:type="dxa"/>
            <w:vAlign w:val="bottom"/>
            <w:vMerge w:val="continue"/>
            <w:shd w:val="clear" w:color="auto" w:fill="CCEEFF"/>
          </w:tcPr>
          <w:p>
            <w:pPr>
              <w:spacing w:after="0"/>
              <w:rPr>
                <w:sz w:val="10"/>
                <w:szCs w:val="10"/>
                <w:color w:val="auto"/>
              </w:rPr>
            </w:pPr>
          </w:p>
        </w:tc>
        <w:tc>
          <w:tcPr>
            <w:tcW w:w="200" w:type="dxa"/>
            <w:vAlign w:val="bottom"/>
            <w:vMerge w:val="continue"/>
            <w:shd w:val="clear" w:color="auto" w:fill="CCEEFF"/>
          </w:tcPr>
          <w:p>
            <w:pPr>
              <w:spacing w:after="0"/>
              <w:rPr>
                <w:sz w:val="10"/>
                <w:szCs w:val="10"/>
                <w:color w:val="auto"/>
              </w:rPr>
            </w:pPr>
          </w:p>
        </w:tc>
        <w:tc>
          <w:tcPr>
            <w:tcW w:w="13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3040" w:type="dxa"/>
            <w:vAlign w:val="bottom"/>
            <w:tcBorders>
              <w:bottom w:val="single" w:sz="8" w:color="auto"/>
            </w:tcBorders>
            <w:shd w:val="clear" w:color="auto" w:fill="CCEEFF"/>
          </w:tcPr>
          <w:p>
            <w:pPr>
              <w:spacing w:after="0"/>
              <w:rPr>
                <w:sz w:val="8"/>
                <w:szCs w:val="8"/>
                <w:color w:val="auto"/>
              </w:rPr>
            </w:pPr>
          </w:p>
        </w:tc>
        <w:tc>
          <w:tcPr>
            <w:tcW w:w="3320" w:type="dxa"/>
            <w:vAlign w:val="bottom"/>
            <w:tcBorders>
              <w:bottom w:val="single" w:sz="8" w:color="auto"/>
            </w:tcBorders>
            <w:vMerge w:val="continue"/>
            <w:shd w:val="clear" w:color="auto" w:fill="CCEEFF"/>
          </w:tcPr>
          <w:p>
            <w:pPr>
              <w:spacing w:after="0"/>
              <w:rPr>
                <w:sz w:val="8"/>
                <w:szCs w:val="8"/>
                <w:color w:val="auto"/>
              </w:rPr>
            </w:pPr>
          </w:p>
        </w:tc>
        <w:tc>
          <w:tcPr>
            <w:tcW w:w="1560" w:type="dxa"/>
            <w:vAlign w:val="bottom"/>
            <w:tcBorders>
              <w:bottom w:val="single" w:sz="8" w:color="auto"/>
            </w:tcBorders>
            <w:shd w:val="clear" w:color="auto" w:fill="CCEEFF"/>
          </w:tcPr>
          <w:p>
            <w:pPr>
              <w:spacing w:after="0"/>
              <w:rPr>
                <w:sz w:val="8"/>
                <w:szCs w:val="8"/>
                <w:color w:val="auto"/>
              </w:rPr>
            </w:pPr>
          </w:p>
        </w:tc>
        <w:tc>
          <w:tcPr>
            <w:tcW w:w="1780" w:type="dxa"/>
            <w:vAlign w:val="bottom"/>
            <w:tcBorders>
              <w:bottom w:val="single" w:sz="8" w:color="auto"/>
            </w:tcBorders>
            <w:shd w:val="clear" w:color="auto" w:fill="CCEEFF"/>
          </w:tcPr>
          <w:p>
            <w:pPr>
              <w:spacing w:after="0"/>
              <w:rPr>
                <w:sz w:val="8"/>
                <w:szCs w:val="8"/>
                <w:color w:val="auto"/>
              </w:rPr>
            </w:pPr>
          </w:p>
        </w:tc>
        <w:tc>
          <w:tcPr>
            <w:tcW w:w="200" w:type="dxa"/>
            <w:vAlign w:val="bottom"/>
            <w:tcBorders>
              <w:bottom w:val="single" w:sz="8" w:color="auto"/>
            </w:tcBorders>
            <w:shd w:val="clear" w:color="auto" w:fill="CCEEFF"/>
          </w:tcPr>
          <w:p>
            <w:pPr>
              <w:spacing w:after="0"/>
              <w:rPr>
                <w:sz w:val="8"/>
                <w:szCs w:val="8"/>
                <w:color w:val="auto"/>
              </w:rPr>
            </w:pPr>
          </w:p>
        </w:tc>
        <w:tc>
          <w:tcPr>
            <w:tcW w:w="134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3040" w:type="dxa"/>
            <w:vAlign w:val="bottom"/>
          </w:tcPr>
          <w:p>
            <w:pPr>
              <w:spacing w:after="0"/>
              <w:rPr>
                <w:sz w:val="15"/>
                <w:szCs w:val="15"/>
                <w:color w:val="auto"/>
              </w:rPr>
            </w:pPr>
          </w:p>
        </w:tc>
        <w:tc>
          <w:tcPr>
            <w:tcW w:w="3320" w:type="dxa"/>
            <w:vAlign w:val="bottom"/>
          </w:tcPr>
          <w:p>
            <w:pPr>
              <w:ind w:left="60"/>
              <w:spacing w:after="0" w:line="182" w:lineRule="exact"/>
              <w:rPr>
                <w:sz w:val="20"/>
                <w:szCs w:val="20"/>
                <w:color w:val="auto"/>
              </w:rPr>
            </w:pPr>
            <w:r>
              <w:rPr>
                <w:rFonts w:ascii="Arial" w:cs="Arial" w:eastAsia="Arial" w:hAnsi="Arial"/>
                <w:sz w:val="18"/>
                <w:szCs w:val="18"/>
                <w:color w:val="auto"/>
              </w:rPr>
              <w:t>CD3-engaging T-cell re-directing</w:t>
            </w:r>
          </w:p>
        </w:tc>
        <w:tc>
          <w:tcPr>
            <w:tcW w:w="15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46.5</w:t>
            </w:r>
          </w:p>
        </w:tc>
        <w:tc>
          <w:tcPr>
            <w:tcW w:w="0" w:type="dxa"/>
            <w:vAlign w:val="bottom"/>
          </w:tcPr>
          <w:p>
            <w:pPr>
              <w:spacing w:after="0"/>
              <w:rPr>
                <w:sz w:val="1"/>
                <w:szCs w:val="1"/>
                <w:color w:val="auto"/>
              </w:rPr>
            </w:pPr>
          </w:p>
        </w:tc>
      </w:tr>
      <w:tr>
        <w:trPr>
          <w:trHeight w:val="175"/>
        </w:trPr>
        <w:tc>
          <w:tcPr>
            <w:tcW w:w="3040" w:type="dxa"/>
            <w:vAlign w:val="bottom"/>
          </w:tcPr>
          <w:p>
            <w:pPr>
              <w:ind w:left="20"/>
              <w:spacing w:after="0" w:line="176" w:lineRule="exact"/>
              <w:rPr>
                <w:sz w:val="20"/>
                <w:szCs w:val="20"/>
                <w:color w:val="auto"/>
              </w:rPr>
            </w:pPr>
            <w:r>
              <w:rPr>
                <w:rFonts w:ascii="Arial" w:cs="Arial" w:eastAsia="Arial" w:hAnsi="Arial"/>
                <w:sz w:val="18"/>
                <w:szCs w:val="18"/>
                <w:color w:val="auto"/>
              </w:rPr>
              <w:t>Merus N.V.</w:t>
            </w:r>
          </w:p>
        </w:tc>
        <w:tc>
          <w:tcPr>
            <w:tcW w:w="3320" w:type="dxa"/>
            <w:vAlign w:val="bottom"/>
          </w:tcPr>
          <w:p>
            <w:pPr>
              <w:ind w:left="60"/>
              <w:spacing w:after="0" w:line="176" w:lineRule="exact"/>
              <w:rPr>
                <w:sz w:val="20"/>
                <w:szCs w:val="20"/>
                <w:color w:val="auto"/>
              </w:rPr>
            </w:pPr>
            <w:r>
              <w:rPr>
                <w:rFonts w:ascii="Arial" w:cs="Arial" w:eastAsia="Arial" w:hAnsi="Arial"/>
                <w:sz w:val="18"/>
                <w:szCs w:val="18"/>
                <w:color w:val="auto"/>
              </w:rPr>
              <w:t>bispecific antibodies for the potential</w:t>
            </w:r>
          </w:p>
        </w:tc>
        <w:tc>
          <w:tcPr>
            <w:tcW w:w="1560" w:type="dxa"/>
            <w:vAlign w:val="bottom"/>
          </w:tcPr>
          <w:p>
            <w:pPr>
              <w:jc w:val="center"/>
              <w:spacing w:after="0" w:line="176" w:lineRule="exact"/>
              <w:rPr>
                <w:sz w:val="20"/>
                <w:szCs w:val="20"/>
                <w:color w:val="auto"/>
              </w:rPr>
            </w:pPr>
            <w:r>
              <w:rPr>
                <w:rFonts w:ascii="Arial" w:cs="Arial" w:eastAsia="Arial" w:hAnsi="Arial"/>
                <w:sz w:val="18"/>
                <w:szCs w:val="18"/>
                <w:color w:val="auto"/>
              </w:rPr>
              <w:t>January 2021</w:t>
            </w:r>
          </w:p>
        </w:tc>
        <w:tc>
          <w:tcPr>
            <w:tcW w:w="1780" w:type="dxa"/>
            <w:vAlign w:val="bottom"/>
          </w:tcPr>
          <w:p>
            <w:pPr>
              <w:jc w:val="center"/>
              <w:ind w:left="12"/>
              <w:spacing w:after="0" w:line="176" w:lineRule="exact"/>
              <w:rPr>
                <w:sz w:val="20"/>
                <w:szCs w:val="20"/>
                <w:color w:val="auto"/>
              </w:rPr>
            </w:pPr>
            <w:r>
              <w:rPr>
                <w:rFonts w:ascii="Arial" w:cs="Arial" w:eastAsia="Arial" w:hAnsi="Arial"/>
                <w:sz w:val="18"/>
                <w:szCs w:val="18"/>
                <w:color w:val="auto"/>
                <w:w w:val="99"/>
              </w:rPr>
              <w:t>Pre-clinical</w:t>
            </w:r>
          </w:p>
        </w:tc>
        <w:tc>
          <w:tcPr>
            <w:tcW w:w="20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04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treatment of cancer</w:t>
            </w:r>
          </w:p>
        </w:tc>
        <w:tc>
          <w:tcPr>
            <w:tcW w:w="15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040" w:type="dxa"/>
            <w:vAlign w:val="bottom"/>
            <w:shd w:val="clear" w:color="auto" w:fill="CCEEFF"/>
          </w:tcPr>
          <w:p>
            <w:pPr>
              <w:spacing w:after="0"/>
              <w:rPr>
                <w:sz w:val="15"/>
                <w:szCs w:val="15"/>
                <w:color w:val="auto"/>
              </w:rPr>
            </w:pPr>
          </w:p>
        </w:tc>
        <w:tc>
          <w:tcPr>
            <w:tcW w:w="3320" w:type="dxa"/>
            <w:vAlign w:val="bottom"/>
            <w:shd w:val="clear" w:color="auto" w:fill="CCEEFF"/>
          </w:tcPr>
          <w:p>
            <w:pPr>
              <w:ind w:left="60"/>
              <w:spacing w:after="0" w:line="182" w:lineRule="exact"/>
              <w:rPr>
                <w:sz w:val="20"/>
                <w:szCs w:val="20"/>
                <w:color w:val="auto"/>
              </w:rPr>
            </w:pPr>
            <w:r>
              <w:rPr>
                <w:rFonts w:ascii="Arial" w:cs="Arial" w:eastAsia="Arial" w:hAnsi="Arial"/>
                <w:sz w:val="18"/>
                <w:szCs w:val="18"/>
                <w:color w:val="auto"/>
              </w:rPr>
              <w:t>AK1780, an orally bioavailable P2X7</w:t>
            </w:r>
          </w:p>
        </w:tc>
        <w:tc>
          <w:tcPr>
            <w:tcW w:w="156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20.0</w:t>
            </w:r>
          </w:p>
        </w:tc>
        <w:tc>
          <w:tcPr>
            <w:tcW w:w="0" w:type="dxa"/>
            <w:vAlign w:val="bottom"/>
          </w:tcPr>
          <w:p>
            <w:pPr>
              <w:spacing w:after="0"/>
              <w:rPr>
                <w:sz w:val="1"/>
                <w:szCs w:val="1"/>
                <w:color w:val="auto"/>
              </w:rPr>
            </w:pPr>
          </w:p>
        </w:tc>
      </w:tr>
      <w:tr>
        <w:trPr>
          <w:trHeight w:val="175"/>
        </w:trPr>
        <w:tc>
          <w:tcPr>
            <w:tcW w:w="30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Asahi Kasei Pharma Corporation</w:t>
            </w:r>
          </w:p>
        </w:tc>
        <w:tc>
          <w:tcPr>
            <w:tcW w:w="332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rPr>
              <w:t>receptor antagonist for the potential</w:t>
            </w:r>
          </w:p>
        </w:tc>
        <w:tc>
          <w:tcPr>
            <w:tcW w:w="15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rPr>
              <w:t>January 2021</w:t>
            </w:r>
          </w:p>
        </w:tc>
        <w:tc>
          <w:tcPr>
            <w:tcW w:w="1780" w:type="dxa"/>
            <w:vAlign w:val="bottom"/>
            <w:shd w:val="clear" w:color="auto" w:fill="CCEEFF"/>
          </w:tcPr>
          <w:p>
            <w:pPr>
              <w:jc w:val="center"/>
              <w:ind w:left="12"/>
              <w:spacing w:after="0" w:line="176" w:lineRule="exact"/>
              <w:rPr>
                <w:sz w:val="20"/>
                <w:szCs w:val="20"/>
                <w:color w:val="auto"/>
              </w:rPr>
            </w:pPr>
            <w:r>
              <w:rPr>
                <w:rFonts w:ascii="Arial" w:cs="Arial" w:eastAsia="Arial" w:hAnsi="Arial"/>
                <w:sz w:val="18"/>
                <w:szCs w:val="18"/>
                <w:color w:val="auto"/>
                <w:w w:val="98"/>
              </w:rPr>
              <w:t>Phase I</w:t>
            </w:r>
          </w:p>
        </w:tc>
        <w:tc>
          <w:tcPr>
            <w:tcW w:w="200" w:type="dxa"/>
            <w:vAlign w:val="bottom"/>
            <w:shd w:val="clear" w:color="auto" w:fill="CCEEFF"/>
          </w:tcPr>
          <w:p>
            <w:pPr>
              <w:spacing w:after="0"/>
              <w:rPr>
                <w:sz w:val="15"/>
                <w:szCs w:val="15"/>
                <w:color w:val="auto"/>
              </w:rPr>
            </w:pPr>
          </w:p>
        </w:tc>
        <w:tc>
          <w:tcPr>
            <w:tcW w:w="13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040" w:type="dxa"/>
            <w:vAlign w:val="bottom"/>
            <w:tcBorders>
              <w:bottom w:val="single" w:sz="8" w:color="auto"/>
            </w:tcBorders>
            <w:shd w:val="clear" w:color="auto" w:fill="CCEEFF"/>
          </w:tcPr>
          <w:p>
            <w:pPr>
              <w:spacing w:after="0"/>
              <w:rPr>
                <w:sz w:val="18"/>
                <w:szCs w:val="18"/>
                <w:color w:val="auto"/>
              </w:rPr>
            </w:pPr>
          </w:p>
        </w:tc>
        <w:tc>
          <w:tcPr>
            <w:tcW w:w="33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treatment of chronic pain conditions</w:t>
            </w:r>
          </w:p>
        </w:tc>
        <w:tc>
          <w:tcPr>
            <w:tcW w:w="156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040" w:type="dxa"/>
            <w:vAlign w:val="bottom"/>
          </w:tcPr>
          <w:p>
            <w:pPr>
              <w:spacing w:after="0"/>
              <w:rPr>
                <w:sz w:val="15"/>
                <w:szCs w:val="15"/>
                <w:color w:val="auto"/>
              </w:rPr>
            </w:pPr>
          </w:p>
        </w:tc>
        <w:tc>
          <w:tcPr>
            <w:tcW w:w="3320" w:type="dxa"/>
            <w:vAlign w:val="bottom"/>
          </w:tcPr>
          <w:p>
            <w:pPr>
              <w:ind w:left="60"/>
              <w:spacing w:after="0" w:line="182" w:lineRule="exact"/>
              <w:rPr>
                <w:sz w:val="20"/>
                <w:szCs w:val="20"/>
                <w:color w:val="auto"/>
              </w:rPr>
            </w:pPr>
            <w:r>
              <w:rPr>
                <w:rFonts w:ascii="Arial" w:cs="Arial" w:eastAsia="Arial" w:hAnsi="Arial"/>
                <w:sz w:val="18"/>
                <w:szCs w:val="18"/>
                <w:color w:val="auto"/>
              </w:rPr>
              <w:t>R552, a receptor-interacting</w:t>
            </w:r>
          </w:p>
        </w:tc>
        <w:tc>
          <w:tcPr>
            <w:tcW w:w="15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40" w:type="dxa"/>
            <w:vAlign w:val="bottom"/>
          </w:tcPr>
          <w:p>
            <w:pPr>
              <w:spacing w:after="0"/>
              <w:rPr>
                <w:sz w:val="15"/>
                <w:szCs w:val="15"/>
                <w:color w:val="auto"/>
              </w:rPr>
            </w:pPr>
          </w:p>
        </w:tc>
        <w:tc>
          <w:tcPr>
            <w:tcW w:w="3320" w:type="dxa"/>
            <w:vAlign w:val="bottom"/>
          </w:tcPr>
          <w:p>
            <w:pPr>
              <w:ind w:left="60"/>
              <w:spacing w:after="0" w:line="176" w:lineRule="exact"/>
              <w:rPr>
                <w:sz w:val="20"/>
                <w:szCs w:val="20"/>
                <w:color w:val="auto"/>
              </w:rPr>
            </w:pPr>
            <w:r>
              <w:rPr>
                <w:rFonts w:ascii="Arial" w:cs="Arial" w:eastAsia="Arial" w:hAnsi="Arial"/>
                <w:sz w:val="18"/>
                <w:szCs w:val="18"/>
                <w:color w:val="auto"/>
              </w:rPr>
              <w:t>serine/threonine-protein kinase 1</w:t>
            </w:r>
          </w:p>
        </w:tc>
        <w:tc>
          <w:tcPr>
            <w:tcW w:w="15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125.0</w:t>
            </w:r>
          </w:p>
        </w:tc>
        <w:tc>
          <w:tcPr>
            <w:tcW w:w="0" w:type="dxa"/>
            <w:vAlign w:val="bottom"/>
          </w:tcPr>
          <w:p>
            <w:pPr>
              <w:spacing w:after="0"/>
              <w:rPr>
                <w:sz w:val="1"/>
                <w:szCs w:val="1"/>
                <w:color w:val="auto"/>
              </w:rPr>
            </w:pPr>
          </w:p>
        </w:tc>
      </w:tr>
      <w:tr>
        <w:trPr>
          <w:trHeight w:val="175"/>
        </w:trPr>
        <w:tc>
          <w:tcPr>
            <w:tcW w:w="3040" w:type="dxa"/>
            <w:vAlign w:val="bottom"/>
          </w:tcPr>
          <w:p>
            <w:pPr>
              <w:ind w:left="20"/>
              <w:spacing w:after="0" w:line="176" w:lineRule="exact"/>
              <w:rPr>
                <w:sz w:val="20"/>
                <w:szCs w:val="20"/>
                <w:color w:val="auto"/>
              </w:rPr>
            </w:pPr>
            <w:r>
              <w:rPr>
                <w:rFonts w:ascii="Arial" w:cs="Arial" w:eastAsia="Arial" w:hAnsi="Arial"/>
                <w:sz w:val="18"/>
                <w:szCs w:val="18"/>
                <w:color w:val="auto"/>
              </w:rPr>
              <w:t>Rigel Pharmaceuticals, Inc.</w:t>
            </w:r>
          </w:p>
        </w:tc>
        <w:tc>
          <w:tcPr>
            <w:tcW w:w="3320" w:type="dxa"/>
            <w:vAlign w:val="bottom"/>
          </w:tcPr>
          <w:p>
            <w:pPr>
              <w:ind w:left="60"/>
              <w:spacing w:after="0" w:line="176" w:lineRule="exact"/>
              <w:rPr>
                <w:sz w:val="20"/>
                <w:szCs w:val="20"/>
                <w:color w:val="auto"/>
              </w:rPr>
            </w:pPr>
            <w:r>
              <w:rPr>
                <w:rFonts w:ascii="Arial" w:cs="Arial" w:eastAsia="Arial" w:hAnsi="Arial"/>
                <w:sz w:val="18"/>
                <w:szCs w:val="18"/>
                <w:color w:val="auto"/>
              </w:rPr>
              <w:t>(RIPK1) inhibitor, for the potential</w:t>
            </w:r>
          </w:p>
        </w:tc>
        <w:tc>
          <w:tcPr>
            <w:tcW w:w="1560" w:type="dxa"/>
            <w:vAlign w:val="bottom"/>
          </w:tcPr>
          <w:p>
            <w:pPr>
              <w:jc w:val="center"/>
              <w:spacing w:after="0" w:line="176" w:lineRule="exact"/>
              <w:rPr>
                <w:sz w:val="20"/>
                <w:szCs w:val="20"/>
                <w:color w:val="auto"/>
              </w:rPr>
            </w:pPr>
            <w:r>
              <w:rPr>
                <w:rFonts w:ascii="Arial" w:cs="Arial" w:eastAsia="Arial" w:hAnsi="Arial"/>
                <w:sz w:val="18"/>
                <w:szCs w:val="18"/>
                <w:color w:val="auto"/>
                <w:w w:val="98"/>
              </w:rPr>
              <w:t>March 2021</w:t>
            </w:r>
          </w:p>
        </w:tc>
        <w:tc>
          <w:tcPr>
            <w:tcW w:w="1780" w:type="dxa"/>
            <w:vAlign w:val="bottom"/>
          </w:tcPr>
          <w:p>
            <w:pPr>
              <w:jc w:val="center"/>
              <w:ind w:left="12"/>
              <w:spacing w:after="0" w:line="176" w:lineRule="exact"/>
              <w:rPr>
                <w:sz w:val="20"/>
                <w:szCs w:val="20"/>
                <w:color w:val="auto"/>
              </w:rPr>
            </w:pPr>
            <w:r>
              <w:rPr>
                <w:rFonts w:ascii="Arial" w:cs="Arial" w:eastAsia="Arial" w:hAnsi="Arial"/>
                <w:sz w:val="18"/>
                <w:szCs w:val="18"/>
                <w:color w:val="auto"/>
                <w:w w:val="98"/>
              </w:rPr>
              <w:t>Phase I</w:t>
            </w:r>
          </w:p>
        </w:tc>
        <w:tc>
          <w:tcPr>
            <w:tcW w:w="20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40" w:type="dxa"/>
            <w:vAlign w:val="bottom"/>
          </w:tcPr>
          <w:p>
            <w:pPr>
              <w:spacing w:after="0"/>
              <w:rPr>
                <w:sz w:val="15"/>
                <w:szCs w:val="15"/>
                <w:color w:val="auto"/>
              </w:rPr>
            </w:pPr>
          </w:p>
        </w:tc>
        <w:tc>
          <w:tcPr>
            <w:tcW w:w="3320" w:type="dxa"/>
            <w:vAlign w:val="bottom"/>
          </w:tcPr>
          <w:p>
            <w:pPr>
              <w:ind w:left="60"/>
              <w:spacing w:after="0" w:line="176" w:lineRule="exact"/>
              <w:rPr>
                <w:sz w:val="20"/>
                <w:szCs w:val="20"/>
                <w:color w:val="auto"/>
              </w:rPr>
            </w:pPr>
            <w:r>
              <w:rPr>
                <w:rFonts w:ascii="Arial" w:cs="Arial" w:eastAsia="Arial" w:hAnsi="Arial"/>
                <w:sz w:val="18"/>
                <w:szCs w:val="18"/>
                <w:color w:val="auto"/>
              </w:rPr>
              <w:t>treatment of autoimmune and</w:t>
            </w:r>
          </w:p>
        </w:tc>
        <w:tc>
          <w:tcPr>
            <w:tcW w:w="15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04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inflammatory diseases</w:t>
            </w:r>
          </w:p>
        </w:tc>
        <w:tc>
          <w:tcPr>
            <w:tcW w:w="15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0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MiNA Therapeutics Limited</w:t>
            </w:r>
          </w:p>
        </w:tc>
        <w:tc>
          <w:tcPr>
            <w:tcW w:w="3320" w:type="dxa"/>
            <w:vAlign w:val="bottom"/>
            <w:shd w:val="clear" w:color="auto" w:fill="CCEEFF"/>
          </w:tcPr>
          <w:p>
            <w:pPr>
              <w:ind w:left="60"/>
              <w:spacing w:after="0" w:line="182" w:lineRule="exact"/>
              <w:rPr>
                <w:sz w:val="20"/>
                <w:szCs w:val="20"/>
                <w:color w:val="auto"/>
              </w:rPr>
            </w:pPr>
            <w:r>
              <w:rPr>
                <w:rFonts w:ascii="Arial" w:cs="Arial" w:eastAsia="Arial" w:hAnsi="Arial"/>
                <w:sz w:val="18"/>
                <w:szCs w:val="18"/>
                <w:color w:val="auto"/>
              </w:rPr>
              <w:t>Pre-clinical targets that could lead to</w:t>
            </w:r>
          </w:p>
        </w:tc>
        <w:tc>
          <w:tcPr>
            <w:tcW w:w="15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8"/>
              </w:rPr>
              <w:t>May 2021</w:t>
            </w:r>
          </w:p>
        </w:tc>
        <w:tc>
          <w:tcPr>
            <w:tcW w:w="1780" w:type="dxa"/>
            <w:vAlign w:val="bottom"/>
            <w:vMerge w:val="restart"/>
            <w:shd w:val="clear" w:color="auto" w:fill="CCEEFF"/>
          </w:tcPr>
          <w:p>
            <w:pPr>
              <w:jc w:val="center"/>
              <w:ind w:left="12"/>
              <w:spacing w:after="0"/>
              <w:rPr>
                <w:sz w:val="20"/>
                <w:szCs w:val="20"/>
                <w:color w:val="auto"/>
              </w:rPr>
            </w:pPr>
            <w:r>
              <w:rPr>
                <w:rFonts w:ascii="Arial" w:cs="Arial" w:eastAsia="Arial" w:hAnsi="Arial"/>
                <w:sz w:val="18"/>
                <w:szCs w:val="18"/>
                <w:color w:val="auto"/>
                <w:w w:val="99"/>
              </w:rPr>
              <w:t>Pre-clinical</w:t>
            </w:r>
          </w:p>
        </w:tc>
        <w:tc>
          <w:tcPr>
            <w:tcW w:w="20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25.0</w:t>
            </w:r>
          </w:p>
        </w:tc>
        <w:tc>
          <w:tcPr>
            <w:tcW w:w="0" w:type="dxa"/>
            <w:vAlign w:val="bottom"/>
          </w:tcPr>
          <w:p>
            <w:pPr>
              <w:spacing w:after="0"/>
              <w:rPr>
                <w:sz w:val="1"/>
                <w:szCs w:val="1"/>
                <w:color w:val="auto"/>
              </w:rPr>
            </w:pPr>
          </w:p>
        </w:tc>
      </w:tr>
      <w:tr>
        <w:trPr>
          <w:trHeight w:val="122"/>
        </w:trPr>
        <w:tc>
          <w:tcPr>
            <w:tcW w:w="3040" w:type="dxa"/>
            <w:vAlign w:val="bottom"/>
            <w:vMerge w:val="continue"/>
            <w:shd w:val="clear" w:color="auto" w:fill="CCEEFF"/>
          </w:tcPr>
          <w:p>
            <w:pPr>
              <w:spacing w:after="0"/>
              <w:rPr>
                <w:sz w:val="10"/>
                <w:szCs w:val="10"/>
                <w:color w:val="auto"/>
              </w:rPr>
            </w:pPr>
          </w:p>
        </w:tc>
        <w:tc>
          <w:tcPr>
            <w:tcW w:w="3320" w:type="dxa"/>
            <w:vAlign w:val="bottom"/>
            <w:vMerge w:val="restart"/>
            <w:shd w:val="clear" w:color="auto" w:fill="CCEEFF"/>
          </w:tcPr>
          <w:p>
            <w:pPr>
              <w:ind w:left="60"/>
              <w:spacing w:after="0"/>
              <w:rPr>
                <w:sz w:val="20"/>
                <w:szCs w:val="20"/>
                <w:color w:val="auto"/>
              </w:rPr>
            </w:pPr>
            <w:r>
              <w:rPr>
                <w:rFonts w:ascii="Arial" w:cs="Arial" w:eastAsia="Arial" w:hAnsi="Arial"/>
                <w:sz w:val="18"/>
                <w:szCs w:val="18"/>
                <w:color w:val="auto"/>
              </w:rPr>
              <w:t>potential new medicines</w:t>
            </w:r>
          </w:p>
        </w:tc>
        <w:tc>
          <w:tcPr>
            <w:tcW w:w="1560" w:type="dxa"/>
            <w:vAlign w:val="bottom"/>
            <w:vMerge w:val="continue"/>
            <w:shd w:val="clear" w:color="auto" w:fill="CCEEFF"/>
          </w:tcPr>
          <w:p>
            <w:pPr>
              <w:spacing w:after="0"/>
              <w:rPr>
                <w:sz w:val="10"/>
                <w:szCs w:val="10"/>
                <w:color w:val="auto"/>
              </w:rPr>
            </w:pPr>
          </w:p>
        </w:tc>
        <w:tc>
          <w:tcPr>
            <w:tcW w:w="1780" w:type="dxa"/>
            <w:vAlign w:val="bottom"/>
            <w:vMerge w:val="continue"/>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3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3040" w:type="dxa"/>
            <w:vAlign w:val="bottom"/>
            <w:tcBorders>
              <w:bottom w:val="single" w:sz="8" w:color="auto"/>
            </w:tcBorders>
            <w:shd w:val="clear" w:color="auto" w:fill="CCEEFF"/>
          </w:tcPr>
          <w:p>
            <w:pPr>
              <w:spacing w:after="0"/>
              <w:rPr>
                <w:sz w:val="8"/>
                <w:szCs w:val="8"/>
                <w:color w:val="auto"/>
              </w:rPr>
            </w:pPr>
          </w:p>
        </w:tc>
        <w:tc>
          <w:tcPr>
            <w:tcW w:w="3320" w:type="dxa"/>
            <w:vAlign w:val="bottom"/>
            <w:tcBorders>
              <w:bottom w:val="single" w:sz="8" w:color="auto"/>
            </w:tcBorders>
            <w:vMerge w:val="continue"/>
            <w:shd w:val="clear" w:color="auto" w:fill="CCEEFF"/>
          </w:tcPr>
          <w:p>
            <w:pPr>
              <w:spacing w:after="0"/>
              <w:rPr>
                <w:sz w:val="8"/>
                <w:szCs w:val="8"/>
                <w:color w:val="auto"/>
              </w:rPr>
            </w:pPr>
          </w:p>
        </w:tc>
        <w:tc>
          <w:tcPr>
            <w:tcW w:w="1560" w:type="dxa"/>
            <w:vAlign w:val="bottom"/>
            <w:tcBorders>
              <w:bottom w:val="single" w:sz="8" w:color="auto"/>
            </w:tcBorders>
            <w:shd w:val="clear" w:color="auto" w:fill="CCEEFF"/>
          </w:tcPr>
          <w:p>
            <w:pPr>
              <w:spacing w:after="0"/>
              <w:rPr>
                <w:sz w:val="8"/>
                <w:szCs w:val="8"/>
                <w:color w:val="auto"/>
              </w:rPr>
            </w:pPr>
          </w:p>
        </w:tc>
        <w:tc>
          <w:tcPr>
            <w:tcW w:w="1780" w:type="dxa"/>
            <w:vAlign w:val="bottom"/>
            <w:tcBorders>
              <w:bottom w:val="single" w:sz="8" w:color="auto"/>
            </w:tcBorders>
            <w:shd w:val="clear" w:color="auto" w:fill="CCEEFF"/>
          </w:tcPr>
          <w:p>
            <w:pPr>
              <w:spacing w:after="0"/>
              <w:rPr>
                <w:sz w:val="8"/>
                <w:szCs w:val="8"/>
                <w:color w:val="auto"/>
              </w:rPr>
            </w:pPr>
          </w:p>
        </w:tc>
        <w:tc>
          <w:tcPr>
            <w:tcW w:w="200" w:type="dxa"/>
            <w:vAlign w:val="bottom"/>
            <w:tcBorders>
              <w:bottom w:val="single" w:sz="8" w:color="auto"/>
            </w:tcBorders>
            <w:shd w:val="clear" w:color="auto" w:fill="CCEEFF"/>
          </w:tcPr>
          <w:p>
            <w:pPr>
              <w:spacing w:after="0"/>
              <w:rPr>
                <w:sz w:val="8"/>
                <w:szCs w:val="8"/>
                <w:color w:val="auto"/>
              </w:rPr>
            </w:pPr>
          </w:p>
        </w:tc>
        <w:tc>
          <w:tcPr>
            <w:tcW w:w="134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3040" w:type="dxa"/>
            <w:vAlign w:val="bottom"/>
            <w:tcBorders>
              <w:bottom w:val="single" w:sz="8" w:color="auto"/>
            </w:tcBorders>
          </w:tcPr>
          <w:p>
            <w:pPr>
              <w:spacing w:after="0"/>
              <w:rPr>
                <w:sz w:val="21"/>
                <w:szCs w:val="21"/>
                <w:color w:val="auto"/>
              </w:rPr>
            </w:pPr>
          </w:p>
        </w:tc>
        <w:tc>
          <w:tcPr>
            <w:tcW w:w="33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3040" w:type="dxa"/>
            <w:vAlign w:val="bottom"/>
            <w:shd w:val="clear" w:color="auto" w:fill="CCEEFF"/>
          </w:tcPr>
          <w:p>
            <w:pPr>
              <w:spacing w:after="0"/>
              <w:rPr>
                <w:sz w:val="16"/>
                <w:szCs w:val="16"/>
                <w:color w:val="auto"/>
              </w:rPr>
            </w:pPr>
          </w:p>
        </w:tc>
        <w:tc>
          <w:tcPr>
            <w:tcW w:w="332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rPr>
              <w:t>Pre-clinical targets that could lead to</w:t>
            </w:r>
          </w:p>
        </w:tc>
        <w:tc>
          <w:tcPr>
            <w:tcW w:w="156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0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Sitryx Therapeutics Limited</w:t>
            </w:r>
          </w:p>
        </w:tc>
        <w:tc>
          <w:tcPr>
            <w:tcW w:w="332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rPr>
              <w:t>potential new medicines for</w:t>
            </w:r>
          </w:p>
        </w:tc>
        <w:tc>
          <w:tcPr>
            <w:tcW w:w="15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8"/>
              </w:rPr>
              <w:t>March 2020</w:t>
            </w:r>
          </w:p>
        </w:tc>
        <w:tc>
          <w:tcPr>
            <w:tcW w:w="1780" w:type="dxa"/>
            <w:vAlign w:val="bottom"/>
            <w:shd w:val="clear" w:color="auto" w:fill="CCEEFF"/>
          </w:tcPr>
          <w:p>
            <w:pPr>
              <w:jc w:val="center"/>
              <w:ind w:left="12"/>
              <w:spacing w:after="0" w:line="176" w:lineRule="exact"/>
              <w:rPr>
                <w:sz w:val="20"/>
                <w:szCs w:val="20"/>
                <w:color w:val="auto"/>
              </w:rPr>
            </w:pPr>
            <w:r>
              <w:rPr>
                <w:rFonts w:ascii="Arial" w:cs="Arial" w:eastAsia="Arial" w:hAnsi="Arial"/>
                <w:sz w:val="18"/>
                <w:szCs w:val="18"/>
                <w:color w:val="auto"/>
                <w:w w:val="99"/>
              </w:rPr>
              <w:t>Pre-clinical</w:t>
            </w: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17"/>
        </w:trPr>
        <w:tc>
          <w:tcPr>
            <w:tcW w:w="3040" w:type="dxa"/>
            <w:vAlign w:val="bottom"/>
            <w:tcBorders>
              <w:bottom w:val="single" w:sz="8" w:color="auto"/>
            </w:tcBorders>
            <w:shd w:val="clear" w:color="auto" w:fill="CCEEFF"/>
          </w:tcPr>
          <w:p>
            <w:pPr>
              <w:spacing w:after="0"/>
              <w:rPr>
                <w:sz w:val="18"/>
                <w:szCs w:val="18"/>
                <w:color w:val="auto"/>
              </w:rPr>
            </w:pPr>
          </w:p>
        </w:tc>
        <w:tc>
          <w:tcPr>
            <w:tcW w:w="33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autoimmune diseases</w:t>
            </w:r>
          </w:p>
        </w:tc>
        <w:tc>
          <w:tcPr>
            <w:tcW w:w="156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040" w:type="dxa"/>
            <w:vAlign w:val="bottom"/>
          </w:tcPr>
          <w:p>
            <w:pPr>
              <w:ind w:left="20"/>
              <w:spacing w:after="0"/>
              <w:rPr>
                <w:sz w:val="20"/>
                <w:szCs w:val="20"/>
                <w:color w:val="auto"/>
              </w:rPr>
            </w:pPr>
            <w:r>
              <w:rPr>
                <w:rFonts w:ascii="Arial" w:cs="Arial" w:eastAsia="Arial" w:hAnsi="Arial"/>
                <w:sz w:val="18"/>
                <w:szCs w:val="18"/>
                <w:color w:val="auto"/>
              </w:rPr>
              <w:t>AbCellera Biologics Inc. (AbCellera)</w:t>
            </w:r>
            <w:r>
              <w:rPr>
                <w:rFonts w:ascii="Arial" w:cs="Arial" w:eastAsia="Arial" w:hAnsi="Arial"/>
                <w:sz w:val="9"/>
                <w:szCs w:val="9"/>
                <w:color w:val="auto"/>
              </w:rPr>
              <w:t>(2)</w:t>
            </w:r>
          </w:p>
        </w:tc>
        <w:tc>
          <w:tcPr>
            <w:tcW w:w="3320" w:type="dxa"/>
            <w:vAlign w:val="bottom"/>
          </w:tcPr>
          <w:p>
            <w:pPr>
              <w:ind w:left="60"/>
              <w:spacing w:after="0"/>
              <w:rPr>
                <w:sz w:val="20"/>
                <w:szCs w:val="20"/>
                <w:color w:val="auto"/>
              </w:rPr>
            </w:pPr>
            <w:r>
              <w:rPr>
                <w:rFonts w:ascii="Arial" w:cs="Arial" w:eastAsia="Arial" w:hAnsi="Arial"/>
                <w:sz w:val="18"/>
                <w:szCs w:val="18"/>
                <w:color w:val="auto"/>
              </w:rPr>
              <w:t>Neutralizing antibodies for the</w:t>
            </w:r>
          </w:p>
        </w:tc>
        <w:tc>
          <w:tcPr>
            <w:tcW w:w="1560" w:type="dxa"/>
            <w:vAlign w:val="bottom"/>
          </w:tcPr>
          <w:p>
            <w:pPr>
              <w:jc w:val="center"/>
              <w:spacing w:after="0"/>
              <w:rPr>
                <w:sz w:val="20"/>
                <w:szCs w:val="20"/>
                <w:color w:val="auto"/>
              </w:rPr>
            </w:pPr>
            <w:r>
              <w:rPr>
                <w:rFonts w:ascii="Arial" w:cs="Arial" w:eastAsia="Arial" w:hAnsi="Arial"/>
                <w:sz w:val="18"/>
                <w:szCs w:val="18"/>
                <w:color w:val="auto"/>
                <w:w w:val="98"/>
              </w:rPr>
              <w:t>March 2020</w:t>
            </w:r>
          </w:p>
        </w:tc>
        <w:tc>
          <w:tcPr>
            <w:tcW w:w="1780" w:type="dxa"/>
            <w:vAlign w:val="bottom"/>
          </w:tcPr>
          <w:p>
            <w:pPr>
              <w:jc w:val="center"/>
              <w:ind w:left="12"/>
              <w:spacing w:after="0"/>
              <w:rPr>
                <w:sz w:val="20"/>
                <w:szCs w:val="20"/>
                <w:color w:val="auto"/>
              </w:rPr>
            </w:pPr>
            <w:r>
              <w:rPr>
                <w:rFonts w:ascii="Arial" w:cs="Arial" w:eastAsia="Arial" w:hAnsi="Arial"/>
                <w:sz w:val="18"/>
                <w:szCs w:val="18"/>
                <w:color w:val="auto"/>
                <w:w w:val="99"/>
              </w:rPr>
              <w:t>Pre-clinical</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148"/>
        </w:trPr>
        <w:tc>
          <w:tcPr>
            <w:tcW w:w="3040" w:type="dxa"/>
            <w:vAlign w:val="bottom"/>
            <w:tcBorders>
              <w:bottom w:val="single" w:sz="8" w:color="auto"/>
            </w:tcBorders>
          </w:tcPr>
          <w:p>
            <w:pPr>
              <w:spacing w:after="0"/>
              <w:rPr>
                <w:sz w:val="12"/>
                <w:szCs w:val="12"/>
                <w:color w:val="auto"/>
              </w:rPr>
            </w:pPr>
          </w:p>
        </w:tc>
        <w:tc>
          <w:tcPr>
            <w:tcW w:w="3320" w:type="dxa"/>
            <w:vAlign w:val="bottom"/>
            <w:tcBorders>
              <w:bottom w:val="single" w:sz="8" w:color="auto"/>
            </w:tcBorders>
          </w:tcPr>
          <w:p>
            <w:pPr>
              <w:ind w:left="60"/>
              <w:spacing w:after="0" w:line="149" w:lineRule="exact"/>
              <w:rPr>
                <w:sz w:val="20"/>
                <w:szCs w:val="20"/>
                <w:color w:val="auto"/>
              </w:rPr>
            </w:pPr>
            <w:r>
              <w:rPr>
                <w:rFonts w:ascii="Arial" w:cs="Arial" w:eastAsia="Arial" w:hAnsi="Arial"/>
                <w:sz w:val="17"/>
                <w:szCs w:val="17"/>
                <w:color w:val="auto"/>
              </w:rPr>
              <w:t>treatment and prevention of COVID-19</w:t>
            </w:r>
          </w:p>
        </w:tc>
        <w:tc>
          <w:tcPr>
            <w:tcW w:w="156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04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Shanghai Junshi Biosciences Co.,</w:t>
            </w:r>
          </w:p>
        </w:tc>
        <w:tc>
          <w:tcPr>
            <w:tcW w:w="3320" w:type="dxa"/>
            <w:vAlign w:val="bottom"/>
            <w:shd w:val="clear" w:color="auto" w:fill="CCEEFF"/>
          </w:tcPr>
          <w:p>
            <w:pPr>
              <w:ind w:left="60"/>
              <w:spacing w:after="0" w:line="182" w:lineRule="exact"/>
              <w:rPr>
                <w:sz w:val="20"/>
                <w:szCs w:val="20"/>
                <w:color w:val="auto"/>
              </w:rPr>
            </w:pPr>
            <w:r>
              <w:rPr>
                <w:rFonts w:ascii="Arial" w:cs="Arial" w:eastAsia="Arial" w:hAnsi="Arial"/>
                <w:sz w:val="18"/>
                <w:szCs w:val="18"/>
                <w:color w:val="auto"/>
              </w:rPr>
              <w:t>Neutralizing antibodies for the</w:t>
            </w:r>
          </w:p>
        </w:tc>
        <w:tc>
          <w:tcPr>
            <w:tcW w:w="15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8"/>
              </w:rPr>
              <w:t>May 2020</w:t>
            </w:r>
          </w:p>
        </w:tc>
        <w:tc>
          <w:tcPr>
            <w:tcW w:w="1780" w:type="dxa"/>
            <w:vAlign w:val="bottom"/>
            <w:vMerge w:val="restart"/>
            <w:shd w:val="clear" w:color="auto" w:fill="CCEEFF"/>
          </w:tcPr>
          <w:p>
            <w:pPr>
              <w:jc w:val="center"/>
              <w:ind w:left="12"/>
              <w:spacing w:after="0"/>
              <w:rPr>
                <w:sz w:val="20"/>
                <w:szCs w:val="20"/>
                <w:color w:val="auto"/>
              </w:rPr>
            </w:pPr>
            <w:r>
              <w:rPr>
                <w:rFonts w:ascii="Arial" w:cs="Arial" w:eastAsia="Arial" w:hAnsi="Arial"/>
                <w:sz w:val="18"/>
                <w:szCs w:val="18"/>
                <w:color w:val="auto"/>
                <w:w w:val="99"/>
              </w:rPr>
              <w:t>Pre-clinical</w:t>
            </w:r>
          </w:p>
        </w:tc>
        <w:tc>
          <w:tcPr>
            <w:tcW w:w="20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122"/>
        </w:trPr>
        <w:tc>
          <w:tcPr>
            <w:tcW w:w="30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Ltd. (Junshi Biosciences)</w:t>
            </w:r>
          </w:p>
        </w:tc>
        <w:tc>
          <w:tcPr>
            <w:tcW w:w="3320" w:type="dxa"/>
            <w:vAlign w:val="bottom"/>
            <w:vMerge w:val="restart"/>
            <w:shd w:val="clear" w:color="auto" w:fill="CCEEFF"/>
          </w:tcPr>
          <w:p>
            <w:pPr>
              <w:ind w:left="60"/>
              <w:spacing w:after="0"/>
              <w:rPr>
                <w:sz w:val="20"/>
                <w:szCs w:val="20"/>
                <w:color w:val="auto"/>
              </w:rPr>
            </w:pPr>
            <w:r>
              <w:rPr>
                <w:rFonts w:ascii="Arial" w:cs="Arial" w:eastAsia="Arial" w:hAnsi="Arial"/>
                <w:sz w:val="18"/>
                <w:szCs w:val="18"/>
                <w:color w:val="auto"/>
              </w:rPr>
              <w:t>treatment and prevention of COVID-19</w:t>
            </w:r>
          </w:p>
        </w:tc>
        <w:tc>
          <w:tcPr>
            <w:tcW w:w="1560" w:type="dxa"/>
            <w:vAlign w:val="bottom"/>
            <w:vMerge w:val="continue"/>
            <w:shd w:val="clear" w:color="auto" w:fill="CCEEFF"/>
          </w:tcPr>
          <w:p>
            <w:pPr>
              <w:spacing w:after="0"/>
              <w:rPr>
                <w:sz w:val="10"/>
                <w:szCs w:val="10"/>
                <w:color w:val="auto"/>
              </w:rPr>
            </w:pPr>
          </w:p>
        </w:tc>
        <w:tc>
          <w:tcPr>
            <w:tcW w:w="1780" w:type="dxa"/>
            <w:vAlign w:val="bottom"/>
            <w:vMerge w:val="continue"/>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3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3040" w:type="dxa"/>
            <w:vAlign w:val="bottom"/>
            <w:tcBorders>
              <w:bottom w:val="single" w:sz="8" w:color="auto"/>
            </w:tcBorders>
            <w:vMerge w:val="continue"/>
            <w:shd w:val="clear" w:color="auto" w:fill="CCEEFF"/>
          </w:tcPr>
          <w:p>
            <w:pPr>
              <w:spacing w:after="0"/>
              <w:rPr>
                <w:sz w:val="8"/>
                <w:szCs w:val="8"/>
                <w:color w:val="auto"/>
              </w:rPr>
            </w:pPr>
          </w:p>
        </w:tc>
        <w:tc>
          <w:tcPr>
            <w:tcW w:w="3320" w:type="dxa"/>
            <w:vAlign w:val="bottom"/>
            <w:tcBorders>
              <w:bottom w:val="single" w:sz="8" w:color="auto"/>
            </w:tcBorders>
            <w:vMerge w:val="continue"/>
            <w:shd w:val="clear" w:color="auto" w:fill="CCEEFF"/>
          </w:tcPr>
          <w:p>
            <w:pPr>
              <w:spacing w:after="0"/>
              <w:rPr>
                <w:sz w:val="8"/>
                <w:szCs w:val="8"/>
                <w:color w:val="auto"/>
              </w:rPr>
            </w:pPr>
          </w:p>
        </w:tc>
        <w:tc>
          <w:tcPr>
            <w:tcW w:w="1560" w:type="dxa"/>
            <w:vAlign w:val="bottom"/>
            <w:tcBorders>
              <w:bottom w:val="single" w:sz="8" w:color="auto"/>
            </w:tcBorders>
            <w:shd w:val="clear" w:color="auto" w:fill="CCEEFF"/>
          </w:tcPr>
          <w:p>
            <w:pPr>
              <w:spacing w:after="0"/>
              <w:rPr>
                <w:sz w:val="8"/>
                <w:szCs w:val="8"/>
                <w:color w:val="auto"/>
              </w:rPr>
            </w:pPr>
          </w:p>
        </w:tc>
        <w:tc>
          <w:tcPr>
            <w:tcW w:w="1780" w:type="dxa"/>
            <w:vAlign w:val="bottom"/>
            <w:tcBorders>
              <w:bottom w:val="single" w:sz="8" w:color="auto"/>
            </w:tcBorders>
            <w:shd w:val="clear" w:color="auto" w:fill="CCEEFF"/>
          </w:tcPr>
          <w:p>
            <w:pPr>
              <w:spacing w:after="0"/>
              <w:rPr>
                <w:sz w:val="8"/>
                <w:szCs w:val="8"/>
                <w:color w:val="auto"/>
              </w:rPr>
            </w:pPr>
          </w:p>
        </w:tc>
        <w:tc>
          <w:tcPr>
            <w:tcW w:w="200" w:type="dxa"/>
            <w:vAlign w:val="bottom"/>
            <w:tcBorders>
              <w:bottom w:val="single" w:sz="8" w:color="auto"/>
            </w:tcBorders>
            <w:shd w:val="clear" w:color="auto" w:fill="CCEEFF"/>
          </w:tcPr>
          <w:p>
            <w:pPr>
              <w:spacing w:after="0"/>
              <w:rPr>
                <w:sz w:val="8"/>
                <w:szCs w:val="8"/>
                <w:color w:val="auto"/>
              </w:rPr>
            </w:pPr>
          </w:p>
        </w:tc>
        <w:tc>
          <w:tcPr>
            <w:tcW w:w="134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3040" w:type="dxa"/>
            <w:vAlign w:val="bottom"/>
            <w:vMerge w:val="restart"/>
          </w:tcPr>
          <w:p>
            <w:pPr>
              <w:ind w:left="20"/>
              <w:spacing w:after="0"/>
              <w:rPr>
                <w:sz w:val="20"/>
                <w:szCs w:val="20"/>
                <w:color w:val="auto"/>
              </w:rPr>
            </w:pPr>
            <w:r>
              <w:rPr>
                <w:rFonts w:ascii="Arial" w:cs="Arial" w:eastAsia="Arial" w:hAnsi="Arial"/>
                <w:sz w:val="18"/>
                <w:szCs w:val="18"/>
                <w:color w:val="auto"/>
              </w:rPr>
              <w:t>Undisclosed</w:t>
            </w:r>
          </w:p>
        </w:tc>
        <w:tc>
          <w:tcPr>
            <w:tcW w:w="3320" w:type="dxa"/>
            <w:vAlign w:val="bottom"/>
          </w:tcPr>
          <w:p>
            <w:pPr>
              <w:ind w:left="60"/>
              <w:spacing w:after="0" w:line="182" w:lineRule="exact"/>
              <w:rPr>
                <w:sz w:val="20"/>
                <w:szCs w:val="20"/>
                <w:color w:val="auto"/>
              </w:rPr>
            </w:pPr>
            <w:r>
              <w:rPr>
                <w:rFonts w:ascii="Arial" w:cs="Arial" w:eastAsia="Arial" w:hAnsi="Arial"/>
                <w:sz w:val="18"/>
                <w:szCs w:val="18"/>
                <w:color w:val="auto"/>
              </w:rPr>
              <w:t>Pre-clinical target that could lead to</w:t>
            </w:r>
          </w:p>
        </w:tc>
        <w:tc>
          <w:tcPr>
            <w:tcW w:w="1560" w:type="dxa"/>
            <w:vAlign w:val="bottom"/>
            <w:vMerge w:val="restart"/>
          </w:tcPr>
          <w:p>
            <w:pPr>
              <w:jc w:val="center"/>
              <w:spacing w:after="0"/>
              <w:rPr>
                <w:sz w:val="20"/>
                <w:szCs w:val="20"/>
                <w:color w:val="auto"/>
              </w:rPr>
            </w:pPr>
            <w:r>
              <w:rPr>
                <w:rFonts w:ascii="Arial" w:cs="Arial" w:eastAsia="Arial" w:hAnsi="Arial"/>
                <w:sz w:val="18"/>
                <w:szCs w:val="18"/>
                <w:color w:val="auto"/>
                <w:w w:val="98"/>
              </w:rPr>
              <w:t>May 2020</w:t>
            </w:r>
          </w:p>
        </w:tc>
        <w:tc>
          <w:tcPr>
            <w:tcW w:w="1780" w:type="dxa"/>
            <w:vAlign w:val="bottom"/>
            <w:vMerge w:val="restart"/>
          </w:tcPr>
          <w:p>
            <w:pPr>
              <w:jc w:val="center"/>
              <w:ind w:left="12"/>
              <w:spacing w:after="0"/>
              <w:rPr>
                <w:sz w:val="20"/>
                <w:szCs w:val="20"/>
                <w:color w:val="auto"/>
              </w:rPr>
            </w:pPr>
            <w:r>
              <w:rPr>
                <w:rFonts w:ascii="Arial" w:cs="Arial" w:eastAsia="Arial" w:hAnsi="Arial"/>
                <w:sz w:val="18"/>
                <w:szCs w:val="18"/>
                <w:color w:val="auto"/>
                <w:w w:val="99"/>
              </w:rPr>
              <w:t>Pre-clinical</w:t>
            </w:r>
          </w:p>
        </w:tc>
        <w:tc>
          <w:tcPr>
            <w:tcW w:w="20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174.8</w:t>
            </w:r>
          </w:p>
        </w:tc>
        <w:tc>
          <w:tcPr>
            <w:tcW w:w="0" w:type="dxa"/>
            <w:vAlign w:val="bottom"/>
          </w:tcPr>
          <w:p>
            <w:pPr>
              <w:spacing w:after="0"/>
              <w:rPr>
                <w:sz w:val="1"/>
                <w:szCs w:val="1"/>
                <w:color w:val="auto"/>
              </w:rPr>
            </w:pPr>
          </w:p>
        </w:tc>
      </w:tr>
      <w:tr>
        <w:trPr>
          <w:trHeight w:val="122"/>
        </w:trPr>
        <w:tc>
          <w:tcPr>
            <w:tcW w:w="3040" w:type="dxa"/>
            <w:vAlign w:val="bottom"/>
            <w:vMerge w:val="continue"/>
          </w:tcPr>
          <w:p>
            <w:pPr>
              <w:spacing w:after="0"/>
              <w:rPr>
                <w:sz w:val="10"/>
                <w:szCs w:val="10"/>
                <w:color w:val="auto"/>
              </w:rPr>
            </w:pPr>
          </w:p>
        </w:tc>
        <w:tc>
          <w:tcPr>
            <w:tcW w:w="3320" w:type="dxa"/>
            <w:vAlign w:val="bottom"/>
            <w:vMerge w:val="restart"/>
          </w:tcPr>
          <w:p>
            <w:pPr>
              <w:ind w:left="60"/>
              <w:spacing w:after="0"/>
              <w:rPr>
                <w:sz w:val="20"/>
                <w:szCs w:val="20"/>
                <w:color w:val="auto"/>
              </w:rPr>
            </w:pPr>
            <w:r>
              <w:rPr>
                <w:rFonts w:ascii="Arial" w:cs="Arial" w:eastAsia="Arial" w:hAnsi="Arial"/>
                <w:sz w:val="18"/>
                <w:szCs w:val="18"/>
                <w:color w:val="auto"/>
              </w:rPr>
              <w:t>potential new medicine</w:t>
            </w:r>
          </w:p>
        </w:tc>
        <w:tc>
          <w:tcPr>
            <w:tcW w:w="1560" w:type="dxa"/>
            <w:vAlign w:val="bottom"/>
            <w:vMerge w:val="continue"/>
          </w:tcPr>
          <w:p>
            <w:pPr>
              <w:spacing w:after="0"/>
              <w:rPr>
                <w:sz w:val="10"/>
                <w:szCs w:val="10"/>
                <w:color w:val="auto"/>
              </w:rPr>
            </w:pPr>
          </w:p>
        </w:tc>
        <w:tc>
          <w:tcPr>
            <w:tcW w:w="17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3040" w:type="dxa"/>
            <w:vAlign w:val="bottom"/>
            <w:tcBorders>
              <w:bottom w:val="single" w:sz="8" w:color="auto"/>
            </w:tcBorders>
          </w:tcPr>
          <w:p>
            <w:pPr>
              <w:spacing w:after="0"/>
              <w:rPr>
                <w:sz w:val="8"/>
                <w:szCs w:val="8"/>
                <w:color w:val="auto"/>
              </w:rPr>
            </w:pPr>
          </w:p>
        </w:tc>
        <w:tc>
          <w:tcPr>
            <w:tcW w:w="3320" w:type="dxa"/>
            <w:vAlign w:val="bottom"/>
            <w:tcBorders>
              <w:bottom w:val="single" w:sz="8" w:color="auto"/>
            </w:tcBorders>
            <w:vMerge w:val="continue"/>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17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30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Evox Therapeutics Limited</w:t>
            </w:r>
          </w:p>
        </w:tc>
        <w:tc>
          <w:tcPr>
            <w:tcW w:w="3320" w:type="dxa"/>
            <w:vAlign w:val="bottom"/>
            <w:shd w:val="clear" w:color="auto" w:fill="CCEEFF"/>
          </w:tcPr>
          <w:p>
            <w:pPr>
              <w:ind w:left="60"/>
              <w:spacing w:after="0" w:line="182" w:lineRule="exact"/>
              <w:rPr>
                <w:sz w:val="20"/>
                <w:szCs w:val="20"/>
                <w:color w:val="auto"/>
              </w:rPr>
            </w:pPr>
            <w:r>
              <w:rPr>
                <w:rFonts w:ascii="Arial" w:cs="Arial" w:eastAsia="Arial" w:hAnsi="Arial"/>
                <w:sz w:val="18"/>
                <w:szCs w:val="18"/>
                <w:color w:val="auto"/>
              </w:rPr>
              <w:t>Pre-clinical targets for the potential</w:t>
            </w:r>
          </w:p>
        </w:tc>
        <w:tc>
          <w:tcPr>
            <w:tcW w:w="15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June 2020</w:t>
            </w:r>
          </w:p>
        </w:tc>
        <w:tc>
          <w:tcPr>
            <w:tcW w:w="1780" w:type="dxa"/>
            <w:vAlign w:val="bottom"/>
            <w:vMerge w:val="restart"/>
            <w:shd w:val="clear" w:color="auto" w:fill="CCEEFF"/>
          </w:tcPr>
          <w:p>
            <w:pPr>
              <w:jc w:val="center"/>
              <w:ind w:left="12"/>
              <w:spacing w:after="0"/>
              <w:rPr>
                <w:sz w:val="20"/>
                <w:szCs w:val="20"/>
                <w:color w:val="auto"/>
              </w:rPr>
            </w:pPr>
            <w:r>
              <w:rPr>
                <w:rFonts w:ascii="Arial" w:cs="Arial" w:eastAsia="Arial" w:hAnsi="Arial"/>
                <w:sz w:val="18"/>
                <w:szCs w:val="18"/>
                <w:color w:val="auto"/>
                <w:w w:val="99"/>
              </w:rPr>
              <w:t>Pre-clinical</w:t>
            </w:r>
          </w:p>
        </w:tc>
        <w:tc>
          <w:tcPr>
            <w:tcW w:w="20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122"/>
        </w:trPr>
        <w:tc>
          <w:tcPr>
            <w:tcW w:w="3040" w:type="dxa"/>
            <w:vAlign w:val="bottom"/>
            <w:vMerge w:val="continue"/>
            <w:shd w:val="clear" w:color="auto" w:fill="CCEEFF"/>
          </w:tcPr>
          <w:p>
            <w:pPr>
              <w:spacing w:after="0"/>
              <w:rPr>
                <w:sz w:val="10"/>
                <w:szCs w:val="10"/>
                <w:color w:val="auto"/>
              </w:rPr>
            </w:pPr>
          </w:p>
        </w:tc>
        <w:tc>
          <w:tcPr>
            <w:tcW w:w="3320" w:type="dxa"/>
            <w:vAlign w:val="bottom"/>
            <w:vMerge w:val="restart"/>
            <w:shd w:val="clear" w:color="auto" w:fill="CCEEFF"/>
          </w:tcPr>
          <w:p>
            <w:pPr>
              <w:ind w:left="60"/>
              <w:spacing w:after="0"/>
              <w:rPr>
                <w:sz w:val="20"/>
                <w:szCs w:val="20"/>
                <w:color w:val="auto"/>
              </w:rPr>
            </w:pPr>
            <w:r>
              <w:rPr>
                <w:rFonts w:ascii="Arial" w:cs="Arial" w:eastAsia="Arial" w:hAnsi="Arial"/>
                <w:sz w:val="18"/>
                <w:szCs w:val="18"/>
                <w:color w:val="auto"/>
              </w:rPr>
              <w:t>treatment of neurological disorders</w:t>
            </w:r>
          </w:p>
        </w:tc>
        <w:tc>
          <w:tcPr>
            <w:tcW w:w="1560" w:type="dxa"/>
            <w:vAlign w:val="bottom"/>
            <w:vMerge w:val="continue"/>
            <w:shd w:val="clear" w:color="auto" w:fill="CCEEFF"/>
          </w:tcPr>
          <w:p>
            <w:pPr>
              <w:spacing w:after="0"/>
              <w:rPr>
                <w:sz w:val="10"/>
                <w:szCs w:val="10"/>
                <w:color w:val="auto"/>
              </w:rPr>
            </w:pPr>
          </w:p>
        </w:tc>
        <w:tc>
          <w:tcPr>
            <w:tcW w:w="1780" w:type="dxa"/>
            <w:vAlign w:val="bottom"/>
            <w:vMerge w:val="continue"/>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3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3040" w:type="dxa"/>
            <w:vAlign w:val="bottom"/>
            <w:tcBorders>
              <w:bottom w:val="single" w:sz="8" w:color="auto"/>
            </w:tcBorders>
            <w:shd w:val="clear" w:color="auto" w:fill="CCEEFF"/>
          </w:tcPr>
          <w:p>
            <w:pPr>
              <w:spacing w:after="0"/>
              <w:rPr>
                <w:sz w:val="8"/>
                <w:szCs w:val="8"/>
                <w:color w:val="auto"/>
              </w:rPr>
            </w:pPr>
          </w:p>
        </w:tc>
        <w:tc>
          <w:tcPr>
            <w:tcW w:w="3320" w:type="dxa"/>
            <w:vAlign w:val="bottom"/>
            <w:tcBorders>
              <w:bottom w:val="single" w:sz="8" w:color="auto"/>
            </w:tcBorders>
            <w:vMerge w:val="continue"/>
            <w:shd w:val="clear" w:color="auto" w:fill="CCEEFF"/>
          </w:tcPr>
          <w:p>
            <w:pPr>
              <w:spacing w:after="0"/>
              <w:rPr>
                <w:sz w:val="8"/>
                <w:szCs w:val="8"/>
                <w:color w:val="auto"/>
              </w:rPr>
            </w:pPr>
          </w:p>
        </w:tc>
        <w:tc>
          <w:tcPr>
            <w:tcW w:w="1560" w:type="dxa"/>
            <w:vAlign w:val="bottom"/>
            <w:tcBorders>
              <w:bottom w:val="single" w:sz="8" w:color="auto"/>
            </w:tcBorders>
            <w:shd w:val="clear" w:color="auto" w:fill="CCEEFF"/>
          </w:tcPr>
          <w:p>
            <w:pPr>
              <w:spacing w:after="0"/>
              <w:rPr>
                <w:sz w:val="8"/>
                <w:szCs w:val="8"/>
                <w:color w:val="auto"/>
              </w:rPr>
            </w:pPr>
          </w:p>
        </w:tc>
        <w:tc>
          <w:tcPr>
            <w:tcW w:w="1780" w:type="dxa"/>
            <w:vAlign w:val="bottom"/>
            <w:tcBorders>
              <w:bottom w:val="single" w:sz="8" w:color="auto"/>
            </w:tcBorders>
            <w:shd w:val="clear" w:color="auto" w:fill="CCEEFF"/>
          </w:tcPr>
          <w:p>
            <w:pPr>
              <w:spacing w:after="0"/>
              <w:rPr>
                <w:sz w:val="8"/>
                <w:szCs w:val="8"/>
                <w:color w:val="auto"/>
              </w:rPr>
            </w:pPr>
          </w:p>
        </w:tc>
        <w:tc>
          <w:tcPr>
            <w:tcW w:w="200" w:type="dxa"/>
            <w:vAlign w:val="bottom"/>
            <w:tcBorders>
              <w:bottom w:val="single" w:sz="8" w:color="auto"/>
            </w:tcBorders>
            <w:shd w:val="clear" w:color="auto" w:fill="CCEEFF"/>
          </w:tcPr>
          <w:p>
            <w:pPr>
              <w:spacing w:after="0"/>
              <w:rPr>
                <w:sz w:val="8"/>
                <w:szCs w:val="8"/>
                <w:color w:val="auto"/>
              </w:rPr>
            </w:pPr>
          </w:p>
        </w:tc>
        <w:tc>
          <w:tcPr>
            <w:tcW w:w="134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51" w:lineRule="exact"/>
        <w:rPr>
          <w:sz w:val="20"/>
          <w:szCs w:val="20"/>
          <w:color w:val="auto"/>
        </w:rPr>
      </w:pPr>
    </w:p>
    <w:p>
      <w:pPr>
        <w:ind w:left="160" w:hanging="152"/>
        <w:spacing w:after="0"/>
        <w:tabs>
          <w:tab w:leader="none" w:pos="16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The phase of development presented is as of the date of the arrangement and represents the phase of development of the most advanced asset acquired, where applicable.</w:t>
      </w:r>
    </w:p>
    <w:p>
      <w:pPr>
        <w:spacing w:after="0" w:line="43" w:lineRule="exact"/>
        <w:rPr>
          <w:rFonts w:ascii="Arial" w:cs="Arial" w:eastAsia="Arial" w:hAnsi="Arial"/>
          <w:sz w:val="18"/>
          <w:szCs w:val="18"/>
          <w:color w:val="auto"/>
          <w:vertAlign w:val="superscript"/>
        </w:rPr>
      </w:pPr>
    </w:p>
    <w:p>
      <w:pPr>
        <w:ind w:left="160" w:hanging="152"/>
        <w:spacing w:after="0" w:line="199" w:lineRule="auto"/>
        <w:tabs>
          <w:tab w:leader="none" w:pos="16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We recognized an acquired IPR&amp;D expense of $25.0 million in May 2020 upon closing of the transaction.</w:t>
      </w:r>
    </w:p>
    <w:p>
      <w:pPr>
        <w:spacing w:after="0" w:line="9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connection with these arrangements, our partners may be entitled to future royalties and/or commercial milestones based on sales should products be approved for commercialization and/or milestones based on the successful progress of compounds through the development process.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Protomer Technologies Inc. (Protomer)</w:t>
      </w:r>
    </w:p>
    <w:p>
      <w:pPr>
        <w:spacing w:after="0" w:line="135"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In July 2021, we acquired Protomer, a private biotechnology company with a glucose-sensing insulin program. Under the terms of the agreement, we acquired Protomer for an upfront cash payment of $61.6 million. As a result of the transaction, we will record an acquired IPR&amp;D charge of approximately $65 million in the third quarter of 2021.</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Kumquat Biosciences Inc. (Kumquat)</w:t>
      </w:r>
    </w:p>
    <w:p>
      <w:pPr>
        <w:spacing w:after="0" w:line="135"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In July 2021, we entered into an exclusive agreement with Kumquat focused on the discovery, development and commercialization of potential small molecules that stimulate tumor-specific immune responses. Under the terms of the agreement, we paid an upfront cash payment of $50.0 million and invested $20.0 million in Kumquat's common stock at a premium. As a result of the transaction, we will record an acquired IPR&amp;D charge of $55.0 million in the third quarter of 2021.</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Collaborations and Other Arrangements</w:t>
      </w:r>
    </w:p>
    <w:p>
      <w:pPr>
        <w:spacing w:after="0" w:line="13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often enter into collaborative and other similar arrangements to develop and commercialize drug candidates. Collaborative activities may include research and development, marketing and selling (including promotional activities and physician detailing), manufacturing, and distribution. These arrangements often require milestone as well as royalty or profit-share payments, contingent upon the occurrence of certain future events linked to the success of the asset in development, as well as expense reimbursements from or payments to the collaboration partner. See Note 2 for amounts of collaboration and other revenue recognized from these types of arrangements.</w:t>
      </w:r>
    </w:p>
    <w:p>
      <w:pPr>
        <w:spacing w:after="0" w:line="97"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Operating expenses for costs incurred pursuant to these arrangements are reported in their respective expense line item, net of any payments due to or reimbursements due from our collaboration partners, with such reimbursements being recognized at the time the party becomes obligated to pay. Each collaboration is unique in nature, and our more significant arrangements are discussed below.</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Boehringer Ingelheim Diabetes Collaboration</w:t>
      </w:r>
    </w:p>
    <w:p>
      <w:pPr>
        <w:spacing w:after="0" w:line="139" w:lineRule="exact"/>
        <w:rPr>
          <w:sz w:val="20"/>
          <w:szCs w:val="20"/>
          <w:color w:val="auto"/>
        </w:rPr>
      </w:pPr>
    </w:p>
    <w:p>
      <w:pPr>
        <w:jc w:val="both"/>
        <w:ind w:right="300"/>
        <w:spacing w:after="0" w:line="229" w:lineRule="auto"/>
        <w:rPr>
          <w:sz w:val="20"/>
          <w:szCs w:val="20"/>
          <w:color w:val="auto"/>
        </w:rPr>
      </w:pPr>
      <w:r>
        <w:rPr>
          <w:rFonts w:ascii="Arial" w:cs="Arial" w:eastAsia="Arial" w:hAnsi="Arial"/>
          <w:sz w:val="18"/>
          <w:szCs w:val="18"/>
          <w:color w:val="auto"/>
        </w:rPr>
        <w:t>We and Boehringer Ingelheim have a global agreement to jointly develop and commercialize a portfolio of diabetes compounds. Currently included in the collaboration are Boehringer Ingelheim’s oral diabetes products: Jardiance, Glyxambi, Synjardy, Trijardy XR, Trajenta, and Jentadueto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as well as our basal insulin, Basaglar. Glyxambi, Synjardy, and Trijardy XR are included in the Jardiance product family.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Jentadueto is included in the Trajenta product family.</w:t>
      </w:r>
    </w:p>
    <w:p>
      <w:pPr>
        <w:spacing w:after="0" w:line="11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The table below summarizes the net amount of significant milestones capitalized (deferred) at June 30, 2021 and December 31, 2020 for the compounds included in this collaboration: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 xml:space="preserve">Net Milestones Capitalized (Deferred) </w:t>
            </w:r>
            <w:r>
              <w:rPr>
                <w:rFonts w:ascii="Arial" w:cs="Arial" w:eastAsia="Arial" w:hAnsi="Arial"/>
                <w:sz w:val="18"/>
                <w:szCs w:val="18"/>
                <w:b w:val="1"/>
                <w:bCs w:val="1"/>
                <w:color w:val="auto"/>
                <w:vertAlign w:val="superscript"/>
              </w:rPr>
              <w:t>(1)</w:t>
            </w:r>
            <w:r>
              <w:rPr>
                <w:rFonts w:ascii="Arial" w:cs="Arial" w:eastAsia="Arial" w:hAnsi="Arial"/>
                <w:sz w:val="14"/>
                <w:szCs w:val="14"/>
                <w:b w:val="1"/>
                <w:bCs w:val="1"/>
                <w:color w:val="auto"/>
              </w:rPr>
              <w:t xml:space="preserve"> as of:</w:t>
            </w:r>
          </w:p>
        </w:tc>
      </w:tr>
      <w:tr>
        <w:trPr>
          <w:trHeight w:val="183"/>
        </w:trPr>
        <w:tc>
          <w:tcPr>
            <w:tcW w:w="7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Product Family</w:t>
            </w:r>
          </w:p>
        </w:tc>
        <w:tc>
          <w:tcPr>
            <w:tcW w:w="2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June 30, 2021</w:t>
            </w:r>
          </w:p>
        </w:tc>
        <w:tc>
          <w:tcPr>
            <w:tcW w:w="2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December 31, 2020</w:t>
            </w:r>
          </w:p>
        </w:tc>
      </w:tr>
      <w:tr>
        <w:trPr>
          <w:trHeight w:val="223"/>
        </w:trPr>
        <w:tc>
          <w:tcPr>
            <w:tcW w:w="728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Jardiance </w:t>
            </w:r>
            <w:r>
              <w:rPr>
                <w:rFonts w:ascii="Arial" w:cs="Arial" w:eastAsia="Arial" w:hAnsi="Arial"/>
                <w:sz w:val="23"/>
                <w:szCs w:val="23"/>
                <w:color w:val="auto"/>
                <w:vertAlign w:val="superscript"/>
              </w:rPr>
              <w:t>(2)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720" w:type="dxa"/>
            <w:vAlign w:val="bottom"/>
            <w:shd w:val="clear" w:color="auto" w:fill="CCEEFF"/>
          </w:tcPr>
          <w:p>
            <w:pPr>
              <w:jc w:val="center"/>
              <w:ind w:left="1017"/>
              <w:spacing w:after="0"/>
              <w:rPr>
                <w:sz w:val="20"/>
                <w:szCs w:val="20"/>
                <w:color w:val="auto"/>
              </w:rPr>
            </w:pPr>
            <w:r>
              <w:rPr>
                <w:rFonts w:ascii="Arial" w:cs="Arial" w:eastAsia="Arial" w:hAnsi="Arial"/>
                <w:sz w:val="18"/>
                <w:szCs w:val="18"/>
                <w:b w:val="1"/>
                <w:bCs w:val="1"/>
                <w:color w:val="auto"/>
              </w:rPr>
              <w:t>146.2</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center"/>
              <w:ind w:left="1075"/>
              <w:spacing w:after="0"/>
              <w:rPr>
                <w:sz w:val="20"/>
                <w:szCs w:val="20"/>
                <w:color w:val="auto"/>
              </w:rPr>
            </w:pPr>
            <w:r>
              <w:rPr>
                <w:rFonts w:ascii="Arial" w:cs="Arial" w:eastAsia="Arial" w:hAnsi="Arial"/>
                <w:sz w:val="18"/>
                <w:szCs w:val="18"/>
                <w:color w:val="auto"/>
                <w:w w:val="97"/>
              </w:rPr>
              <w:t>156.2</w:t>
            </w:r>
          </w:p>
        </w:tc>
      </w:tr>
      <w:tr>
        <w:trPr>
          <w:trHeight w:val="230"/>
        </w:trPr>
        <w:tc>
          <w:tcPr>
            <w:tcW w:w="72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Trajenta </w:t>
            </w:r>
            <w:r>
              <w:rPr>
                <w:rFonts w:ascii="Arial" w:cs="Arial" w:eastAsia="Arial" w:hAnsi="Arial"/>
                <w:sz w:val="23"/>
                <w:szCs w:val="23"/>
                <w:color w:val="auto"/>
                <w:vertAlign w:val="superscript"/>
              </w:rPr>
              <w:t>(3)</w:t>
            </w:r>
          </w:p>
        </w:tc>
        <w:tc>
          <w:tcPr>
            <w:tcW w:w="260" w:type="dxa"/>
            <w:vAlign w:val="bottom"/>
          </w:tcPr>
          <w:p>
            <w:pPr>
              <w:spacing w:after="0"/>
              <w:rPr>
                <w:sz w:val="19"/>
                <w:szCs w:val="19"/>
                <w:color w:val="auto"/>
              </w:rPr>
            </w:pPr>
          </w:p>
        </w:tc>
        <w:tc>
          <w:tcPr>
            <w:tcW w:w="1720" w:type="dxa"/>
            <w:vAlign w:val="bottom"/>
          </w:tcPr>
          <w:p>
            <w:pPr>
              <w:jc w:val="center"/>
              <w:ind w:left="1017"/>
              <w:spacing w:after="0"/>
              <w:rPr>
                <w:sz w:val="20"/>
                <w:szCs w:val="20"/>
                <w:color w:val="auto"/>
              </w:rPr>
            </w:pPr>
            <w:r>
              <w:rPr>
                <w:rFonts w:ascii="Arial" w:cs="Arial" w:eastAsia="Arial" w:hAnsi="Arial"/>
                <w:sz w:val="18"/>
                <w:szCs w:val="18"/>
                <w:b w:val="1"/>
                <w:bCs w:val="1"/>
                <w:color w:val="auto"/>
              </w:rPr>
              <w:t>101.6</w:t>
            </w:r>
          </w:p>
        </w:tc>
        <w:tc>
          <w:tcPr>
            <w:tcW w:w="220" w:type="dxa"/>
            <w:vAlign w:val="bottom"/>
          </w:tcPr>
          <w:p>
            <w:pPr>
              <w:spacing w:after="0"/>
              <w:rPr>
                <w:sz w:val="19"/>
                <w:szCs w:val="19"/>
                <w:color w:val="auto"/>
              </w:rPr>
            </w:pPr>
          </w:p>
        </w:tc>
        <w:tc>
          <w:tcPr>
            <w:tcW w:w="1760" w:type="dxa"/>
            <w:vAlign w:val="bottom"/>
          </w:tcPr>
          <w:p>
            <w:pPr>
              <w:jc w:val="center"/>
              <w:ind w:left="1075"/>
              <w:spacing w:after="0"/>
              <w:rPr>
                <w:sz w:val="20"/>
                <w:szCs w:val="20"/>
                <w:color w:val="auto"/>
              </w:rPr>
            </w:pPr>
            <w:r>
              <w:rPr>
                <w:rFonts w:ascii="Arial" w:cs="Arial" w:eastAsia="Arial" w:hAnsi="Arial"/>
                <w:sz w:val="18"/>
                <w:szCs w:val="18"/>
                <w:color w:val="auto"/>
                <w:w w:val="97"/>
              </w:rPr>
              <w:t>114.6</w:t>
            </w: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Basaglar</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center"/>
              <w:ind w:left="997"/>
              <w:spacing w:after="0"/>
              <w:rPr>
                <w:sz w:val="20"/>
                <w:szCs w:val="20"/>
                <w:color w:val="auto"/>
              </w:rPr>
            </w:pPr>
            <w:r>
              <w:rPr>
                <w:rFonts w:ascii="Arial" w:cs="Arial" w:eastAsia="Arial" w:hAnsi="Arial"/>
                <w:sz w:val="18"/>
                <w:szCs w:val="18"/>
                <w:b w:val="1"/>
                <w:bCs w:val="1"/>
                <w:color w:val="auto"/>
                <w:w w:val="98"/>
              </w:rPr>
              <w:t>(158.6)</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center"/>
              <w:ind w:left="1055"/>
              <w:spacing w:after="0"/>
              <w:rPr>
                <w:sz w:val="20"/>
                <w:szCs w:val="20"/>
                <w:color w:val="auto"/>
              </w:rPr>
            </w:pPr>
            <w:r>
              <w:rPr>
                <w:rFonts w:ascii="Arial" w:cs="Arial" w:eastAsia="Arial" w:hAnsi="Arial"/>
                <w:sz w:val="18"/>
                <w:szCs w:val="18"/>
                <w:color w:val="auto"/>
              </w:rPr>
              <w:t>(168.0)</w:t>
            </w:r>
          </w:p>
        </w:tc>
      </w:tr>
    </w:tbl>
    <w:p>
      <w:pPr>
        <w:spacing w:after="0" w:line="113" w:lineRule="exact"/>
        <w:rPr>
          <w:sz w:val="20"/>
          <w:szCs w:val="20"/>
          <w:color w:val="auto"/>
        </w:rPr>
      </w:pPr>
    </w:p>
    <w:p>
      <w:pPr>
        <w:ind w:left="180" w:right="60" w:hanging="172"/>
        <w:spacing w:after="0" w:line="228" w:lineRule="auto"/>
        <w:tabs>
          <w:tab w:leader="none" w:pos="158"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In connection with the regulatory approvals of Jardiance and Trajenta, milestone payments made were capitalized as intangible assets and are being amortized to cost of sales through the term of the collaboration. In connection with the regulatory approvals of Basaglar, milestone payments received were recorded as contract liabilities and are being amortized through the term of the collaboration (2029) to collaboration and other revenue. This represents the amounts that have been capitalized (deferred) from the start of this collaboration through the end of the reporting period, net of amount amortized.</w:t>
      </w:r>
    </w:p>
    <w:p>
      <w:pPr>
        <w:spacing w:after="0" w:line="46" w:lineRule="exact"/>
        <w:rPr>
          <w:rFonts w:ascii="Arial" w:cs="Arial" w:eastAsia="Arial" w:hAnsi="Arial"/>
          <w:sz w:val="18"/>
          <w:szCs w:val="18"/>
          <w:color w:val="auto"/>
          <w:vertAlign w:val="superscript"/>
        </w:rPr>
      </w:pPr>
    </w:p>
    <w:p>
      <w:pPr>
        <w:ind w:left="180" w:right="660" w:hanging="172"/>
        <w:spacing w:after="0" w:line="217" w:lineRule="auto"/>
        <w:tabs>
          <w:tab w:leader="none" w:pos="158"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The collaboration agreement with Boehringer Ingelheim for Jardiance ends upon expiration of the compound patent and any supplementary protection certificates or extensions thereto.</w:t>
      </w:r>
    </w:p>
    <w:p>
      <w:pPr>
        <w:spacing w:after="0" w:line="45" w:lineRule="exact"/>
        <w:rPr>
          <w:rFonts w:ascii="Arial" w:cs="Arial" w:eastAsia="Arial" w:hAnsi="Arial"/>
          <w:sz w:val="18"/>
          <w:szCs w:val="18"/>
          <w:color w:val="auto"/>
          <w:vertAlign w:val="superscript"/>
        </w:rPr>
      </w:pPr>
    </w:p>
    <w:p>
      <w:pPr>
        <w:ind w:left="180" w:right="20" w:hanging="172"/>
        <w:spacing w:after="0" w:line="217" w:lineRule="auto"/>
        <w:tabs>
          <w:tab w:leader="none" w:pos="158"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The collaboration agreement with Boehringer Ingelheim for Trajenta ends upon expiration of the compound patent and any supplementary protection certificates or extensions thereto.</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18" w:name="page19"/>
    <w:bookmarkEnd w:id="18"/>
    <w:p>
      <w:pPr>
        <w:spacing w:after="0" w:line="251" w:lineRule="auto"/>
        <w:rPr>
          <w:sz w:val="20"/>
          <w:szCs w:val="20"/>
          <w:color w:val="auto"/>
        </w:rPr>
      </w:pPr>
      <w:r>
        <w:rPr>
          <w:rFonts w:ascii="Arial" w:cs="Arial" w:eastAsia="Arial" w:hAnsi="Arial"/>
          <w:sz w:val="18"/>
          <w:szCs w:val="18"/>
          <w:color w:val="auto"/>
        </w:rPr>
        <w:t>For the Jardiance product family, we and Boehringer Ingelheim share equally the ongoing development and commercialization costs in the most significant markets, and we record our portion of the development and commercialization costs as research and development expense and marketing, selling, and administrative expense, respectively. We receive a royalty on net sales of Boehringer Ingelheim's products in the most significant markets and recognize the royalty as collaboration and other revenue. Boehringer Ingelheim is entitled to potential performance payments depending on the net sales of the Jardiance product family; therefore, our reported revenue for Jardiance may be reduced by any potential performance payments we make related to this product family. Beginning January 1, 2021, the royalty received by us related to the Jardiance product family may also be increased or decreased depending on whether net sales for this product family exceed or fall below certain thresholds. We pay to Boehringer Ingelheim a royalty on net sales for Basaglar in the U.S. We record our sales of Basaglar to third parties as net product revenue with the royalty payments made to Boehringer Ingelheim recorded as cost of sales.</w:t>
      </w:r>
    </w:p>
    <w:p>
      <w:pPr>
        <w:spacing w:after="0" w:line="104"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The following table summarizes our collaboration and other revenue recognized with respect to the Jardiance and Trajenta families of products and our net product revenue recognized with respect to Basaglar:</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3"/>
          </w:tcPr>
          <w:p>
            <w:pPr>
              <w:jc w:val="right"/>
              <w:ind w:right="395"/>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3"/>
          </w:tcPr>
          <w:p>
            <w:pPr>
              <w:jc w:val="right"/>
              <w:ind w:right="295"/>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Product Family</w:t>
            </w: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r>
      <w:tr>
        <w:trPr>
          <w:trHeight w:val="22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Jardiance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356.5</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262.0</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668.5</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529.5</w:t>
            </w: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Basaglar</w:t>
            </w:r>
          </w:p>
        </w:tc>
        <w:tc>
          <w:tcPr>
            <w:tcW w:w="300" w:type="dxa"/>
            <w:vAlign w:val="bottom"/>
          </w:tcPr>
          <w:p>
            <w:pPr>
              <w:spacing w:after="0"/>
              <w:rPr>
                <w:sz w:val="19"/>
                <w:szCs w:val="19"/>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b w:val="1"/>
                <w:bCs w:val="1"/>
                <w:color w:val="auto"/>
              </w:rPr>
              <w:t>210.7</w:t>
            </w:r>
          </w:p>
        </w:tc>
        <w:tc>
          <w:tcPr>
            <w:tcW w:w="420" w:type="dxa"/>
            <w:vAlign w:val="bottom"/>
          </w:tcPr>
          <w:p>
            <w:pPr>
              <w:spacing w:after="0"/>
              <w:rPr>
                <w:sz w:val="19"/>
                <w:szCs w:val="19"/>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290.4</w:t>
            </w:r>
          </w:p>
        </w:tc>
        <w:tc>
          <w:tcPr>
            <w:tcW w:w="340" w:type="dxa"/>
            <w:vAlign w:val="bottom"/>
          </w:tcPr>
          <w:p>
            <w:pPr>
              <w:spacing w:after="0"/>
              <w:rPr>
                <w:sz w:val="19"/>
                <w:szCs w:val="19"/>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b w:val="1"/>
                <w:bCs w:val="1"/>
                <w:color w:val="auto"/>
              </w:rPr>
              <w:t>457.3</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594.1</w:t>
            </w: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Trajenta</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89.2</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76.8</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183.8</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Olumiant</w:t>
      </w:r>
    </w:p>
    <w:p>
      <w:pPr>
        <w:spacing w:after="0" w:line="13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have a worldwide license and collaboration agreement with Incyte Corporation (Incyte), which provides us the development and commercialization rights to its Janus tyrosine kinase (JAK) inhibitor compound, now known as Olumiant (baricitinib), and certain follow-on compounds, for the treatment of inflammatory and autoimmune diseases. Incyte has the right to receive tiered, double digit royalty payments on global net sales with rates ranging up to 20 percent. The agreement calls for payments by us to Incyte associated with certain development, success-based regulatory, and sales-based milestones. In 2020, the agreement was amended to include the treatment of COVID-19, with Incyte obtaining the right to receive an additional royalty ranging up to the low teens on global net sales for the treatment of COVID-19 that exceed a specified aggregate global net sales threshold.</w:t>
      </w:r>
    </w:p>
    <w:p>
      <w:pPr>
        <w:spacing w:after="0" w:line="9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connection with the regulatory approvals of Olumiant in the U.S., Europe, and Japan, milestone payments of $210.0 million were capitalized as intangible assets as of June 30, 2021 and December 31, 2020 and are being amortized to cost of sales through the term of the collaboration. This represents the cumulative amounts that have been capitalized from the start of this collaboration through the end of each reporting period.</w:t>
      </w:r>
    </w:p>
    <w:p>
      <w:pPr>
        <w:spacing w:after="0" w:line="96"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As of June 30, 2021, Incyte is eligible to receive up to $100.0 million of additional payments from us contingent upon certain success-based regulatory milestones. Incyte is also eligible to receive up to $150.0 million of potential sales-based milestones.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We record our sales of Olumiant to third parties as net product revenue with the royalty payments made to Incyte recorded as cost of sales.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net product revenue recognized with respect to Olumiant:</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80" w:type="dxa"/>
            <w:vAlign w:val="bottom"/>
          </w:tcPr>
          <w:p>
            <w:pPr>
              <w:spacing w:after="0"/>
              <w:rPr>
                <w:sz w:val="16"/>
                <w:szCs w:val="16"/>
                <w:color w:val="auto"/>
              </w:rPr>
            </w:pPr>
          </w:p>
        </w:tc>
        <w:tc>
          <w:tcPr>
            <w:tcW w:w="300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3"/>
          </w:tcPr>
          <w:p>
            <w:pPr>
              <w:jc w:val="right"/>
              <w:ind w:right="319"/>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54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2020</w:t>
            </w: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Olumiant</w:t>
            </w:r>
          </w:p>
        </w:tc>
        <w:tc>
          <w:tcPr>
            <w:tcW w:w="900" w:type="dxa"/>
            <w:vAlign w:val="bottom"/>
            <w:shd w:val="clear" w:color="auto" w:fill="CCEEFF"/>
          </w:tcPr>
          <w:p>
            <w:pPr>
              <w:jc w:val="right"/>
              <w:ind w:right="702"/>
              <w:spacing w:after="0"/>
              <w:rPr>
                <w:sz w:val="20"/>
                <w:szCs w:val="20"/>
                <w:color w:val="auto"/>
              </w:rPr>
            </w:pPr>
            <w:r>
              <w:rPr>
                <w:rFonts w:ascii="Arial" w:cs="Arial" w:eastAsia="Arial" w:hAnsi="Arial"/>
                <w:sz w:val="18"/>
                <w:szCs w:val="18"/>
                <w:b w:val="1"/>
                <w:bCs w:val="1"/>
                <w:color w:val="auto"/>
                <w:w w:val="99"/>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7"/>
              </w:rPr>
              <w:t>208.4</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145.0</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22"/>
              <w:spacing w:after="0"/>
              <w:rPr>
                <w:sz w:val="20"/>
                <w:szCs w:val="20"/>
                <w:color w:val="auto"/>
              </w:rPr>
            </w:pPr>
            <w:r>
              <w:rPr>
                <w:rFonts w:ascii="Arial" w:cs="Arial" w:eastAsia="Arial" w:hAnsi="Arial"/>
                <w:sz w:val="18"/>
                <w:szCs w:val="18"/>
                <w:b w:val="1"/>
                <w:bCs w:val="1"/>
                <w:color w:val="auto"/>
              </w:rPr>
              <w:t>402.2</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284.7</w:t>
            </w: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COVID-19 antibodies</w:t>
      </w:r>
    </w:p>
    <w:p>
      <w:pPr>
        <w:spacing w:after="0" w:line="139"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In 2020, we entered into a worldwide license and collaboration agreement with AbCellera to co-develop therapeutic antibodies for the potential prevention and treatment of COVID-19, including bamlanivimab, for which we hold development and commercialization rights. AbCellera has the right to receive tiered royalty payments on global net sales of bamlanivimab with percentages ranging in the mid-teens to mid-twenties. Royalty payments made to AbCellera are recorded as cost of sales.</w:t>
      </w:r>
    </w:p>
    <w:p>
      <w:pPr>
        <w:spacing w:after="0" w:line="96"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In 2020, we entered into a license and collaboration agreement with Junshi Biosciences to co-develop therapeutic antibodies for the potential prevention and treatment of COVID-19, including etesevimab, for which we hold development and commercialization rights outside of Greater China (which includes mainland China, Hong Kong and Macau Special Administrative Regions and Taiwan) and for which Junshi Biosciences maintains all rights in Greater China. Junshi Biosciences has the right to receive royalty payments in the mid-teens on our net sales of etesevimab. Junshi Biosciences also has the right to receive certain development, success-based regulatory and sales-based milestones. In connection with the regulatory authorizations of etesevimab (for administration with bamlanivimab) in the U.S. and Europe, milestone payments of $60.0 million were capitalized as intangible assets as of June 30, 2021 and are being amortized to cost of sales over the estimated useful life of etesevimab. As of June 30, 2021, Junshi Biosciences is eligible to receive up to $ 15.0 million of additional payments contingent upon certain success-based regulatory milestones and up to $120.0 million of potential sales-based milestones.</w:t>
      </w:r>
    </w:p>
    <w:p>
      <w:pPr>
        <w:spacing w:after="0" w:line="104"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Pursuant to EUAs, we recognized $148.9 million and $959.1 million of net product revenue associated with our sales of our COVID-19 antibodies during the three and six months ended June 30, 2021, respectively.</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Sintilimab Injection</w:t>
      </w:r>
    </w:p>
    <w:p>
      <w:pPr>
        <w:spacing w:after="0" w:line="13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have a collaboration agreement with Innovent Biologics, Inc. (Innovent) to jointly develop and commercialize sintilimab injection in China, where it is branded and trademarked as Tyvyt. In 2019, we and Innovent began co-commercializing Tyvyt in China. In 2020, we obtained an exclusive license for sintilimab injection from Innovent for geographies outside of China. Innovent, with collaboration from us, has filed the initial registration of sintilimab injection in the U.S., and we will pursue initial registration of sintilimab injection in other markets and all other subsequent registrations of sintilimab injection. We have exclusive commercialization rights outside of China.</w:t>
      </w:r>
    </w:p>
    <w:p>
      <w:pPr>
        <w:spacing w:after="0" w:line="97" w:lineRule="exact"/>
        <w:rPr>
          <w:sz w:val="20"/>
          <w:szCs w:val="20"/>
          <w:color w:val="auto"/>
        </w:rPr>
      </w:pPr>
    </w:p>
    <w:p>
      <w:pPr>
        <w:jc w:val="both"/>
        <w:ind w:right="840"/>
        <w:spacing w:after="0" w:line="291" w:lineRule="auto"/>
        <w:rPr>
          <w:sz w:val="20"/>
          <w:szCs w:val="20"/>
          <w:color w:val="auto"/>
        </w:rPr>
      </w:pPr>
      <w:r>
        <w:rPr>
          <w:rFonts w:ascii="Arial" w:cs="Arial" w:eastAsia="Arial" w:hAnsi="Arial"/>
          <w:sz w:val="17"/>
          <w:szCs w:val="17"/>
          <w:color w:val="auto"/>
        </w:rPr>
        <w:t>In connection with a regulatory approval for Tyvyt in China in the second quarter of 2021, a milestone payment of $40.0 million was capitalized as an intangible asset as of June 30, 2021 and is being amortized to cost of sales through the term of the collaboration.</w:t>
      </w:r>
    </w:p>
    <w:p>
      <w:pPr>
        <w:spacing w:after="0" w:line="6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As of June 30, 2021, Innovent is eligible to receive up to $825.0 million for geographies outside of China and up to $195.0 million in China in success-based regulatory and sales-based milestones. Innovent is also eligible to receive tiered double digit royalties on net sales for geographies outside of China.</w:t>
      </w:r>
    </w:p>
    <w:p>
      <w:pPr>
        <w:spacing w:after="0" w:line="94"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record our sales of Tyvyt to third parties as net product revenue, with payments made to Innovent for its portion of the gross margin reported as cost of sales. We report as collaboration and other revenue our portion of the gross margin for Tyvyt sales made by Innovent to third parties. The following table summarizes our revenue recognized in China with respect to Tyvyt: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80" w:type="dxa"/>
            <w:vAlign w:val="bottom"/>
          </w:tcPr>
          <w:p>
            <w:pPr>
              <w:spacing w:after="0"/>
              <w:rPr>
                <w:sz w:val="16"/>
                <w:szCs w:val="16"/>
                <w:color w:val="auto"/>
              </w:rPr>
            </w:pPr>
          </w:p>
        </w:tc>
        <w:tc>
          <w:tcPr>
            <w:tcW w:w="2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3"/>
          </w:tcPr>
          <w:p>
            <w:pPr>
              <w:jc w:val="right"/>
              <w:ind w:right="319"/>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54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2020</w:t>
            </w: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Tyvyt</w:t>
            </w:r>
          </w:p>
        </w:tc>
        <w:tc>
          <w:tcPr>
            <w:tcW w:w="900" w:type="dxa"/>
            <w:vAlign w:val="bottom"/>
            <w:shd w:val="clear" w:color="auto" w:fill="CCEEFF"/>
          </w:tcPr>
          <w:p>
            <w:pPr>
              <w:jc w:val="right"/>
              <w:ind w:right="702"/>
              <w:spacing w:after="0"/>
              <w:rPr>
                <w:sz w:val="20"/>
                <w:szCs w:val="20"/>
                <w:color w:val="auto"/>
              </w:rPr>
            </w:pPr>
            <w:r>
              <w:rPr>
                <w:rFonts w:ascii="Arial" w:cs="Arial" w:eastAsia="Arial" w:hAnsi="Arial"/>
                <w:sz w:val="18"/>
                <w:szCs w:val="18"/>
                <w:b w:val="1"/>
                <w:bCs w:val="1"/>
                <w:color w:val="auto"/>
                <w:w w:val="99"/>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7"/>
              </w:rPr>
              <w:t>105.0</w:t>
            </w:r>
          </w:p>
        </w:tc>
        <w:tc>
          <w:tcPr>
            <w:tcW w:w="108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6"/>
              </w:rPr>
              <w:t>64.1</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22"/>
              <w:spacing w:after="0"/>
              <w:rPr>
                <w:sz w:val="20"/>
                <w:szCs w:val="20"/>
                <w:color w:val="auto"/>
              </w:rPr>
            </w:pPr>
            <w:r>
              <w:rPr>
                <w:rFonts w:ascii="Arial" w:cs="Arial" w:eastAsia="Arial" w:hAnsi="Arial"/>
                <w:sz w:val="18"/>
                <w:szCs w:val="18"/>
                <w:b w:val="1"/>
                <w:bCs w:val="1"/>
                <w:color w:val="auto"/>
              </w:rPr>
              <w:t>214.6</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Tanezumab</w:t>
      </w:r>
    </w:p>
    <w:p>
      <w:pPr>
        <w:spacing w:after="0" w:line="13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have a collaboration agreement with Pfizer Inc. (Pfizer) to jointly develop and globally commercialize tanezumab for the treatment of osteoarthritis pain and cancer pain. The companies equally share the ongoing development costs and, if successful, in the U.S. will co-commercialize and equally share in gross margin and certain commercialization expenses. As a result of an amendment to the agreement in 2020, Pfizer will be responsible for commercialization activities and costs outside the U.S., and we have the right to receive tiered royalties in percentages from the high teens to mid-twenties for net sales in Japan as well as low double digit royalties on annual net sales greater than $150.0 million in all other territories outside of the U.S. and Japan. As of June 30, 2021, Pfizer is eligible to receive up to $147.5 million in success-based regulatory milestones based on current development plans and up to $1.23 billion in a series of sales-based milestones, contingent upon the commercial success of tanezumab.</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Lebrikizumab</w:t>
      </w:r>
    </w:p>
    <w:p>
      <w:pPr>
        <w:spacing w:after="0" w:line="13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As a result of our acquisition of Dermira, we have a worldwide licensing agreement with F. Hoffmann-La Roche Ltd and Genentech, Inc. (collectively Roche), which provides us the global development and commercialization rights to lebrikizumab. Roche has the right to receive tiered royalty payments on future global net sales ranging in percentages from high single digits to high teens if the product is successfully commercialized. As of June 30, 2021, Roche is eligible to receive up to $180.0 million of payments from us contingent upon the achievement of success-based regulatory milestones and up to $1.03 billion in a series of sales-based milestones, contingent upon the commercial success of lebrikizumab.</w:t>
      </w:r>
    </w:p>
    <w:p>
      <w:pPr>
        <w:spacing w:after="0" w:line="10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As a result of our acquisition of Dermira, we have a license agreement with Almirall, S.A. (Almirall), under which Almirall licensed the rights to develop and commercialize lebrikizumab for the treatment or prevention of dermatology indications, including, but not limited to, atopic dermatitis in Europe. We have the right to receive tiered royalty payments on future net sales in Europe ranging in percentages from low double digits to low twenties if the product is successfully commercialized. As of June 30, 2021, we are eligible to receive additional payments of $85.0 million from Almirall contingent upon the achievement of success-based regulatory milestones and up to $1.25 billion in a series of sales-based milestones, contingent upon the commercial success of lebrikizumab.</w:t>
      </w:r>
    </w:p>
    <w:p>
      <w:pPr>
        <w:spacing w:after="0" w:line="10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As of June 30, 2021 and December 31, 2020, $20.1 million and $29.7 million, respectively, were recorded as contract liabilities on the consolidated condensed balance sheets and are expected to be recognized as collaboration and other revenue over the remaining Phase III development period. During the three and six months ended June 30, 2021 and 2020, milestones received and collaboration and other revenue recognized were not material.</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Asset Impairment, Restructuring, and Other Special Charges</w:t>
      </w:r>
    </w:p>
    <w:p>
      <w:pPr>
        <w:spacing w:after="0" w:line="139"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The components of the charges included in asset impairment, restructuring, and other special charges in our consolidated condensed statements of operations are described below.</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60" w:type="dxa"/>
            <w:vAlign w:val="bottom"/>
          </w:tcPr>
          <w:p>
            <w:pPr>
              <w:spacing w:after="0"/>
              <w:rPr>
                <w:sz w:val="16"/>
                <w:szCs w:val="16"/>
                <w:color w:val="auto"/>
              </w:rPr>
            </w:pPr>
          </w:p>
        </w:tc>
        <w:tc>
          <w:tcPr>
            <w:tcW w:w="266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14"/>
                <w:szCs w:val="14"/>
                <w:b w:val="1"/>
                <w:bCs w:val="1"/>
                <w:color w:val="auto"/>
              </w:rPr>
              <w:t>Six Months Ended June 30,</w:t>
            </w:r>
          </w:p>
        </w:tc>
        <w:tc>
          <w:tcPr>
            <w:tcW w:w="520" w:type="dxa"/>
            <w:vAlign w:val="bottom"/>
            <w:tcBorders>
              <w:bottom w:val="single" w:sz="8" w:color="auto"/>
            </w:tcBorders>
          </w:tcPr>
          <w:p>
            <w:pPr>
              <w:spacing w:after="0"/>
              <w:rPr>
                <w:sz w:val="16"/>
                <w:szCs w:val="16"/>
                <w:color w:val="auto"/>
              </w:rPr>
            </w:pPr>
          </w:p>
        </w:tc>
      </w:tr>
      <w:tr>
        <w:trPr>
          <w:trHeight w:val="183"/>
        </w:trPr>
        <w:tc>
          <w:tcPr>
            <w:tcW w:w="806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5"/>
                <w:szCs w:val="15"/>
                <w:color w:val="auto"/>
              </w:rPr>
            </w:pPr>
          </w:p>
        </w:tc>
      </w:tr>
      <w:tr>
        <w:trPr>
          <w:trHeight w:val="223"/>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Severance</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8"/>
                <w:szCs w:val="18"/>
                <w:b w:val="1"/>
                <w:bCs w:val="1"/>
                <w:color w:val="auto"/>
                <w:w w:val="99"/>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11.5</w:t>
            </w:r>
          </w:p>
        </w:tc>
        <w:tc>
          <w:tcPr>
            <w:tcW w:w="110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30"/>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Asset impairment and other special charges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200.1</w:t>
            </w:r>
          </w:p>
        </w:tc>
        <w:tc>
          <w:tcPr>
            <w:tcW w:w="1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w:t>
            </w:r>
          </w:p>
        </w:tc>
      </w:tr>
      <w:tr>
        <w:trPr>
          <w:trHeight w:val="23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 impairment, restructuring, and other special charges</w:t>
            </w: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211.6</w:t>
            </w:r>
          </w:p>
        </w:tc>
        <w:tc>
          <w:tcPr>
            <w:tcW w:w="110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w:t>
            </w:r>
          </w:p>
        </w:tc>
      </w:tr>
    </w:tbl>
    <w:p>
      <w:pPr>
        <w:spacing w:after="0" w:line="200" w:lineRule="exact"/>
        <w:rPr>
          <w:sz w:val="20"/>
          <w:szCs w:val="20"/>
          <w:color w:val="auto"/>
        </w:rPr>
      </w:pPr>
    </w:p>
    <w:p>
      <w:pPr>
        <w:spacing w:after="0" w:line="258"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There were no asset impairment, restructuring, and other special charges recognized during the three months ended June 30, 2021 and 2020.</w:t>
      </w:r>
    </w:p>
    <w:p>
      <w:pPr>
        <w:spacing w:after="0" w:line="90"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Asset impairment, restructuring, and other special charges recognized during the six months ended June 30, 2021 were primarily related to an intangible asset impairment of $108.1 million resulting from the sale of the rights to Qbrexza, as well as acquisition and integration costs associated with the acquisition of Prevail. During the three months ended March 31, 2021, we entered into an agreement to sell our rights to Qbrexza, subject to closing conditions which were completed in the second quarter of 2021. The assets associated with Qbrexza were written down to fair value less cost to sell, which were determined based upon a discounted cash flow valuation.</w:t>
      </w:r>
    </w:p>
    <w:p>
      <w:pPr>
        <w:spacing w:after="0" w:line="97"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Asset impairment, restructuring, and other special charges recognized during the six months ended June 30, 2020 were primarily related to acquisition and integration costs associated with the acquisition of Dermira.</w:t>
      </w:r>
    </w:p>
    <w:p>
      <w:pPr>
        <w:spacing w:after="0" w:line="9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 xml:space="preserve">We recognized inventory impairment charges of $423.0 million and $504.5 million during the three and six months ended June 30, 2021, respectively, in cost of sales in our consolidated condensed statements of operations for excess inventory related to our COVID-19 antibodies. As part of our response to the COVID-19 pandemic, and at the request of the U.S. and international governments, we invested in large-scale manufacturing of COVID-19 antibodies at risk, in order to ensure rapid access to patients around the world. As the COVID-19 pandemic has continued to evolve during 2021, we incurred excess inventory charges primarily due to the combination of changes to current and forecasted demand from U.S. and international governments, </w:t>
      </w:r>
      <w:r>
        <w:rPr>
          <w:rFonts w:ascii="Arial" w:cs="Arial" w:eastAsia="Arial" w:hAnsi="Arial"/>
          <w:sz w:val="18"/>
          <w:szCs w:val="18"/>
          <w:color w:val="212121"/>
        </w:rPr>
        <w:t>including changes to our agreement with the U.S. government, and near-term expiry dates of COVID-19 antibodies.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Note 6: Financial Instruments</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Financial instruments that potentially subject us to credit risk consist principally of trade receivables and interest-bearing investments. Wholesale distributors of life science products account for a substantial portion of our trade receivables; collateral is generally not required. We seek to mitigate the risk associated with this concentration through our ongoing credit-review procedures and insurance. A large portion of our cash is held by a few major financial institutions. We monitor our exposures with these institutions and do not expect any of these institutions to fail to meet their obligations. In accordance with documented corporate risk-management policies, we monitor the amount of credit exposure to any one financial institution or corporate issuer. We are exposed to credit-related losses in the event of nonperformance by counterparties to risk-management instruments but do not expect any counterparties to fail to meet their obligations given their high credit ratings.</w:t>
      </w:r>
    </w:p>
    <w:p>
      <w:pPr>
        <w:spacing w:after="0" w:line="97"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We consider all highly liquid investments with a maturity of three months or less from the date of purchase to be cash equivalents. The cost of these investments approximates fair value.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Our equity investments are accounted for using three different methods depending on the type of equity investment:</w:t>
      </w:r>
    </w:p>
    <w:p>
      <w:pPr>
        <w:spacing w:after="0" w:line="117" w:lineRule="exact"/>
        <w:rPr>
          <w:sz w:val="20"/>
          <w:szCs w:val="20"/>
          <w:color w:val="auto"/>
        </w:rPr>
      </w:pPr>
    </w:p>
    <w:p>
      <w:pPr>
        <w:ind w:left="660" w:right="240" w:hanging="328"/>
        <w:spacing w:after="0" w:line="26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Investments in companies over which we have significant influence but not a controlling interest are accounted for using the equity method, with our share of earnings or losses reported in other-net, (income) expense.</w:t>
      </w:r>
    </w:p>
    <w:p>
      <w:pPr>
        <w:spacing w:after="0" w:line="89" w:lineRule="exact"/>
        <w:rPr>
          <w:rFonts w:ascii="Arial" w:cs="Arial" w:eastAsia="Arial" w:hAnsi="Arial"/>
          <w:sz w:val="18"/>
          <w:szCs w:val="18"/>
          <w:color w:val="auto"/>
        </w:rPr>
      </w:pPr>
    </w:p>
    <w:p>
      <w:pPr>
        <w:ind w:left="660" w:right="700" w:hanging="328"/>
        <w:spacing w:after="0" w:line="256"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 equity investments that do not have readily determinable fair values, we measure these investments at cost, less any impairment, plus or minus changes resulting from observable price changes in orderly transactions for the identical or similar investment of the same issuer. Any change in recorded value is recorded in other-net, (income) expense.</w:t>
      </w:r>
    </w:p>
    <w:p>
      <w:pPr>
        <w:spacing w:after="0" w:line="93" w:lineRule="exact"/>
        <w:rPr>
          <w:rFonts w:ascii="Arial" w:cs="Arial" w:eastAsia="Arial" w:hAnsi="Arial"/>
          <w:sz w:val="18"/>
          <w:szCs w:val="18"/>
          <w:color w:val="auto"/>
        </w:rPr>
      </w:pPr>
    </w:p>
    <w:p>
      <w:pPr>
        <w:ind w:left="660" w:right="240" w:hanging="328"/>
        <w:spacing w:after="0" w:line="26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public equity investments are measured and carried at fair value. Any change in fair value is recognized in other-net, (income) expense.</w:t>
      </w:r>
    </w:p>
    <w:p>
      <w:pPr>
        <w:spacing w:after="0" w:line="90"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We review equity investments other than public equity investments for indications of impairment and observable price changes on a regular basis.</w:t>
      </w:r>
    </w:p>
    <w:p>
      <w:pPr>
        <w:spacing w:after="0" w:line="90" w:lineRule="exact"/>
        <w:rPr>
          <w:sz w:val="20"/>
          <w:szCs w:val="20"/>
          <w:color w:val="auto"/>
        </w:rPr>
      </w:pPr>
    </w:p>
    <w:p>
      <w:pPr>
        <w:jc w:val="both"/>
        <w:ind w:right="480"/>
        <w:spacing w:after="0" w:line="256" w:lineRule="auto"/>
        <w:rPr>
          <w:sz w:val="20"/>
          <w:szCs w:val="20"/>
          <w:color w:val="auto"/>
        </w:rPr>
      </w:pPr>
      <w:r>
        <w:rPr>
          <w:rFonts w:ascii="Arial" w:cs="Arial" w:eastAsia="Arial" w:hAnsi="Arial"/>
          <w:sz w:val="18"/>
          <w:szCs w:val="18"/>
          <w:color w:val="auto"/>
        </w:rPr>
        <w:t>Our derivative activities are initiated within the guidelines of documented corporate risk-management policies and are intended to offset losses and gains on the assets, liabilities, and transactions being hedged. Management reviews the correlation and effectiveness of our derivatives on a quarterly basis.</w:t>
      </w:r>
    </w:p>
    <w:p>
      <w:pPr>
        <w:spacing w:after="0" w:line="9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For derivative instruments that are designated and qualify as fair value hedges, the derivative instrument is marked to market, with gains and losses recognized currently in income to offset the respective losses and gains recognized on the underlying exposure. For derivative instruments that are designated and qualify as cash flow hedges, gains and losses are reported as a component of accumulated other comprehensive loss and reclassified into earnings in the same period the hedged transaction affects earnings. For derivative and non-derivative instruments that are designated and qualify as net investment hedges, the foreign currency translation gains or losses due to spot rate fluctuations are reported as a component of accumulated other comprehensive loss. Derivative contracts that are not designated as hedging instruments are recorded at fair value with the gain or loss recognized in earnings during the period of change.</w:t>
      </w:r>
    </w:p>
    <w:p>
      <w:pPr>
        <w:spacing w:after="0" w:line="99"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may enter into foreign currency forward or option contracts to reduce the effect of fluctuating currency exchange rates (principally the euro, British pound, and Japanese yen). Foreign currency derivatives used for hedging are put in place using the same or like currencies and duration as the underlying exposures. Forward and option contracts are principally used to manage exposures arising from subsidiary trade and loan payables and receivables denominated in foreign currencies. These contracts are recorded at fair value with the gain or loss recognized in other–net, (income) expense. We may enter into foreign currency forward and option contracts and currency swaps as fair value hedges of firm commitments. Forward contracts generally have maturities not exceeding 12 months. At June 30, 2021, we had outstanding foreign currency forward commitments to purchase 1.97 billion U.S. dollars and sell 1.65 billion euro, commitments to purchase 2.55 billion euro and sell 3.05 billion U.S. dollars, commitments to purchase 190.8 million U.S. dollars and sell 21.10 billion Japanese yen, and commitments to purchase 250.4 million British pounds and sell 349.4 million U.S. dollars, which all settled within 30 days.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2" w:name="page23"/>
    <w:bookmarkEnd w:id="22"/>
    <w:p>
      <w:pPr>
        <w:spacing w:after="0" w:line="252" w:lineRule="auto"/>
        <w:rPr>
          <w:sz w:val="20"/>
          <w:szCs w:val="20"/>
          <w:color w:val="auto"/>
        </w:rPr>
      </w:pPr>
      <w:r>
        <w:rPr>
          <w:rFonts w:ascii="Arial" w:cs="Arial" w:eastAsia="Arial" w:hAnsi="Arial"/>
          <w:sz w:val="18"/>
          <w:szCs w:val="18"/>
          <w:color w:val="auto"/>
        </w:rPr>
        <w:t>Foreign currency exchange risk is also managed through the use of foreign currency debt and cross-currency interest rate swaps. Our foreign currency-denominated notes had carrying amounts of $5.80 billion and $6.02 billion as of June 30, 2021 and December 31, 2020, respectively, of which $4.36 billion and $ 4.50 billion have been designated as, and are effective as, economic hedges of net investments in certain of our euro-denominated foreign operations as of June 30, 2021 and December 31, 2020, respectively. At June 30, 2021, we had outstanding cross- currency swaps with notional amounts of $3.82 billion swapping U.S. dollars to euro and $1.00 billion swapping Swiss francs to U.S. dollars which have settlement dates ranging through 2028. Our cross-currency interest rate swaps, for which a majority convert a portion of our U.S. dollar-denominated fixed-rate debt to foreign-denominated fixed-rate debt, have also been designated as, and are effective as, economic hedges of net investments.</w:t>
      </w:r>
    </w:p>
    <w:p>
      <w:pPr>
        <w:spacing w:after="0" w:line="9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the normal course of business, our operations are exposed to fluctuations in interest rates which can vary the costs of financing, investing, and operating. We seek to address a portion of these risks through a controlled program of risk management that includes the use of derivative financial instruments. The objective of controlling these risks is to limit the impact of fluctuations in interest rates on earnings. Our primary interest-rate risk exposure results from changes in short-term U.S. dollar interest rates. In an effort to manage interest-rate exposures, we strive to achieve an acceptable balance between fixed- and floating-rate debt and investment positions and may enter into interest rate swaps or collars to help maintain that balance.</w:t>
      </w:r>
    </w:p>
    <w:p>
      <w:pPr>
        <w:spacing w:after="0" w:line="10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Interest rate swaps or collars that convert our fixed-rate debt to a floating rate are designated as fair value hedges of the underlying instruments. Interest rate swaps or collars that convert floating-rate debt to a fixed rate are designated as cash flow hedges. Interest expense on the debt is adjusted to include the payments made or received under the swap agreements. Cash proceeds from or payments to counterparties resulting from the termination of interest rate swaps are classified as operating activities in our consolidated condensed statements of cash flows. At June 30, 2021, substantially all of our total long-term debt is at a fixed rate. We have converted approximately 13 percent of our long-term fixed-rate notes to floating rates through the use of interest rate swaps.</w:t>
      </w:r>
    </w:p>
    <w:p>
      <w:pPr>
        <w:spacing w:after="0" w:line="10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also may enter into forward-starting interest rate swaps, which we designate as cash flow hedges, as part of any anticipated future debt issuances in order to reduce the risk of cash flow volatility from future changes in interest rates. The change in fair value of these instruments is recorded as part of other comprehensive income (loss), and upon completion of a debt issuance and termination of the swap, is amortized to interest expense over the life of the underlying debt. As of June 30, 2021, the total notional amounts of forward-starting interest rate contracts in designated cash flow hedging instruments were $1.75 billion, which have settlement dates ranging between 2023 and 2025.</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Effect of Risk-Management Instruments on the Consolidated Condensed Statements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effects of risk-management instruments were recognized in other–net, (income) expense: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220" w:type="dxa"/>
            <w:vAlign w:val="bottom"/>
          </w:tcPr>
          <w:p>
            <w:pPr>
              <w:spacing w:after="0"/>
              <w:rPr>
                <w:sz w:val="16"/>
                <w:szCs w:val="16"/>
                <w:color w:val="auto"/>
              </w:rPr>
            </w:pPr>
          </w:p>
        </w:tc>
        <w:tc>
          <w:tcPr>
            <w:tcW w:w="21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Three Months Ended June 30,</w:t>
            </w:r>
          </w:p>
        </w:tc>
        <w:tc>
          <w:tcPr>
            <w:tcW w:w="2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ind w:right="53"/>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3"/>
        </w:trPr>
        <w:tc>
          <w:tcPr>
            <w:tcW w:w="6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3"/>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hedges: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tcPr>
          <w:p>
            <w:pPr>
              <w:ind w:left="220"/>
              <w:spacing w:after="0"/>
              <w:rPr>
                <w:sz w:val="20"/>
                <w:szCs w:val="20"/>
                <w:color w:val="auto"/>
              </w:rPr>
            </w:pPr>
            <w:r>
              <w:rPr>
                <w:rFonts w:ascii="Arial" w:cs="Arial" w:eastAsia="Arial" w:hAnsi="Arial"/>
                <w:sz w:val="18"/>
                <w:szCs w:val="18"/>
                <w:color w:val="auto"/>
              </w:rPr>
              <w:t>Effect from hedged fixed-rate debt</w:t>
            </w:r>
          </w:p>
        </w:tc>
        <w:tc>
          <w:tcPr>
            <w:tcW w:w="22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33"/>
              <w:spacing w:after="0"/>
              <w:rPr>
                <w:sz w:val="20"/>
                <w:szCs w:val="20"/>
                <w:color w:val="auto"/>
              </w:rPr>
            </w:pPr>
            <w:r>
              <w:rPr>
                <w:rFonts w:ascii="Arial" w:cs="Arial" w:eastAsia="Arial" w:hAnsi="Arial"/>
                <w:sz w:val="18"/>
                <w:szCs w:val="18"/>
                <w:b w:val="1"/>
                <w:bCs w:val="1"/>
                <w:color w:val="auto"/>
              </w:rPr>
              <w:t>31.1</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7.0</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(50.4)</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Effect from interest rate contracts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(31.1)</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50.4</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29"/>
        </w:trPr>
        <w:tc>
          <w:tcPr>
            <w:tcW w:w="6220" w:type="dxa"/>
            <w:vAlign w:val="bottom"/>
          </w:tcPr>
          <w:p>
            <w:pPr>
              <w:ind w:left="20"/>
              <w:spacing w:after="0"/>
              <w:rPr>
                <w:sz w:val="20"/>
                <w:szCs w:val="20"/>
                <w:color w:val="auto"/>
              </w:rPr>
            </w:pPr>
            <w:r>
              <w:rPr>
                <w:rFonts w:ascii="Arial" w:cs="Arial" w:eastAsia="Arial" w:hAnsi="Arial"/>
                <w:sz w:val="18"/>
                <w:szCs w:val="18"/>
                <w:color w:val="auto"/>
              </w:rPr>
              <w:t>Cash flow hedges:</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622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Effective portion of losses on interest rate contracts reclassified from</w:t>
            </w:r>
          </w:p>
        </w:tc>
        <w:tc>
          <w:tcPr>
            <w:tcW w:w="22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4.2</w:t>
            </w: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8.3</w:t>
            </w: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0"/>
        </w:trPr>
        <w:tc>
          <w:tcPr>
            <w:tcW w:w="6220" w:type="dxa"/>
            <w:vAlign w:val="bottom"/>
          </w:tcPr>
          <w:p>
            <w:pPr>
              <w:ind w:left="220"/>
              <w:spacing w:after="0"/>
              <w:rPr>
                <w:sz w:val="20"/>
                <w:szCs w:val="20"/>
                <w:color w:val="auto"/>
              </w:rPr>
            </w:pPr>
            <w:r>
              <w:rPr>
                <w:rFonts w:ascii="Arial" w:cs="Arial" w:eastAsia="Arial" w:hAnsi="Arial"/>
                <w:sz w:val="18"/>
                <w:szCs w:val="18"/>
                <w:color w:val="auto"/>
              </w:rPr>
              <w:t>Cross-currency interest rate swaps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(23.4)</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(11.5)</w:t>
            </w:r>
          </w:p>
        </w:tc>
        <w:tc>
          <w:tcPr>
            <w:tcW w:w="200" w:type="dxa"/>
            <w:vAlign w:val="bottom"/>
          </w:tcPr>
          <w:p>
            <w:pPr>
              <w:spacing w:after="0"/>
              <w:rPr>
                <w:sz w:val="19"/>
                <w:szCs w:val="19"/>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b w:val="1"/>
                <w:bCs w:val="1"/>
                <w:color w:val="auto"/>
              </w:rPr>
              <w:t>48.1</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188"/>
        </w:trPr>
        <w:tc>
          <w:tcPr>
            <w:tcW w:w="62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Net (gains) losses on foreign currency exchange contracts not designated as</w:t>
            </w:r>
          </w:p>
        </w:tc>
        <w:tc>
          <w:tcPr>
            <w:tcW w:w="22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(73.2)</w:t>
            </w: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59.8</w:t>
            </w: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hedging instruments</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30"/>
        </w:trPr>
        <w:tc>
          <w:tcPr>
            <w:tcW w:w="622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(92.4)</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116.2</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right="360"/>
        <w:spacing w:after="0" w:line="261" w:lineRule="auto"/>
        <w:rPr>
          <w:sz w:val="20"/>
          <w:szCs w:val="20"/>
          <w:color w:val="auto"/>
        </w:rPr>
      </w:pPr>
      <w:r>
        <w:rPr>
          <w:rFonts w:ascii="Arial" w:cs="Arial" w:eastAsia="Arial" w:hAnsi="Arial"/>
          <w:sz w:val="18"/>
          <w:szCs w:val="18"/>
          <w:color w:val="auto"/>
        </w:rPr>
        <w:t>During the three and six months ended June 30, 2021 and 2020, the amortization of losses related to the portion of our risk management hedging instruments, fair value hedges, and cash flow hedges that was excluded from the assessment of effectiveness was not material.</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23" w:name="page24"/>
    <w:bookmarkEnd w:id="23"/>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Effect of Risk-Management Instruments on Other Comprehensive Income (Loss)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effective portion of risk-management instruments that was recognized in other comprehensive income (loss) is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200" w:type="dxa"/>
            <w:vAlign w:val="bottom"/>
          </w:tcPr>
          <w:p>
            <w:pPr>
              <w:spacing w:after="0"/>
              <w:rPr>
                <w:sz w:val="16"/>
                <w:szCs w:val="16"/>
                <w:color w:val="auto"/>
              </w:rPr>
            </w:pPr>
          </w:p>
        </w:tc>
        <w:tc>
          <w:tcPr>
            <w:tcW w:w="21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ind w:right="54"/>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62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2020</w:t>
            </w:r>
          </w:p>
        </w:tc>
      </w:tr>
      <w:tr>
        <w:trPr>
          <w:trHeight w:val="223"/>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hedges: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6200" w:type="dxa"/>
            <w:vAlign w:val="bottom"/>
          </w:tcPr>
          <w:p>
            <w:pPr>
              <w:ind w:left="220"/>
              <w:spacing w:after="0"/>
              <w:rPr>
                <w:sz w:val="20"/>
                <w:szCs w:val="20"/>
                <w:color w:val="auto"/>
              </w:rPr>
            </w:pPr>
            <w:r>
              <w:rPr>
                <w:rFonts w:ascii="Arial" w:cs="Arial" w:eastAsia="Arial" w:hAnsi="Arial"/>
                <w:sz w:val="18"/>
                <w:szCs w:val="18"/>
                <w:color w:val="auto"/>
              </w:rPr>
              <w:t>Foreign currency-denominated notes</w:t>
            </w:r>
          </w:p>
        </w:tc>
        <w:tc>
          <w:tcPr>
            <w:tcW w:w="24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(57.8)</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(72.4)</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6"/>
              <w:spacing w:after="0"/>
              <w:rPr>
                <w:sz w:val="20"/>
                <w:szCs w:val="20"/>
                <w:color w:val="auto"/>
              </w:rPr>
            </w:pPr>
            <w:r>
              <w:rPr>
                <w:rFonts w:ascii="Arial" w:cs="Arial" w:eastAsia="Arial" w:hAnsi="Arial"/>
                <w:sz w:val="18"/>
                <w:szCs w:val="18"/>
                <w:b w:val="1"/>
                <w:bCs w:val="1"/>
                <w:color w:val="auto"/>
              </w:rPr>
              <w:t>149.9</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6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Cross-currency interest rate swaps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(46.5)</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104.1</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r>
      <w:tr>
        <w:trPr>
          <w:trHeight w:val="229"/>
        </w:trPr>
        <w:tc>
          <w:tcPr>
            <w:tcW w:w="6200" w:type="dxa"/>
            <w:vAlign w:val="bottom"/>
          </w:tcPr>
          <w:p>
            <w:pPr>
              <w:ind w:left="20"/>
              <w:spacing w:after="0"/>
              <w:rPr>
                <w:sz w:val="20"/>
                <w:szCs w:val="20"/>
                <w:color w:val="auto"/>
              </w:rPr>
            </w:pPr>
            <w:r>
              <w:rPr>
                <w:rFonts w:ascii="Arial" w:cs="Arial" w:eastAsia="Arial" w:hAnsi="Arial"/>
                <w:sz w:val="18"/>
                <w:szCs w:val="18"/>
                <w:color w:val="auto"/>
              </w:rPr>
              <w:t>Cash flow hedges:</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6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Forward-starting interest rate swaps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(165.2)</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38.2</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129.9</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(331.6)</w:t>
            </w:r>
          </w:p>
        </w:tc>
      </w:tr>
      <w:tr>
        <w:trPr>
          <w:trHeight w:val="239"/>
        </w:trPr>
        <w:tc>
          <w:tcPr>
            <w:tcW w:w="6200" w:type="dxa"/>
            <w:vAlign w:val="bottom"/>
          </w:tcPr>
          <w:p>
            <w:pPr>
              <w:ind w:left="220"/>
              <w:spacing w:after="0"/>
              <w:rPr>
                <w:sz w:val="20"/>
                <w:szCs w:val="20"/>
                <w:color w:val="auto"/>
              </w:rPr>
            </w:pPr>
            <w:r>
              <w:rPr>
                <w:rFonts w:ascii="Arial" w:cs="Arial" w:eastAsia="Arial" w:hAnsi="Arial"/>
                <w:sz w:val="18"/>
                <w:szCs w:val="18"/>
                <w:color w:val="auto"/>
              </w:rPr>
              <w:t>Cross-currency interest rate swaps</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(6.9)</w:t>
            </w:r>
          </w:p>
        </w:tc>
        <w:tc>
          <w:tcPr>
            <w:tcW w:w="300" w:type="dxa"/>
            <w:vAlign w:val="bottom"/>
          </w:tcPr>
          <w:p>
            <w:pPr>
              <w:spacing w:after="0"/>
              <w:rPr>
                <w:sz w:val="20"/>
                <w:szCs w:val="20"/>
                <w:color w:val="auto"/>
              </w:rPr>
            </w:pPr>
          </w:p>
        </w:tc>
        <w:tc>
          <w:tcPr>
            <w:tcW w:w="820" w:type="dxa"/>
            <w:vAlign w:val="bottom"/>
          </w:tcPr>
          <w:p>
            <w:pPr>
              <w:jc w:val="right"/>
              <w:ind w:right="54"/>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20"/>
                <w:szCs w:val="20"/>
                <w:color w:val="auto"/>
              </w:rPr>
            </w:pPr>
          </w:p>
        </w:tc>
        <w:tc>
          <w:tcPr>
            <w:tcW w:w="900" w:type="dxa"/>
            <w:vAlign w:val="bottom"/>
          </w:tcPr>
          <w:p>
            <w:pPr>
              <w:jc w:val="right"/>
              <w:ind w:right="16"/>
              <w:spacing w:after="0"/>
              <w:rPr>
                <w:sz w:val="20"/>
                <w:szCs w:val="20"/>
                <w:color w:val="auto"/>
              </w:rPr>
            </w:pPr>
            <w:r>
              <w:rPr>
                <w:rFonts w:ascii="Arial" w:cs="Arial" w:eastAsia="Arial" w:hAnsi="Arial"/>
                <w:sz w:val="18"/>
                <w:szCs w:val="18"/>
                <w:b w:val="1"/>
                <w:bCs w:val="1"/>
                <w:color w:val="auto"/>
              </w:rPr>
              <w:t>19.4</w:t>
            </w: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(64.9)</w:t>
            </w:r>
          </w:p>
        </w:tc>
      </w:tr>
    </w:tbl>
    <w:p>
      <w:pPr>
        <w:spacing w:after="0" w:line="17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During the next 12 months, we expect to reclassify $17.0 million of pretax net losses on cash flow hedges from accumulated other comprehensive loss to other–net, (income) expense. During the three and six months ended June 30, 2021 and 2020, the amounts excluded from the assessment of hedge effectiveness recognized in other comprehensive income (loss) were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13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The following tables summarize certain fair value information at June 30, 2021 and December 31, 2020 for assets and liabilities measured at fair value on a recurring basis, as well as the carrying amount and amortized cost of certain other investments: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600" w:type="dxa"/>
            <w:vAlign w:val="bottom"/>
            <w:tcBorders>
              <w:bottom w:val="single" w:sz="8" w:color="auto"/>
            </w:tcBorders>
            <w:gridSpan w:val="5"/>
          </w:tcPr>
          <w:p>
            <w:pPr>
              <w:jc w:val="right"/>
              <w:ind w:right="700"/>
              <w:spacing w:after="0"/>
              <w:rPr>
                <w:sz w:val="20"/>
                <w:szCs w:val="20"/>
                <w:color w:val="auto"/>
              </w:rPr>
            </w:pPr>
            <w:r>
              <w:rPr>
                <w:rFonts w:ascii="Arial" w:cs="Arial" w:eastAsia="Arial" w:hAnsi="Arial"/>
                <w:sz w:val="14"/>
                <w:szCs w:val="14"/>
                <w:b w:val="1"/>
                <w:bCs w:val="1"/>
                <w:color w:val="auto"/>
              </w:rPr>
              <w:t>Fair Value Measurements Using</w:t>
            </w: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rPr>
              <w:t>Quoted Prices</w:t>
            </w:r>
          </w:p>
        </w:tc>
        <w:tc>
          <w:tcPr>
            <w:tcW w:w="220" w:type="dxa"/>
            <w:vAlign w:val="bottom"/>
          </w:tcPr>
          <w:p>
            <w:pPr>
              <w:spacing w:after="0"/>
              <w:rPr>
                <w:sz w:val="12"/>
                <w:szCs w:val="12"/>
                <w:color w:val="auto"/>
              </w:rPr>
            </w:pPr>
          </w:p>
        </w:tc>
        <w:tc>
          <w:tcPr>
            <w:tcW w:w="1000" w:type="dxa"/>
            <w:vAlign w:val="bottom"/>
            <w:vMerge w:val="restart"/>
          </w:tcPr>
          <w:p>
            <w:pPr>
              <w:jc w:val="center"/>
              <w:ind w:right="101"/>
              <w:spacing w:after="0"/>
              <w:rPr>
                <w:sz w:val="20"/>
                <w:szCs w:val="20"/>
                <w:color w:val="auto"/>
              </w:rPr>
            </w:pPr>
            <w:r>
              <w:rPr>
                <w:rFonts w:ascii="Arial" w:cs="Arial" w:eastAsia="Arial" w:hAnsi="Arial"/>
                <w:sz w:val="14"/>
                <w:szCs w:val="14"/>
                <w:b w:val="1"/>
                <w:bCs w:val="1"/>
                <w:color w:val="auto"/>
              </w:rPr>
              <w:t>Significant</w:t>
            </w: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center"/>
              <w:ind w:right="81"/>
              <w:spacing w:after="0" w:line="135" w:lineRule="exact"/>
              <w:rPr>
                <w:sz w:val="20"/>
                <w:szCs w:val="20"/>
                <w:color w:val="auto"/>
              </w:rPr>
            </w:pPr>
            <w:r>
              <w:rPr>
                <w:rFonts w:ascii="Arial" w:cs="Arial" w:eastAsia="Arial" w:hAnsi="Arial"/>
                <w:sz w:val="14"/>
                <w:szCs w:val="14"/>
                <w:b w:val="1"/>
                <w:bCs w:val="1"/>
                <w:color w:val="auto"/>
              </w:rPr>
              <w:t>in Active</w:t>
            </w:r>
          </w:p>
        </w:tc>
        <w:tc>
          <w:tcPr>
            <w:tcW w:w="22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vMerge w:val="restart"/>
          </w:tcPr>
          <w:p>
            <w:pPr>
              <w:jc w:val="center"/>
              <w:ind w:right="60"/>
              <w:spacing w:after="0"/>
              <w:rPr>
                <w:sz w:val="20"/>
                <w:szCs w:val="20"/>
                <w:color w:val="auto"/>
              </w:rPr>
            </w:pPr>
            <w:r>
              <w:rPr>
                <w:rFonts w:ascii="Arial" w:cs="Arial" w:eastAsia="Arial" w:hAnsi="Arial"/>
                <w:sz w:val="14"/>
                <w:szCs w:val="14"/>
                <w:b w:val="1"/>
                <w:bCs w:val="1"/>
                <w:color w:val="auto"/>
              </w:rPr>
              <w:t>Significant</w:t>
            </w: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center"/>
              <w:ind w:right="101"/>
              <w:spacing w:after="0" w:line="135" w:lineRule="exact"/>
              <w:rPr>
                <w:sz w:val="20"/>
                <w:szCs w:val="20"/>
                <w:color w:val="auto"/>
              </w:rPr>
            </w:pPr>
            <w:r>
              <w:rPr>
                <w:rFonts w:ascii="Arial" w:cs="Arial" w:eastAsia="Arial" w:hAnsi="Arial"/>
                <w:sz w:val="14"/>
                <w:szCs w:val="14"/>
                <w:b w:val="1"/>
                <w:bCs w:val="1"/>
                <w:color w:val="auto"/>
              </w:rPr>
              <w:t>Markets for</w:t>
            </w:r>
          </w:p>
        </w:tc>
        <w:tc>
          <w:tcPr>
            <w:tcW w:w="220" w:type="dxa"/>
            <w:vAlign w:val="bottom"/>
          </w:tcPr>
          <w:p>
            <w:pPr>
              <w:spacing w:after="0"/>
              <w:rPr>
                <w:sz w:val="11"/>
                <w:szCs w:val="11"/>
                <w:color w:val="auto"/>
              </w:rPr>
            </w:pPr>
          </w:p>
        </w:tc>
        <w:tc>
          <w:tcPr>
            <w:tcW w:w="1000" w:type="dxa"/>
            <w:vAlign w:val="bottom"/>
          </w:tcPr>
          <w:p>
            <w:pPr>
              <w:jc w:val="center"/>
              <w:ind w:right="101"/>
              <w:spacing w:after="0" w:line="135"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center"/>
              <w:ind w:right="101"/>
              <w:spacing w:after="0" w:line="135" w:lineRule="exact"/>
              <w:rPr>
                <w:sz w:val="20"/>
                <w:szCs w:val="20"/>
                <w:color w:val="auto"/>
              </w:rPr>
            </w:pPr>
            <w:r>
              <w:rPr>
                <w:rFonts w:ascii="Arial" w:cs="Arial" w:eastAsia="Arial" w:hAnsi="Arial"/>
                <w:sz w:val="14"/>
                <w:szCs w:val="14"/>
                <w:b w:val="1"/>
                <w:bCs w:val="1"/>
                <w:color w:val="auto"/>
              </w:rPr>
              <w:t>Identical</w:t>
            </w:r>
          </w:p>
        </w:tc>
        <w:tc>
          <w:tcPr>
            <w:tcW w:w="220" w:type="dxa"/>
            <w:vAlign w:val="bottom"/>
          </w:tcPr>
          <w:p>
            <w:pPr>
              <w:spacing w:after="0"/>
              <w:rPr>
                <w:sz w:val="11"/>
                <w:szCs w:val="11"/>
                <w:color w:val="auto"/>
              </w:rPr>
            </w:pPr>
          </w:p>
        </w:tc>
        <w:tc>
          <w:tcPr>
            <w:tcW w:w="1000" w:type="dxa"/>
            <w:vAlign w:val="bottom"/>
          </w:tcPr>
          <w:p>
            <w:pPr>
              <w:jc w:val="center"/>
              <w:ind w:right="101"/>
              <w:spacing w:after="0" w:line="135" w:lineRule="exact"/>
              <w:rPr>
                <w:sz w:val="20"/>
                <w:szCs w:val="20"/>
                <w:color w:val="auto"/>
              </w:rPr>
            </w:pPr>
            <w:r>
              <w:rPr>
                <w:rFonts w:ascii="Arial" w:cs="Arial" w:eastAsia="Arial" w:hAnsi="Arial"/>
                <w:sz w:val="14"/>
                <w:szCs w:val="14"/>
                <w:b w:val="1"/>
                <w:bCs w:val="1"/>
                <w:color w:val="auto"/>
              </w:rPr>
              <w:t>Observable</w:t>
            </w:r>
          </w:p>
        </w:tc>
        <w:tc>
          <w:tcPr>
            <w:tcW w:w="220" w:type="dxa"/>
            <w:vAlign w:val="bottom"/>
          </w:tcPr>
          <w:p>
            <w:pPr>
              <w:spacing w:after="0"/>
              <w:rPr>
                <w:sz w:val="11"/>
                <w:szCs w:val="11"/>
                <w:color w:val="auto"/>
              </w:rPr>
            </w:pPr>
          </w:p>
        </w:tc>
        <w:tc>
          <w:tcPr>
            <w:tcW w:w="1160" w:type="dxa"/>
            <w:vAlign w:val="bottom"/>
          </w:tcPr>
          <w:p>
            <w:pPr>
              <w:jc w:val="center"/>
              <w:ind w:right="60"/>
              <w:spacing w:after="0" w:line="135" w:lineRule="exact"/>
              <w:rPr>
                <w:sz w:val="20"/>
                <w:szCs w:val="20"/>
                <w:color w:val="auto"/>
              </w:rPr>
            </w:pPr>
            <w:r>
              <w:rPr>
                <w:rFonts w:ascii="Arial" w:cs="Arial" w:eastAsia="Arial" w:hAnsi="Arial"/>
                <w:sz w:val="14"/>
                <w:szCs w:val="14"/>
                <w:b w:val="1"/>
                <w:bCs w:val="1"/>
                <w:color w:val="auto"/>
              </w:rPr>
              <w:t>Unobservable</w:t>
            </w:r>
          </w:p>
        </w:tc>
        <w:tc>
          <w:tcPr>
            <w:tcW w:w="340" w:type="dxa"/>
            <w:vAlign w:val="bottom"/>
          </w:tcPr>
          <w:p>
            <w:pPr>
              <w:spacing w:after="0"/>
              <w:rPr>
                <w:sz w:val="11"/>
                <w:szCs w:val="11"/>
                <w:color w:val="auto"/>
              </w:rPr>
            </w:pPr>
          </w:p>
        </w:tc>
        <w:tc>
          <w:tcPr>
            <w:tcW w:w="88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35"/>
        </w:trPr>
        <w:tc>
          <w:tcPr>
            <w:tcW w:w="3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 xml:space="preserve">Cost </w:t>
            </w:r>
            <w:r>
              <w:rPr>
                <w:rFonts w:ascii="Arial" w:cs="Arial" w:eastAsia="Arial" w:hAnsi="Arial"/>
                <w:sz w:val="18"/>
                <w:szCs w:val="18"/>
                <w:b w:val="1"/>
                <w:bCs w:val="1"/>
                <w:color w:val="auto"/>
                <w:vertAlign w:val="superscript"/>
              </w:rPr>
              <w:t>(1)</w:t>
            </w:r>
          </w:p>
        </w:tc>
        <w:tc>
          <w:tcPr>
            <w:tcW w:w="140" w:type="dxa"/>
            <w:vAlign w:val="bottom"/>
          </w:tcPr>
          <w:p>
            <w:pPr>
              <w:spacing w:after="0"/>
              <w:rPr>
                <w:sz w:val="11"/>
                <w:szCs w:val="11"/>
                <w:color w:val="auto"/>
              </w:rPr>
            </w:pPr>
          </w:p>
        </w:tc>
        <w:tc>
          <w:tcPr>
            <w:tcW w:w="1000" w:type="dxa"/>
            <w:vAlign w:val="bottom"/>
          </w:tcPr>
          <w:p>
            <w:pPr>
              <w:jc w:val="center"/>
              <w:ind w:right="101"/>
              <w:spacing w:after="0" w:line="135" w:lineRule="exact"/>
              <w:rPr>
                <w:sz w:val="20"/>
                <w:szCs w:val="20"/>
                <w:color w:val="auto"/>
              </w:rPr>
            </w:pPr>
            <w:r>
              <w:rPr>
                <w:rFonts w:ascii="Arial" w:cs="Arial" w:eastAsia="Arial" w:hAnsi="Arial"/>
                <w:sz w:val="14"/>
                <w:szCs w:val="14"/>
                <w:b w:val="1"/>
                <w:bCs w:val="1"/>
                <w:color w:val="auto"/>
              </w:rPr>
              <w:t>Assets</w:t>
            </w:r>
          </w:p>
        </w:tc>
        <w:tc>
          <w:tcPr>
            <w:tcW w:w="220" w:type="dxa"/>
            <w:vAlign w:val="bottom"/>
          </w:tcPr>
          <w:p>
            <w:pPr>
              <w:spacing w:after="0"/>
              <w:rPr>
                <w:sz w:val="11"/>
                <w:szCs w:val="11"/>
                <w:color w:val="auto"/>
              </w:rPr>
            </w:pPr>
          </w:p>
        </w:tc>
        <w:tc>
          <w:tcPr>
            <w:tcW w:w="1000" w:type="dxa"/>
            <w:vAlign w:val="bottom"/>
          </w:tcPr>
          <w:p>
            <w:pPr>
              <w:jc w:val="center"/>
              <w:ind w:right="101"/>
              <w:spacing w:after="0" w:line="135" w:lineRule="exact"/>
              <w:rPr>
                <w:sz w:val="20"/>
                <w:szCs w:val="20"/>
                <w:color w:val="auto"/>
              </w:rPr>
            </w:pPr>
            <w:r>
              <w:rPr>
                <w:rFonts w:ascii="Arial" w:cs="Arial" w:eastAsia="Arial" w:hAnsi="Arial"/>
                <w:sz w:val="14"/>
                <w:szCs w:val="14"/>
                <w:b w:val="1"/>
                <w:bCs w:val="1"/>
                <w:color w:val="auto"/>
                <w:w w:val="99"/>
              </w:rPr>
              <w:t>Inputs</w:t>
            </w:r>
          </w:p>
        </w:tc>
        <w:tc>
          <w:tcPr>
            <w:tcW w:w="220" w:type="dxa"/>
            <w:vAlign w:val="bottom"/>
          </w:tcPr>
          <w:p>
            <w:pPr>
              <w:spacing w:after="0"/>
              <w:rPr>
                <w:sz w:val="11"/>
                <w:szCs w:val="11"/>
                <w:color w:val="auto"/>
              </w:rPr>
            </w:pPr>
          </w:p>
        </w:tc>
        <w:tc>
          <w:tcPr>
            <w:tcW w:w="1160" w:type="dxa"/>
            <w:vAlign w:val="bottom"/>
          </w:tcPr>
          <w:p>
            <w:pPr>
              <w:jc w:val="center"/>
              <w:ind w:right="60"/>
              <w:spacing w:after="0" w:line="135" w:lineRule="exact"/>
              <w:rPr>
                <w:sz w:val="20"/>
                <w:szCs w:val="20"/>
                <w:color w:val="auto"/>
              </w:rPr>
            </w:pPr>
            <w:r>
              <w:rPr>
                <w:rFonts w:ascii="Arial" w:cs="Arial" w:eastAsia="Arial" w:hAnsi="Arial"/>
                <w:sz w:val="14"/>
                <w:szCs w:val="14"/>
                <w:b w:val="1"/>
                <w:bCs w:val="1"/>
                <w:color w:val="auto"/>
                <w:w w:val="99"/>
              </w:rPr>
              <w:t>Inputs</w:t>
            </w:r>
          </w:p>
        </w:tc>
        <w:tc>
          <w:tcPr>
            <w:tcW w:w="34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8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Amount</w:t>
            </w: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(Level 2)</w:t>
            </w: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9"/>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June 30, 2021</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equivalents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1,789.1</w:t>
            </w:r>
          </w:p>
        </w:tc>
        <w:tc>
          <w:tcPr>
            <w:tcW w:w="32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CCEEFF"/>
            </w:tcBorders>
          </w:tcPr>
          <w:p>
            <w:pPr>
              <w:jc w:val="right"/>
              <w:ind w:right="99"/>
              <w:spacing w:after="0"/>
              <w:rPr>
                <w:sz w:val="20"/>
                <w:szCs w:val="20"/>
                <w:color w:val="auto"/>
              </w:rPr>
            </w:pPr>
            <w:r>
              <w:rPr>
                <w:rFonts w:ascii="Arial" w:cs="Arial" w:eastAsia="Arial" w:hAnsi="Arial"/>
                <w:sz w:val="16"/>
                <w:szCs w:val="16"/>
                <w:b w:val="1"/>
                <w:bCs w:val="1"/>
                <w:color w:val="auto"/>
              </w:rPr>
              <w:t>1,789.1</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b w:val="1"/>
                <w:bCs w:val="1"/>
                <w:color w:val="auto"/>
              </w:rPr>
              <w:t>1,789.1</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1,789.1</w:t>
            </w:r>
          </w:p>
        </w:tc>
        <w:tc>
          <w:tcPr>
            <w:tcW w:w="0" w:type="dxa"/>
            <w:vAlign w:val="bottom"/>
          </w:tcPr>
          <w:p>
            <w:pPr>
              <w:spacing w:after="0"/>
              <w:rPr>
                <w:sz w:val="1"/>
                <w:szCs w:val="1"/>
                <w:color w:val="auto"/>
              </w:rPr>
            </w:pPr>
          </w:p>
        </w:tc>
      </w:tr>
      <w:tr>
        <w:trPr>
          <w:trHeight w:val="94"/>
        </w:trPr>
        <w:tc>
          <w:tcPr>
            <w:tcW w:w="38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3820" w:type="dxa"/>
            <w:vAlign w:val="bottom"/>
          </w:tcPr>
          <w:p>
            <w:pPr>
              <w:ind w:left="20"/>
              <w:spacing w:after="0"/>
              <w:rPr>
                <w:sz w:val="20"/>
                <w:szCs w:val="20"/>
                <w:color w:val="auto"/>
              </w:rPr>
            </w:pPr>
            <w:r>
              <w:rPr>
                <w:rFonts w:ascii="Arial" w:cs="Arial" w:eastAsia="Arial" w:hAnsi="Arial"/>
                <w:sz w:val="16"/>
                <w:szCs w:val="16"/>
                <w:color w:val="auto"/>
              </w:rPr>
              <w:t>Short-term investments: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U.S. government and agency securities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11.9</w:t>
            </w:r>
          </w:p>
        </w:tc>
        <w:tc>
          <w:tcPr>
            <w:tcW w:w="3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11.9</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11.9</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11.9</w:t>
            </w:r>
          </w:p>
        </w:tc>
        <w:tc>
          <w:tcPr>
            <w:tcW w:w="0" w:type="dxa"/>
            <w:vAlign w:val="bottom"/>
          </w:tcPr>
          <w:p>
            <w:pPr>
              <w:spacing w:after="0"/>
              <w:rPr>
                <w:sz w:val="1"/>
                <w:szCs w:val="1"/>
                <w:color w:val="auto"/>
              </w:rPr>
            </w:pPr>
          </w:p>
        </w:tc>
      </w:tr>
      <w:tr>
        <w:trPr>
          <w:trHeight w:val="215"/>
        </w:trPr>
        <w:tc>
          <w:tcPr>
            <w:tcW w:w="3820" w:type="dxa"/>
            <w:vAlign w:val="bottom"/>
          </w:tcPr>
          <w:p>
            <w:pPr>
              <w:ind w:left="140"/>
              <w:spacing w:after="0"/>
              <w:rPr>
                <w:sz w:val="20"/>
                <w:szCs w:val="20"/>
                <w:color w:val="auto"/>
              </w:rPr>
            </w:pPr>
            <w:r>
              <w:rPr>
                <w:rFonts w:ascii="Arial" w:cs="Arial" w:eastAsia="Arial" w:hAnsi="Arial"/>
                <w:sz w:val="16"/>
                <w:szCs w:val="16"/>
                <w:color w:val="auto"/>
              </w:rPr>
              <w:t>Corporate debt securities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6.3</w:t>
            </w:r>
          </w:p>
        </w:tc>
        <w:tc>
          <w:tcPr>
            <w:tcW w:w="32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b w:val="1"/>
                <w:bCs w:val="1"/>
                <w:color w:val="auto"/>
              </w:rPr>
              <w:t>6.2</w:t>
            </w:r>
          </w:p>
        </w:tc>
        <w:tc>
          <w:tcPr>
            <w:tcW w:w="14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6.3</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6.3</w:t>
            </w:r>
          </w:p>
        </w:tc>
        <w:tc>
          <w:tcPr>
            <w:tcW w:w="0" w:type="dxa"/>
            <w:vAlign w:val="bottom"/>
          </w:tcPr>
          <w:p>
            <w:pPr>
              <w:spacing w:after="0"/>
              <w:rPr>
                <w:sz w:val="1"/>
                <w:szCs w:val="1"/>
                <w:color w:val="auto"/>
              </w:rPr>
            </w:pPr>
          </w:p>
        </w:tc>
      </w:tr>
      <w:tr>
        <w:trPr>
          <w:trHeight w:val="217"/>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Asset-backed securities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3.2</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3.4</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w:t>
            </w:r>
          </w:p>
        </w:tc>
        <w:tc>
          <w:tcPr>
            <w:tcW w:w="0" w:type="dxa"/>
            <w:vAlign w:val="bottom"/>
          </w:tcPr>
          <w:p>
            <w:pPr>
              <w:spacing w:after="0"/>
              <w:rPr>
                <w:sz w:val="1"/>
                <w:szCs w:val="1"/>
                <w:color w:val="auto"/>
              </w:rPr>
            </w:pPr>
          </w:p>
        </w:tc>
      </w:tr>
      <w:tr>
        <w:trPr>
          <w:trHeight w:val="215"/>
        </w:trPr>
        <w:tc>
          <w:tcPr>
            <w:tcW w:w="38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securities</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29.6</w:t>
            </w:r>
          </w:p>
        </w:tc>
        <w:tc>
          <w:tcPr>
            <w:tcW w:w="3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99"/>
              <w:spacing w:after="0"/>
              <w:rPr>
                <w:sz w:val="20"/>
                <w:szCs w:val="20"/>
                <w:color w:val="auto"/>
              </w:rPr>
            </w:pPr>
            <w:r>
              <w:rPr>
                <w:rFonts w:ascii="Arial" w:cs="Arial" w:eastAsia="Arial" w:hAnsi="Arial"/>
                <w:sz w:val="16"/>
                <w:szCs w:val="16"/>
                <w:b w:val="1"/>
                <w:bCs w:val="1"/>
                <w:color w:val="auto"/>
              </w:rPr>
              <w:t>29.6</w:t>
            </w:r>
          </w:p>
        </w:tc>
        <w:tc>
          <w:tcPr>
            <w:tcW w:w="14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b w:val="1"/>
                <w:bCs w:val="1"/>
                <w:color w:val="auto"/>
              </w:rPr>
              <w:t>20.9</w:t>
            </w: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8.7</w:t>
            </w:r>
          </w:p>
        </w:tc>
        <w:tc>
          <w:tcPr>
            <w:tcW w:w="34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29.6</w:t>
            </w:r>
          </w:p>
        </w:tc>
        <w:tc>
          <w:tcPr>
            <w:tcW w:w="0" w:type="dxa"/>
            <w:vAlign w:val="bottom"/>
          </w:tcPr>
          <w:p>
            <w:pPr>
              <w:spacing w:after="0"/>
              <w:rPr>
                <w:sz w:val="1"/>
                <w:szCs w:val="1"/>
                <w:color w:val="auto"/>
              </w:rPr>
            </w:pPr>
          </w:p>
        </w:tc>
      </w:tr>
      <w:tr>
        <w:trPr>
          <w:trHeight w:val="217"/>
        </w:trPr>
        <w:tc>
          <w:tcPr>
            <w:tcW w:w="3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Short-term investments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51.2</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3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investments: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20" w:type="dxa"/>
            <w:vAlign w:val="bottom"/>
          </w:tcPr>
          <w:p>
            <w:pPr>
              <w:ind w:left="140"/>
              <w:spacing w:after="0"/>
              <w:rPr>
                <w:sz w:val="20"/>
                <w:szCs w:val="20"/>
                <w:color w:val="auto"/>
              </w:rPr>
            </w:pPr>
            <w:r>
              <w:rPr>
                <w:rFonts w:ascii="Arial" w:cs="Arial" w:eastAsia="Arial" w:hAnsi="Arial"/>
                <w:sz w:val="16"/>
                <w:szCs w:val="16"/>
                <w:color w:val="auto"/>
              </w:rPr>
              <w:t>U.S. government and agency securities</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131.9</w:t>
            </w:r>
          </w:p>
        </w:tc>
        <w:tc>
          <w:tcPr>
            <w:tcW w:w="3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99"/>
              <w:spacing w:after="0"/>
              <w:rPr>
                <w:sz w:val="20"/>
                <w:szCs w:val="20"/>
                <w:color w:val="auto"/>
              </w:rPr>
            </w:pPr>
            <w:r>
              <w:rPr>
                <w:rFonts w:ascii="Arial" w:cs="Arial" w:eastAsia="Arial" w:hAnsi="Arial"/>
                <w:sz w:val="16"/>
                <w:szCs w:val="16"/>
                <w:b w:val="1"/>
                <w:bCs w:val="1"/>
                <w:color w:val="auto"/>
              </w:rPr>
              <w:t>130.0</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131.9</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131.9</w:t>
            </w:r>
          </w:p>
        </w:tc>
        <w:tc>
          <w:tcPr>
            <w:tcW w:w="0" w:type="dxa"/>
            <w:vAlign w:val="bottom"/>
          </w:tcPr>
          <w:p>
            <w:pPr>
              <w:spacing w:after="0"/>
              <w:rPr>
                <w:sz w:val="1"/>
                <w:szCs w:val="1"/>
                <w:color w:val="auto"/>
              </w:rPr>
            </w:pPr>
          </w:p>
        </w:tc>
      </w:tr>
      <w:tr>
        <w:trPr>
          <w:trHeight w:val="217"/>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Corporate debt securities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219.3</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213.1</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219.3</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219.3</w:t>
            </w:r>
          </w:p>
        </w:tc>
        <w:tc>
          <w:tcPr>
            <w:tcW w:w="0" w:type="dxa"/>
            <w:vAlign w:val="bottom"/>
          </w:tcPr>
          <w:p>
            <w:pPr>
              <w:spacing w:after="0"/>
              <w:rPr>
                <w:sz w:val="1"/>
                <w:szCs w:val="1"/>
                <w:color w:val="auto"/>
              </w:rPr>
            </w:pPr>
          </w:p>
        </w:tc>
      </w:tr>
      <w:tr>
        <w:trPr>
          <w:trHeight w:val="215"/>
        </w:trPr>
        <w:tc>
          <w:tcPr>
            <w:tcW w:w="3820" w:type="dxa"/>
            <w:vAlign w:val="bottom"/>
          </w:tcPr>
          <w:p>
            <w:pPr>
              <w:ind w:left="140"/>
              <w:spacing w:after="0"/>
              <w:rPr>
                <w:sz w:val="20"/>
                <w:szCs w:val="20"/>
                <w:color w:val="auto"/>
              </w:rPr>
            </w:pPr>
            <w:r>
              <w:rPr>
                <w:rFonts w:ascii="Arial" w:cs="Arial" w:eastAsia="Arial" w:hAnsi="Arial"/>
                <w:sz w:val="16"/>
                <w:szCs w:val="16"/>
                <w:color w:val="auto"/>
              </w:rPr>
              <w:t>Mortgage-backed securities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111.0</w:t>
            </w:r>
          </w:p>
        </w:tc>
        <w:tc>
          <w:tcPr>
            <w:tcW w:w="32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b w:val="1"/>
                <w:bCs w:val="1"/>
                <w:color w:val="auto"/>
              </w:rPr>
              <w:t>107.8</w:t>
            </w:r>
          </w:p>
        </w:tc>
        <w:tc>
          <w:tcPr>
            <w:tcW w:w="14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111.0</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111.0</w:t>
            </w:r>
          </w:p>
        </w:tc>
        <w:tc>
          <w:tcPr>
            <w:tcW w:w="0" w:type="dxa"/>
            <w:vAlign w:val="bottom"/>
          </w:tcPr>
          <w:p>
            <w:pPr>
              <w:spacing w:after="0"/>
              <w:rPr>
                <w:sz w:val="1"/>
                <w:szCs w:val="1"/>
                <w:color w:val="auto"/>
              </w:rPr>
            </w:pPr>
          </w:p>
        </w:tc>
      </w:tr>
      <w:tr>
        <w:trPr>
          <w:trHeight w:val="217"/>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Asset-backed securities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19.1</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18.9</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19.1</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19.1</w:t>
            </w:r>
          </w:p>
        </w:tc>
        <w:tc>
          <w:tcPr>
            <w:tcW w:w="0" w:type="dxa"/>
            <w:vAlign w:val="bottom"/>
          </w:tcPr>
          <w:p>
            <w:pPr>
              <w:spacing w:after="0"/>
              <w:rPr>
                <w:sz w:val="1"/>
                <w:szCs w:val="1"/>
                <w:color w:val="auto"/>
              </w:rPr>
            </w:pPr>
          </w:p>
        </w:tc>
      </w:tr>
      <w:tr>
        <w:trPr>
          <w:trHeight w:val="215"/>
        </w:trPr>
        <w:tc>
          <w:tcPr>
            <w:tcW w:w="3820" w:type="dxa"/>
            <w:vAlign w:val="bottom"/>
          </w:tcPr>
          <w:p>
            <w:pPr>
              <w:ind w:left="140"/>
              <w:spacing w:after="0"/>
              <w:rPr>
                <w:sz w:val="20"/>
                <w:szCs w:val="20"/>
                <w:color w:val="auto"/>
              </w:rPr>
            </w:pPr>
            <w:r>
              <w:rPr>
                <w:rFonts w:ascii="Arial" w:cs="Arial" w:eastAsia="Arial" w:hAnsi="Arial"/>
                <w:sz w:val="16"/>
                <w:szCs w:val="16"/>
                <w:color w:val="auto"/>
              </w:rPr>
              <w:t>Other securities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103.6</w:t>
            </w:r>
          </w:p>
        </w:tc>
        <w:tc>
          <w:tcPr>
            <w:tcW w:w="32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b w:val="1"/>
                <w:bCs w:val="1"/>
                <w:color w:val="auto"/>
              </w:rPr>
              <w:t>21.3</w:t>
            </w:r>
          </w:p>
        </w:tc>
        <w:tc>
          <w:tcPr>
            <w:tcW w:w="14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103.6</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103.6</w:t>
            </w:r>
          </w:p>
        </w:tc>
        <w:tc>
          <w:tcPr>
            <w:tcW w:w="0" w:type="dxa"/>
            <w:vAlign w:val="bottom"/>
          </w:tcPr>
          <w:p>
            <w:pPr>
              <w:spacing w:after="0"/>
              <w:rPr>
                <w:sz w:val="1"/>
                <w:szCs w:val="1"/>
                <w:color w:val="auto"/>
              </w:rPr>
            </w:pPr>
          </w:p>
        </w:tc>
      </w:tr>
      <w:tr>
        <w:trPr>
          <w:trHeight w:val="217"/>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Marketable equity securities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1,687.3</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361.8</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1,687.3</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1,687.3</w:t>
            </w:r>
          </w:p>
        </w:tc>
        <w:tc>
          <w:tcPr>
            <w:tcW w:w="0" w:type="dxa"/>
            <w:vAlign w:val="bottom"/>
          </w:tcPr>
          <w:p>
            <w:pPr>
              <w:spacing w:after="0"/>
              <w:rPr>
                <w:sz w:val="1"/>
                <w:szCs w:val="1"/>
                <w:color w:val="auto"/>
              </w:rPr>
            </w:pPr>
          </w:p>
        </w:tc>
      </w:tr>
      <w:tr>
        <w:trPr>
          <w:trHeight w:val="162"/>
        </w:trPr>
        <w:tc>
          <w:tcPr>
            <w:tcW w:w="3820" w:type="dxa"/>
            <w:vAlign w:val="bottom"/>
          </w:tcPr>
          <w:p>
            <w:pPr>
              <w:ind w:left="140"/>
              <w:spacing w:after="0" w:line="162" w:lineRule="exact"/>
              <w:rPr>
                <w:sz w:val="20"/>
                <w:szCs w:val="20"/>
                <w:color w:val="auto"/>
              </w:rPr>
            </w:pPr>
            <w:r>
              <w:rPr>
                <w:rFonts w:ascii="Arial" w:cs="Arial" w:eastAsia="Arial" w:hAnsi="Arial"/>
                <w:sz w:val="16"/>
                <w:szCs w:val="16"/>
                <w:color w:val="auto"/>
              </w:rPr>
              <w:t>Equity investments without readily determinable</w:t>
            </w:r>
          </w:p>
        </w:tc>
        <w:tc>
          <w:tcPr>
            <w:tcW w:w="2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466.0</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fair values </w:t>
            </w:r>
            <w:r>
              <w:rPr>
                <w:rFonts w:ascii="Arial" w:cs="Arial" w:eastAsia="Arial" w:hAnsi="Arial"/>
                <w:sz w:val="21"/>
                <w:szCs w:val="21"/>
                <w:color w:val="auto"/>
                <w:vertAlign w:val="superscript"/>
              </w:rPr>
              <w:t>(2)</w:t>
            </w:r>
          </w:p>
        </w:tc>
        <w:tc>
          <w:tcPr>
            <w:tcW w:w="2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40"/>
              <w:spacing w:after="0" w:line="216" w:lineRule="exact"/>
              <w:rPr>
                <w:sz w:val="20"/>
                <w:szCs w:val="20"/>
                <w:color w:val="auto"/>
              </w:rPr>
            </w:pPr>
            <w:r>
              <w:rPr>
                <w:rFonts w:ascii="Arial" w:cs="Arial" w:eastAsia="Arial" w:hAnsi="Arial"/>
                <w:sz w:val="16"/>
                <w:szCs w:val="16"/>
                <w:color w:val="auto"/>
              </w:rPr>
              <w:t xml:space="preserve">Equity method investments </w:t>
            </w:r>
            <w:r>
              <w:rPr>
                <w:rFonts w:ascii="Arial" w:cs="Arial" w:eastAsia="Arial" w:hAnsi="Arial"/>
                <w:sz w:val="21"/>
                <w:szCs w:val="21"/>
                <w:color w:val="auto"/>
                <w:vertAlign w:val="superscript"/>
              </w:rPr>
              <w:t>(2)</w:t>
            </w: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736.7</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Noncurrent investments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3,474.9</w:t>
            </w:r>
          </w:p>
        </w:tc>
        <w:tc>
          <w:tcPr>
            <w:tcW w:w="3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38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3820" w:type="dxa"/>
            <w:vAlign w:val="bottom"/>
          </w:tcPr>
          <w:p>
            <w:pPr>
              <w:ind w:left="20"/>
              <w:spacing w:after="0"/>
              <w:rPr>
                <w:sz w:val="20"/>
                <w:szCs w:val="20"/>
                <w:color w:val="auto"/>
              </w:rPr>
            </w:pPr>
            <w:r>
              <w:rPr>
                <w:rFonts w:ascii="Arial" w:cs="Arial" w:eastAsia="Arial" w:hAnsi="Arial"/>
                <w:sz w:val="16"/>
                <w:szCs w:val="16"/>
                <w:b w:val="1"/>
                <w:bCs w:val="1"/>
                <w:color w:val="auto"/>
              </w:rPr>
              <w:t>December 31, 2020</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equivalents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2,097.9</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2,097.9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2,097.9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2,097.9</w:t>
            </w:r>
          </w:p>
        </w:tc>
        <w:tc>
          <w:tcPr>
            <w:tcW w:w="0" w:type="dxa"/>
            <w:vAlign w:val="bottom"/>
          </w:tcPr>
          <w:p>
            <w:pPr>
              <w:spacing w:after="0"/>
              <w:rPr>
                <w:sz w:val="1"/>
                <w:szCs w:val="1"/>
                <w:color w:val="auto"/>
              </w:rPr>
            </w:pPr>
          </w:p>
        </w:tc>
      </w:tr>
      <w:tr>
        <w:trPr>
          <w:trHeight w:val="94"/>
        </w:trPr>
        <w:tc>
          <w:tcPr>
            <w:tcW w:w="3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Short-term investments: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20" w:type="dxa"/>
            <w:vAlign w:val="bottom"/>
          </w:tcPr>
          <w:p>
            <w:pPr>
              <w:ind w:left="140"/>
              <w:spacing w:after="0"/>
              <w:rPr>
                <w:sz w:val="20"/>
                <w:szCs w:val="20"/>
                <w:color w:val="auto"/>
              </w:rPr>
            </w:pPr>
            <w:r>
              <w:rPr>
                <w:rFonts w:ascii="Arial" w:cs="Arial" w:eastAsia="Arial" w:hAnsi="Arial"/>
                <w:sz w:val="16"/>
                <w:szCs w:val="16"/>
                <w:color w:val="auto"/>
              </w:rPr>
              <w:t>U.S. government and agency securities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9.9</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9.9</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9.9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Corporate debt securities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2.8</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2.8</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3"/>
        </w:trPr>
        <w:tc>
          <w:tcPr>
            <w:tcW w:w="3820" w:type="dxa"/>
            <w:vAlign w:val="bottom"/>
          </w:tcPr>
          <w:p>
            <w:pPr>
              <w:ind w:left="140"/>
              <w:spacing w:after="0"/>
              <w:rPr>
                <w:sz w:val="20"/>
                <w:szCs w:val="20"/>
                <w:color w:val="auto"/>
              </w:rPr>
            </w:pPr>
            <w:r>
              <w:rPr>
                <w:rFonts w:ascii="Arial" w:cs="Arial" w:eastAsia="Arial" w:hAnsi="Arial"/>
                <w:sz w:val="16"/>
                <w:szCs w:val="16"/>
                <w:color w:val="auto"/>
              </w:rPr>
              <w:t>Asset-backed securities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w:t>
            </w:r>
          </w:p>
        </w:tc>
        <w:tc>
          <w:tcPr>
            <w:tcW w:w="32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1.2</w:t>
            </w:r>
          </w:p>
        </w:tc>
        <w:tc>
          <w:tcPr>
            <w:tcW w:w="14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1.2</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securities</w:t>
            </w: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10.3</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20"/>
        </w:trPr>
        <w:tc>
          <w:tcPr>
            <w:tcW w:w="38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Short-term investments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w:t>
            </w:r>
          </w:p>
        </w:tc>
        <w:tc>
          <w:tcPr>
            <w:tcW w:w="32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38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3820" w:type="dxa"/>
            <w:vAlign w:val="bottom"/>
          </w:tcPr>
          <w:p>
            <w:pPr>
              <w:ind w:left="20"/>
              <w:spacing w:after="0"/>
              <w:rPr>
                <w:sz w:val="20"/>
                <w:szCs w:val="20"/>
                <w:color w:val="auto"/>
              </w:rPr>
            </w:pPr>
            <w:r>
              <w:rPr>
                <w:rFonts w:ascii="Arial" w:cs="Arial" w:eastAsia="Arial" w:hAnsi="Arial"/>
                <w:sz w:val="16"/>
                <w:szCs w:val="16"/>
                <w:color w:val="auto"/>
              </w:rPr>
              <w:t>Noncurrent investments: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U.S. government and agency securities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78.7</w:t>
            </w:r>
          </w:p>
        </w:tc>
        <w:tc>
          <w:tcPr>
            <w:tcW w:w="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74.3</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78.7</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78.7</w:t>
            </w:r>
          </w:p>
        </w:tc>
        <w:tc>
          <w:tcPr>
            <w:tcW w:w="0" w:type="dxa"/>
            <w:vAlign w:val="bottom"/>
          </w:tcPr>
          <w:p>
            <w:pPr>
              <w:spacing w:after="0"/>
              <w:rPr>
                <w:sz w:val="1"/>
                <w:szCs w:val="1"/>
                <w:color w:val="auto"/>
              </w:rPr>
            </w:pPr>
          </w:p>
        </w:tc>
      </w:tr>
      <w:tr>
        <w:trPr>
          <w:trHeight w:val="213"/>
        </w:trPr>
        <w:tc>
          <w:tcPr>
            <w:tcW w:w="3820" w:type="dxa"/>
            <w:vAlign w:val="bottom"/>
          </w:tcPr>
          <w:p>
            <w:pPr>
              <w:ind w:left="140"/>
              <w:spacing w:after="0"/>
              <w:rPr>
                <w:sz w:val="20"/>
                <w:szCs w:val="20"/>
                <w:color w:val="auto"/>
              </w:rPr>
            </w:pPr>
            <w:r>
              <w:rPr>
                <w:rFonts w:ascii="Arial" w:cs="Arial" w:eastAsia="Arial" w:hAnsi="Arial"/>
                <w:sz w:val="16"/>
                <w:szCs w:val="16"/>
                <w:color w:val="auto"/>
              </w:rPr>
              <w:t>Corporate debt securities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137.0</w:t>
            </w:r>
          </w:p>
        </w:tc>
        <w:tc>
          <w:tcPr>
            <w:tcW w:w="32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126.8</w:t>
            </w:r>
          </w:p>
        </w:tc>
        <w:tc>
          <w:tcPr>
            <w:tcW w:w="14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137.0</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137.0</w:t>
            </w: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Mortgage-backed securities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106.4</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101.4</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106.4</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106.4</w:t>
            </w:r>
          </w:p>
        </w:tc>
        <w:tc>
          <w:tcPr>
            <w:tcW w:w="0" w:type="dxa"/>
            <w:vAlign w:val="bottom"/>
          </w:tcPr>
          <w:p>
            <w:pPr>
              <w:spacing w:after="0"/>
              <w:rPr>
                <w:sz w:val="1"/>
                <w:szCs w:val="1"/>
                <w:color w:val="auto"/>
              </w:rPr>
            </w:pPr>
          </w:p>
        </w:tc>
      </w:tr>
      <w:tr>
        <w:trPr>
          <w:trHeight w:val="213"/>
        </w:trPr>
        <w:tc>
          <w:tcPr>
            <w:tcW w:w="3820" w:type="dxa"/>
            <w:vAlign w:val="bottom"/>
          </w:tcPr>
          <w:p>
            <w:pPr>
              <w:ind w:left="140"/>
              <w:spacing w:after="0"/>
              <w:rPr>
                <w:sz w:val="20"/>
                <w:szCs w:val="20"/>
                <w:color w:val="auto"/>
              </w:rPr>
            </w:pPr>
            <w:r>
              <w:rPr>
                <w:rFonts w:ascii="Arial" w:cs="Arial" w:eastAsia="Arial" w:hAnsi="Arial"/>
                <w:sz w:val="16"/>
                <w:szCs w:val="16"/>
                <w:color w:val="auto"/>
              </w:rPr>
              <w:t>Asset-backed securities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24.3</w:t>
            </w:r>
          </w:p>
        </w:tc>
        <w:tc>
          <w:tcPr>
            <w:tcW w:w="32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23.7</w:t>
            </w:r>
          </w:p>
        </w:tc>
        <w:tc>
          <w:tcPr>
            <w:tcW w:w="14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24.3</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securities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110.5</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31.8</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110.5</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110.5</w:t>
            </w:r>
          </w:p>
        </w:tc>
        <w:tc>
          <w:tcPr>
            <w:tcW w:w="0" w:type="dxa"/>
            <w:vAlign w:val="bottom"/>
          </w:tcPr>
          <w:p>
            <w:pPr>
              <w:spacing w:after="0"/>
              <w:rPr>
                <w:sz w:val="1"/>
                <w:szCs w:val="1"/>
                <w:color w:val="auto"/>
              </w:rPr>
            </w:pPr>
          </w:p>
        </w:tc>
      </w:tr>
      <w:tr>
        <w:trPr>
          <w:trHeight w:val="213"/>
        </w:trPr>
        <w:tc>
          <w:tcPr>
            <w:tcW w:w="3820" w:type="dxa"/>
            <w:vAlign w:val="bottom"/>
          </w:tcPr>
          <w:p>
            <w:pPr>
              <w:ind w:left="140"/>
              <w:spacing w:after="0"/>
              <w:rPr>
                <w:sz w:val="20"/>
                <w:szCs w:val="20"/>
                <w:color w:val="auto"/>
              </w:rPr>
            </w:pPr>
            <w:r>
              <w:rPr>
                <w:rFonts w:ascii="Arial" w:cs="Arial" w:eastAsia="Arial" w:hAnsi="Arial"/>
                <w:sz w:val="16"/>
                <w:szCs w:val="16"/>
                <w:color w:val="auto"/>
              </w:rPr>
              <w:t>Marketable equity securities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1,664.2</w:t>
            </w:r>
          </w:p>
        </w:tc>
        <w:tc>
          <w:tcPr>
            <w:tcW w:w="32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311.6</w:t>
            </w:r>
          </w:p>
        </w:tc>
        <w:tc>
          <w:tcPr>
            <w:tcW w:w="14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1,664.2</w:t>
            </w:r>
          </w:p>
        </w:tc>
        <w:tc>
          <w:tcPr>
            <w:tcW w:w="22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1,664.2</w:t>
            </w:r>
          </w:p>
        </w:tc>
        <w:tc>
          <w:tcPr>
            <w:tcW w:w="0" w:type="dxa"/>
            <w:vAlign w:val="bottom"/>
          </w:tcPr>
          <w:p>
            <w:pPr>
              <w:spacing w:after="0"/>
              <w:rPr>
                <w:sz w:val="1"/>
                <w:szCs w:val="1"/>
                <w:color w:val="auto"/>
              </w:rPr>
            </w:pPr>
          </w:p>
        </w:tc>
      </w:tr>
      <w:tr>
        <w:trPr>
          <w:trHeight w:val="165"/>
        </w:trPr>
        <w:tc>
          <w:tcPr>
            <w:tcW w:w="3820" w:type="dxa"/>
            <w:vAlign w:val="bottom"/>
            <w:shd w:val="clear" w:color="auto" w:fill="CCEEFF"/>
          </w:tcPr>
          <w:p>
            <w:pPr>
              <w:ind w:left="140"/>
              <w:spacing w:after="0" w:line="165" w:lineRule="exact"/>
              <w:rPr>
                <w:sz w:val="20"/>
                <w:szCs w:val="20"/>
                <w:color w:val="auto"/>
              </w:rPr>
            </w:pPr>
            <w:r>
              <w:rPr>
                <w:rFonts w:ascii="Arial" w:cs="Arial" w:eastAsia="Arial" w:hAnsi="Arial"/>
                <w:sz w:val="16"/>
                <w:szCs w:val="16"/>
                <w:color w:val="auto"/>
              </w:rPr>
              <w:t>Equity investments without readily determinable</w:t>
            </w: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40"/>
              <w:spacing w:after="0" w:line="216" w:lineRule="exact"/>
              <w:rPr>
                <w:sz w:val="20"/>
                <w:szCs w:val="20"/>
                <w:color w:val="auto"/>
              </w:rPr>
            </w:pPr>
            <w:r>
              <w:rPr>
                <w:rFonts w:ascii="Arial" w:cs="Arial" w:eastAsia="Arial" w:hAnsi="Arial"/>
                <w:sz w:val="16"/>
                <w:szCs w:val="16"/>
                <w:color w:val="auto"/>
              </w:rPr>
              <w:t xml:space="preserve">fair values </w:t>
            </w:r>
            <w:r>
              <w:rPr>
                <w:rFonts w:ascii="Arial" w:cs="Arial" w:eastAsia="Arial" w:hAnsi="Arial"/>
                <w:sz w:val="21"/>
                <w:szCs w:val="21"/>
                <w:color w:val="auto"/>
                <w:vertAlign w:val="superscript"/>
              </w:rPr>
              <w:t>(2)</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373.9</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Borders>
              <w:bottom w:val="single" w:sz="8" w:color="CCEEFF"/>
            </w:tcBorders>
          </w:tcPr>
          <w:p>
            <w:pPr>
              <w:ind w:left="140"/>
              <w:spacing w:after="0" w:line="216" w:lineRule="exact"/>
              <w:rPr>
                <w:sz w:val="20"/>
                <w:szCs w:val="20"/>
                <w:color w:val="auto"/>
              </w:rPr>
            </w:pPr>
            <w:r>
              <w:rPr>
                <w:rFonts w:ascii="Arial" w:cs="Arial" w:eastAsia="Arial" w:hAnsi="Arial"/>
                <w:sz w:val="16"/>
                <w:szCs w:val="16"/>
                <w:color w:val="auto"/>
              </w:rPr>
              <w:t xml:space="preserve">Equity method investments </w:t>
            </w:r>
            <w:r>
              <w:rPr>
                <w:rFonts w:ascii="Arial" w:cs="Arial" w:eastAsia="Arial" w:hAnsi="Arial"/>
                <w:sz w:val="21"/>
                <w:szCs w:val="21"/>
                <w:color w:val="auto"/>
                <w:vertAlign w:val="superscript"/>
              </w:rPr>
              <w:t>(2)</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471.8</w:t>
            </w:r>
          </w:p>
        </w:tc>
        <w:tc>
          <w:tcPr>
            <w:tcW w:w="3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Noncurrent investments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2,966.8</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140" w:hanging="132"/>
        <w:spacing w:after="0"/>
        <w:tabs>
          <w:tab w:leader="none" w:pos="140" w:val="left"/>
        </w:tabs>
        <w:numPr>
          <w:ilvl w:val="0"/>
          <w:numId w:val="13"/>
        </w:numPr>
        <w:rPr>
          <w:rFonts w:ascii="Arial" w:cs="Arial" w:eastAsia="Arial" w:hAnsi="Arial"/>
          <w:sz w:val="9"/>
          <w:szCs w:val="9"/>
          <w:color w:val="auto"/>
        </w:rPr>
      </w:pPr>
      <w:r>
        <w:rPr>
          <w:rFonts w:ascii="Arial" w:cs="Arial" w:eastAsia="Arial" w:hAnsi="Arial"/>
          <w:sz w:val="14"/>
          <w:szCs w:val="14"/>
          <w:color w:val="auto"/>
        </w:rPr>
        <w:t>For available-for-sale debt securities, amounts disclosed represent the securities' amortized cost.</w:t>
      </w:r>
    </w:p>
    <w:p>
      <w:pPr>
        <w:spacing w:after="0" w:line="55" w:lineRule="exact"/>
        <w:rPr>
          <w:rFonts w:ascii="Arial" w:cs="Arial" w:eastAsia="Arial" w:hAnsi="Arial"/>
          <w:sz w:val="9"/>
          <w:szCs w:val="9"/>
          <w:color w:val="auto"/>
        </w:rPr>
      </w:pPr>
    </w:p>
    <w:p>
      <w:pPr>
        <w:ind w:left="140" w:hanging="132"/>
        <w:spacing w:after="0"/>
        <w:tabs>
          <w:tab w:leader="none" w:pos="140" w:val="left"/>
        </w:tabs>
        <w:numPr>
          <w:ilvl w:val="0"/>
          <w:numId w:val="13"/>
        </w:numPr>
        <w:rPr>
          <w:rFonts w:ascii="Arial" w:cs="Arial" w:eastAsia="Arial" w:hAnsi="Arial"/>
          <w:sz w:val="9"/>
          <w:szCs w:val="9"/>
          <w:color w:val="auto"/>
        </w:rPr>
      </w:pPr>
      <w:r>
        <w:rPr>
          <w:rFonts w:ascii="Arial" w:cs="Arial" w:eastAsia="Arial" w:hAnsi="Arial"/>
          <w:sz w:val="14"/>
          <w:szCs w:val="14"/>
          <w:color w:val="auto"/>
        </w:rPr>
        <w:t>Fair value disclosures are not applicable for equity method investments and investments accounted for under the measurement alternative for equity investments.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2" w:right="35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89"/>
        </w:trPr>
        <w:tc>
          <w:tcPr>
            <w:tcW w:w="3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920" w:type="dxa"/>
            <w:vAlign w:val="bottom"/>
            <w:tcBorders>
              <w:bottom w:val="single" w:sz="8" w:color="auto"/>
            </w:tcBorders>
            <w:gridSpan w:val="5"/>
          </w:tcPr>
          <w:p>
            <w:pPr>
              <w:ind w:left="800"/>
              <w:spacing w:after="0"/>
              <w:rPr>
                <w:sz w:val="20"/>
                <w:szCs w:val="20"/>
                <w:color w:val="auto"/>
              </w:rPr>
            </w:pPr>
            <w:r>
              <w:rPr>
                <w:rFonts w:ascii="Arial" w:cs="Arial" w:eastAsia="Arial" w:hAnsi="Arial"/>
                <w:sz w:val="14"/>
                <w:szCs w:val="14"/>
                <w:b w:val="1"/>
                <w:bCs w:val="1"/>
                <w:color w:val="auto"/>
              </w:rPr>
              <w:t>Fair Value Measurements Using</w:t>
            </w: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9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rPr>
              <w:t>Quoted Prices in</w:t>
            </w:r>
          </w:p>
        </w:tc>
        <w:tc>
          <w:tcPr>
            <w:tcW w:w="260" w:type="dxa"/>
            <w:vAlign w:val="bottom"/>
          </w:tcPr>
          <w:p>
            <w:pPr>
              <w:spacing w:after="0"/>
              <w:rPr>
                <w:sz w:val="12"/>
                <w:szCs w:val="12"/>
                <w:color w:val="auto"/>
              </w:rPr>
            </w:pPr>
          </w:p>
        </w:tc>
        <w:tc>
          <w:tcPr>
            <w:tcW w:w="1160" w:type="dxa"/>
            <w:vAlign w:val="bottom"/>
            <w:vMerge w:val="restart"/>
          </w:tcPr>
          <w:p>
            <w:pPr>
              <w:jc w:val="center"/>
              <w:ind w:right="178"/>
              <w:spacing w:after="0"/>
              <w:rPr>
                <w:sz w:val="20"/>
                <w:szCs w:val="20"/>
                <w:color w:val="auto"/>
              </w:rPr>
            </w:pPr>
            <w:r>
              <w:rPr>
                <w:rFonts w:ascii="Arial" w:cs="Arial" w:eastAsia="Arial" w:hAnsi="Arial"/>
                <w:sz w:val="14"/>
                <w:szCs w:val="14"/>
                <w:b w:val="1"/>
                <w:bCs w:val="1"/>
                <w:color w:val="auto"/>
              </w:rPr>
              <w:t>Significant</w:t>
            </w:r>
          </w:p>
        </w:tc>
        <w:tc>
          <w:tcPr>
            <w:tcW w:w="220" w:type="dxa"/>
            <w:vAlign w:val="bottom"/>
          </w:tcPr>
          <w:p>
            <w:pPr>
              <w:spacing w:after="0"/>
              <w:rPr>
                <w:sz w:val="12"/>
                <w:szCs w:val="12"/>
                <w:color w:val="auto"/>
              </w:rPr>
            </w:pPr>
          </w:p>
        </w:tc>
        <w:tc>
          <w:tcPr>
            <w:tcW w:w="1180" w:type="dxa"/>
            <w:vAlign w:val="bottom"/>
            <w:vMerge w:val="restart"/>
          </w:tcPr>
          <w:p>
            <w:pPr>
              <w:jc w:val="center"/>
              <w:ind w:right="79"/>
              <w:spacing w:after="0"/>
              <w:rPr>
                <w:sz w:val="20"/>
                <w:szCs w:val="20"/>
                <w:color w:val="auto"/>
              </w:rPr>
            </w:pPr>
            <w:r>
              <w:rPr>
                <w:rFonts w:ascii="Arial" w:cs="Arial" w:eastAsia="Arial" w:hAnsi="Arial"/>
                <w:sz w:val="14"/>
                <w:szCs w:val="14"/>
                <w:b w:val="1"/>
                <w:bCs w:val="1"/>
                <w:color w:val="auto"/>
              </w:rPr>
              <w:t>Significant</w:t>
            </w:r>
          </w:p>
        </w:tc>
        <w:tc>
          <w:tcPr>
            <w:tcW w:w="3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9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Active Markets</w:t>
            </w:r>
          </w:p>
        </w:tc>
        <w:tc>
          <w:tcPr>
            <w:tcW w:w="26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8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1"/>
                <w:szCs w:val="11"/>
                <w:color w:val="auto"/>
              </w:rPr>
            </w:pPr>
          </w:p>
        </w:tc>
        <w:tc>
          <w:tcPr>
            <w:tcW w:w="1100" w:type="dxa"/>
            <w:vAlign w:val="bottom"/>
          </w:tcPr>
          <w:p>
            <w:pPr>
              <w:jc w:val="center"/>
              <w:ind w:right="119"/>
              <w:spacing w:after="0" w:line="135" w:lineRule="exact"/>
              <w:rPr>
                <w:sz w:val="20"/>
                <w:szCs w:val="20"/>
                <w:color w:val="auto"/>
              </w:rPr>
            </w:pPr>
            <w:r>
              <w:rPr>
                <w:rFonts w:ascii="Arial" w:cs="Arial" w:eastAsia="Arial" w:hAnsi="Arial"/>
                <w:sz w:val="14"/>
                <w:szCs w:val="14"/>
                <w:b w:val="1"/>
                <w:bCs w:val="1"/>
                <w:color w:val="auto"/>
              </w:rPr>
              <w:t>for Identical</w:t>
            </w:r>
          </w:p>
        </w:tc>
        <w:tc>
          <w:tcPr>
            <w:tcW w:w="14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Other Observable</w:t>
            </w:r>
          </w:p>
        </w:tc>
        <w:tc>
          <w:tcPr>
            <w:tcW w:w="220" w:type="dxa"/>
            <w:vAlign w:val="bottom"/>
          </w:tcPr>
          <w:p>
            <w:pPr>
              <w:spacing w:after="0"/>
              <w:rPr>
                <w:sz w:val="11"/>
                <w:szCs w:val="11"/>
                <w:color w:val="auto"/>
              </w:rPr>
            </w:pPr>
          </w:p>
        </w:tc>
        <w:tc>
          <w:tcPr>
            <w:tcW w:w="1180" w:type="dxa"/>
            <w:vAlign w:val="bottom"/>
          </w:tcPr>
          <w:p>
            <w:pPr>
              <w:jc w:val="center"/>
              <w:ind w:right="59"/>
              <w:spacing w:after="0" w:line="135" w:lineRule="exact"/>
              <w:rPr>
                <w:sz w:val="20"/>
                <w:szCs w:val="20"/>
                <w:color w:val="auto"/>
              </w:rPr>
            </w:pPr>
            <w:r>
              <w:rPr>
                <w:rFonts w:ascii="Arial" w:cs="Arial" w:eastAsia="Arial" w:hAnsi="Arial"/>
                <w:sz w:val="14"/>
                <w:szCs w:val="14"/>
                <w:b w:val="1"/>
                <w:bCs w:val="1"/>
                <w:color w:val="auto"/>
              </w:rPr>
              <w:t>Unobservable</w:t>
            </w:r>
          </w:p>
        </w:tc>
        <w:tc>
          <w:tcPr>
            <w:tcW w:w="380" w:type="dxa"/>
            <w:vAlign w:val="bottom"/>
          </w:tcPr>
          <w:p>
            <w:pPr>
              <w:spacing w:after="0"/>
              <w:rPr>
                <w:sz w:val="11"/>
                <w:szCs w:val="11"/>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35"/>
        </w:trPr>
        <w:tc>
          <w:tcPr>
            <w:tcW w:w="39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center"/>
              <w:ind w:right="119"/>
              <w:spacing w:after="0" w:line="135" w:lineRule="exact"/>
              <w:rPr>
                <w:sz w:val="20"/>
                <w:szCs w:val="20"/>
                <w:color w:val="auto"/>
              </w:rPr>
            </w:pPr>
            <w:r>
              <w:rPr>
                <w:rFonts w:ascii="Arial" w:cs="Arial" w:eastAsia="Arial" w:hAnsi="Arial"/>
                <w:sz w:val="14"/>
                <w:szCs w:val="14"/>
                <w:b w:val="1"/>
                <w:bCs w:val="1"/>
                <w:color w:val="auto"/>
              </w:rPr>
              <w:t>Assets</w:t>
            </w:r>
          </w:p>
        </w:tc>
        <w:tc>
          <w:tcPr>
            <w:tcW w:w="260" w:type="dxa"/>
            <w:vAlign w:val="bottom"/>
          </w:tcPr>
          <w:p>
            <w:pPr>
              <w:spacing w:after="0"/>
              <w:rPr>
                <w:sz w:val="11"/>
                <w:szCs w:val="11"/>
                <w:color w:val="auto"/>
              </w:rPr>
            </w:pPr>
          </w:p>
        </w:tc>
        <w:tc>
          <w:tcPr>
            <w:tcW w:w="1160" w:type="dxa"/>
            <w:vAlign w:val="bottom"/>
          </w:tcPr>
          <w:p>
            <w:pPr>
              <w:jc w:val="center"/>
              <w:ind w:right="158"/>
              <w:spacing w:after="0" w:line="135" w:lineRule="exact"/>
              <w:rPr>
                <w:sz w:val="20"/>
                <w:szCs w:val="20"/>
                <w:color w:val="auto"/>
              </w:rPr>
            </w:pPr>
            <w:r>
              <w:rPr>
                <w:rFonts w:ascii="Arial" w:cs="Arial" w:eastAsia="Arial" w:hAnsi="Arial"/>
                <w:sz w:val="14"/>
                <w:szCs w:val="14"/>
                <w:b w:val="1"/>
                <w:bCs w:val="1"/>
                <w:color w:val="auto"/>
              </w:rPr>
              <w:t>Inputs</w:t>
            </w:r>
          </w:p>
        </w:tc>
        <w:tc>
          <w:tcPr>
            <w:tcW w:w="220" w:type="dxa"/>
            <w:vAlign w:val="bottom"/>
          </w:tcPr>
          <w:p>
            <w:pPr>
              <w:spacing w:after="0"/>
              <w:rPr>
                <w:sz w:val="11"/>
                <w:szCs w:val="11"/>
                <w:color w:val="auto"/>
              </w:rPr>
            </w:pPr>
          </w:p>
        </w:tc>
        <w:tc>
          <w:tcPr>
            <w:tcW w:w="1180" w:type="dxa"/>
            <w:vAlign w:val="bottom"/>
          </w:tcPr>
          <w:p>
            <w:pPr>
              <w:jc w:val="center"/>
              <w:ind w:right="59"/>
              <w:spacing w:after="0" w:line="135" w:lineRule="exact"/>
              <w:rPr>
                <w:sz w:val="20"/>
                <w:szCs w:val="20"/>
                <w:color w:val="auto"/>
              </w:rPr>
            </w:pPr>
            <w:r>
              <w:rPr>
                <w:rFonts w:ascii="Arial" w:cs="Arial" w:eastAsia="Arial" w:hAnsi="Arial"/>
                <w:sz w:val="14"/>
                <w:szCs w:val="14"/>
                <w:b w:val="1"/>
                <w:bCs w:val="1"/>
                <w:color w:val="auto"/>
              </w:rPr>
              <w:t>Inputs</w:t>
            </w:r>
          </w:p>
        </w:tc>
        <w:tc>
          <w:tcPr>
            <w:tcW w:w="38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80" w:type="dxa"/>
            <w:vAlign w:val="bottom"/>
          </w:tcPr>
          <w:p>
            <w:pPr>
              <w:jc w:val="right"/>
              <w:ind w:right="415"/>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5"/>
                <w:szCs w:val="15"/>
                <w:color w:val="auto"/>
              </w:rPr>
            </w:pPr>
          </w:p>
        </w:tc>
        <w:tc>
          <w:tcPr>
            <w:tcW w:w="1100" w:type="dxa"/>
            <w:vAlign w:val="bottom"/>
          </w:tcPr>
          <w:p>
            <w:pPr>
              <w:jc w:val="center"/>
              <w:ind w:right="119"/>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5"/>
                <w:szCs w:val="15"/>
                <w:color w:val="auto"/>
              </w:rPr>
            </w:pPr>
          </w:p>
        </w:tc>
        <w:tc>
          <w:tcPr>
            <w:tcW w:w="1160" w:type="dxa"/>
            <w:vAlign w:val="bottom"/>
          </w:tcPr>
          <w:p>
            <w:pPr>
              <w:jc w:val="center"/>
              <w:ind w:right="178"/>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5"/>
                <w:szCs w:val="15"/>
                <w:color w:val="auto"/>
              </w:rPr>
            </w:pPr>
          </w:p>
        </w:tc>
        <w:tc>
          <w:tcPr>
            <w:tcW w:w="1180" w:type="dxa"/>
            <w:vAlign w:val="bottom"/>
          </w:tcPr>
          <w:p>
            <w:pPr>
              <w:jc w:val="center"/>
              <w:ind w:right="79"/>
              <w:spacing w:after="0"/>
              <w:rPr>
                <w:sz w:val="20"/>
                <w:szCs w:val="20"/>
                <w:color w:val="auto"/>
              </w:rPr>
            </w:pPr>
            <w:r>
              <w:rPr>
                <w:rFonts w:ascii="Arial" w:cs="Arial" w:eastAsia="Arial" w:hAnsi="Arial"/>
                <w:sz w:val="14"/>
                <w:szCs w:val="14"/>
                <w:b w:val="1"/>
                <w:bCs w:val="1"/>
                <w:color w:val="auto"/>
              </w:rPr>
              <w:t>(Level 3)</w:t>
            </w:r>
          </w:p>
        </w:tc>
        <w:tc>
          <w:tcPr>
            <w:tcW w:w="380" w:type="dxa"/>
            <w:vAlign w:val="bottom"/>
          </w:tcPr>
          <w:p>
            <w:pPr>
              <w:spacing w:after="0"/>
              <w:rPr>
                <w:sz w:val="15"/>
                <w:szCs w:val="15"/>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3"/>
        </w:trPr>
        <w:tc>
          <w:tcPr>
            <w:tcW w:w="3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Short-term commercial paper borrowings</w:t>
            </w:r>
          </w:p>
        </w:tc>
        <w:tc>
          <w:tcPr>
            <w:tcW w:w="6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color w:val="auto"/>
              </w:rPr>
              <w:t>June 30, 2021</w:t>
            </w: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35"/>
              <w:spacing w:after="0"/>
              <w:rPr>
                <w:sz w:val="20"/>
                <w:szCs w:val="20"/>
                <w:color w:val="auto"/>
              </w:rPr>
            </w:pPr>
            <w:r>
              <w:rPr>
                <w:rFonts w:ascii="Arial" w:cs="Arial" w:eastAsia="Arial" w:hAnsi="Arial"/>
                <w:sz w:val="18"/>
                <w:szCs w:val="18"/>
                <w:b w:val="1"/>
                <w:bCs w:val="1"/>
                <w:color w:val="auto"/>
              </w:rPr>
              <w:t>(200.0)</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ind w:left="80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(200.0)</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ind w:left="92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2020</w:t>
            </w:r>
          </w:p>
        </w:tc>
        <w:tc>
          <w:tcPr>
            <w:tcW w:w="6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tcPr>
          <w:p>
            <w:pPr>
              <w:ind w:left="20"/>
              <w:spacing w:after="0"/>
              <w:rPr>
                <w:sz w:val="20"/>
                <w:szCs w:val="20"/>
                <w:color w:val="auto"/>
              </w:rPr>
            </w:pPr>
            <w:r>
              <w:rPr>
                <w:rFonts w:ascii="Arial" w:cs="Arial" w:eastAsia="Arial" w:hAnsi="Arial"/>
                <w:sz w:val="18"/>
                <w:szCs w:val="18"/>
                <w:b w:val="1"/>
                <w:bCs w:val="1"/>
                <w:color w:val="auto"/>
              </w:rPr>
              <w:t>Long-term debt, including current portion</w:t>
            </w:r>
          </w:p>
        </w:tc>
        <w:tc>
          <w:tcPr>
            <w:tcW w:w="6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30, 2021</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(16,315.1)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ind w:left="80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(17,970.9)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CEEFF"/>
          </w:tcPr>
          <w:p>
            <w:pPr>
              <w:ind w:left="92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(17,970.9)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tcPr>
          <w:p>
            <w:pPr>
              <w:ind w:left="20"/>
              <w:spacing w:after="0"/>
              <w:rPr>
                <w:sz w:val="20"/>
                <w:szCs w:val="20"/>
                <w:color w:val="auto"/>
              </w:rPr>
            </w:pPr>
            <w:r>
              <w:rPr>
                <w:rFonts w:ascii="Arial" w:cs="Arial" w:eastAsia="Arial" w:hAnsi="Arial"/>
                <w:sz w:val="18"/>
                <w:szCs w:val="18"/>
                <w:color w:val="auto"/>
              </w:rPr>
              <w:t>December 31, 2020</w:t>
            </w:r>
          </w:p>
        </w:tc>
        <w:tc>
          <w:tcPr>
            <w:tcW w:w="60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(16,595.3)</w:t>
            </w:r>
          </w:p>
        </w:tc>
        <w:tc>
          <w:tcPr>
            <w:tcW w:w="160" w:type="dxa"/>
            <w:vAlign w:val="bottom"/>
          </w:tcPr>
          <w:p>
            <w:pPr>
              <w:spacing w:after="0"/>
              <w:rPr>
                <w:sz w:val="19"/>
                <w:szCs w:val="19"/>
                <w:color w:val="auto"/>
              </w:rPr>
            </w:pPr>
          </w:p>
        </w:tc>
        <w:tc>
          <w:tcPr>
            <w:tcW w:w="1100" w:type="dxa"/>
            <w:vAlign w:val="bottom"/>
          </w:tcPr>
          <w:p>
            <w:pPr>
              <w:ind w:left="8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(19,038.9)</w:t>
            </w:r>
          </w:p>
        </w:tc>
        <w:tc>
          <w:tcPr>
            <w:tcW w:w="220" w:type="dxa"/>
            <w:vAlign w:val="bottom"/>
          </w:tcPr>
          <w:p>
            <w:pPr>
              <w:spacing w:after="0"/>
              <w:rPr>
                <w:sz w:val="19"/>
                <w:szCs w:val="19"/>
                <w:color w:val="auto"/>
              </w:rPr>
            </w:pPr>
          </w:p>
        </w:tc>
        <w:tc>
          <w:tcPr>
            <w:tcW w:w="1180" w:type="dxa"/>
            <w:vAlign w:val="bottom"/>
          </w:tcPr>
          <w:p>
            <w:pPr>
              <w:ind w:left="9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(19,038.9)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51"/>
        </w:trPr>
        <w:tc>
          <w:tcPr>
            <w:tcW w:w="3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89"/>
        </w:trPr>
        <w:tc>
          <w:tcPr>
            <w:tcW w:w="4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4"/>
          </w:tcPr>
          <w:p>
            <w:pPr>
              <w:ind w:left="1160"/>
              <w:spacing w:after="0"/>
              <w:rPr>
                <w:sz w:val="20"/>
                <w:szCs w:val="20"/>
                <w:color w:val="auto"/>
              </w:rPr>
            </w:pPr>
            <w:r>
              <w:rPr>
                <w:rFonts w:ascii="Arial" w:cs="Arial" w:eastAsia="Arial" w:hAnsi="Arial"/>
                <w:sz w:val="14"/>
                <w:szCs w:val="14"/>
                <w:b w:val="1"/>
                <w:bCs w:val="1"/>
                <w:color w:val="auto"/>
              </w:rPr>
              <w:t>Fair Value Measurements Using</w:t>
            </w:r>
          </w:p>
        </w:tc>
        <w:tc>
          <w:tcPr>
            <w:tcW w:w="126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2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rPr>
              <w:t>Quoted Prices in Active</w:t>
            </w:r>
          </w:p>
        </w:tc>
        <w:tc>
          <w:tcPr>
            <w:tcW w:w="280" w:type="dxa"/>
            <w:vAlign w:val="bottom"/>
          </w:tcPr>
          <w:p>
            <w:pPr>
              <w:spacing w:after="0"/>
              <w:rPr>
                <w:sz w:val="12"/>
                <w:szCs w:val="12"/>
                <w:color w:val="auto"/>
              </w:rPr>
            </w:pPr>
          </w:p>
        </w:tc>
        <w:tc>
          <w:tcPr>
            <w:tcW w:w="1140" w:type="dxa"/>
            <w:vAlign w:val="bottom"/>
          </w:tcPr>
          <w:p>
            <w:pPr>
              <w:jc w:val="center"/>
              <w:ind w:right="152"/>
              <w:spacing w:after="0" w:line="142" w:lineRule="exact"/>
              <w:rPr>
                <w:sz w:val="20"/>
                <w:szCs w:val="20"/>
                <w:color w:val="auto"/>
              </w:rPr>
            </w:pPr>
            <w:r>
              <w:rPr>
                <w:rFonts w:ascii="Arial" w:cs="Arial" w:eastAsia="Arial" w:hAnsi="Arial"/>
                <w:sz w:val="14"/>
                <w:szCs w:val="14"/>
                <w:b w:val="1"/>
                <w:bCs w:val="1"/>
                <w:color w:val="auto"/>
              </w:rPr>
              <w:t>Significant</w:t>
            </w:r>
          </w:p>
        </w:tc>
        <w:tc>
          <w:tcPr>
            <w:tcW w:w="300" w:type="dxa"/>
            <w:vAlign w:val="bottom"/>
          </w:tcPr>
          <w:p>
            <w:pPr>
              <w:spacing w:after="0"/>
              <w:rPr>
                <w:sz w:val="12"/>
                <w:szCs w:val="12"/>
                <w:color w:val="auto"/>
              </w:rPr>
            </w:pPr>
          </w:p>
        </w:tc>
        <w:tc>
          <w:tcPr>
            <w:tcW w:w="1580" w:type="dxa"/>
            <w:vAlign w:val="bottom"/>
            <w:gridSpan w:val="2"/>
          </w:tcPr>
          <w:p>
            <w:pPr>
              <w:jc w:val="center"/>
              <w:ind w:right="560"/>
              <w:spacing w:after="0" w:line="142" w:lineRule="exact"/>
              <w:rPr>
                <w:sz w:val="20"/>
                <w:szCs w:val="20"/>
                <w:color w:val="auto"/>
              </w:rPr>
            </w:pPr>
            <w:r>
              <w:rPr>
                <w:rFonts w:ascii="Arial" w:cs="Arial" w:eastAsia="Arial" w:hAnsi="Arial"/>
                <w:sz w:val="14"/>
                <w:szCs w:val="14"/>
                <w:b w:val="1"/>
                <w:bCs w:val="1"/>
                <w:color w:val="auto"/>
              </w:rPr>
              <w:t>Significant</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1"/>
                <w:szCs w:val="11"/>
                <w:color w:val="auto"/>
              </w:rPr>
            </w:pPr>
          </w:p>
        </w:tc>
        <w:tc>
          <w:tcPr>
            <w:tcW w:w="1660" w:type="dxa"/>
            <w:vAlign w:val="bottom"/>
          </w:tcPr>
          <w:p>
            <w:pPr>
              <w:jc w:val="center"/>
              <w:ind w:right="93"/>
              <w:spacing w:after="0" w:line="135" w:lineRule="exact"/>
              <w:rPr>
                <w:sz w:val="20"/>
                <w:szCs w:val="20"/>
                <w:color w:val="auto"/>
              </w:rPr>
            </w:pPr>
            <w:r>
              <w:rPr>
                <w:rFonts w:ascii="Arial" w:cs="Arial" w:eastAsia="Arial" w:hAnsi="Arial"/>
                <w:sz w:val="14"/>
                <w:szCs w:val="14"/>
                <w:b w:val="1"/>
                <w:bCs w:val="1"/>
                <w:color w:val="auto"/>
              </w:rPr>
              <w:t>Markets for Identical</w:t>
            </w:r>
          </w:p>
        </w:tc>
        <w:tc>
          <w:tcPr>
            <w:tcW w:w="14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Other Observable</w:t>
            </w:r>
          </w:p>
        </w:tc>
        <w:tc>
          <w:tcPr>
            <w:tcW w:w="300" w:type="dxa"/>
            <w:vAlign w:val="bottom"/>
          </w:tcPr>
          <w:p>
            <w:pPr>
              <w:spacing w:after="0"/>
              <w:rPr>
                <w:sz w:val="11"/>
                <w:szCs w:val="11"/>
                <w:color w:val="auto"/>
              </w:rPr>
            </w:pPr>
          </w:p>
        </w:tc>
        <w:tc>
          <w:tcPr>
            <w:tcW w:w="1580" w:type="dxa"/>
            <w:vAlign w:val="bottom"/>
            <w:gridSpan w:val="2"/>
          </w:tcPr>
          <w:p>
            <w:pPr>
              <w:jc w:val="center"/>
              <w:ind w:right="540"/>
              <w:spacing w:after="0" w:line="135" w:lineRule="exact"/>
              <w:rPr>
                <w:sz w:val="20"/>
                <w:szCs w:val="20"/>
                <w:color w:val="auto"/>
              </w:rPr>
            </w:pPr>
            <w:r>
              <w:rPr>
                <w:rFonts w:ascii="Arial" w:cs="Arial" w:eastAsia="Arial" w:hAnsi="Arial"/>
                <w:sz w:val="14"/>
                <w:szCs w:val="14"/>
                <w:b w:val="1"/>
                <w:bCs w:val="1"/>
                <w:color w:val="auto"/>
              </w:rPr>
              <w:t>Unobservable</w:t>
            </w:r>
          </w:p>
        </w:tc>
        <w:tc>
          <w:tcPr>
            <w:tcW w:w="78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35"/>
        </w:trPr>
        <w:tc>
          <w:tcPr>
            <w:tcW w:w="4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660" w:type="dxa"/>
            <w:vAlign w:val="bottom"/>
          </w:tcPr>
          <w:p>
            <w:pPr>
              <w:jc w:val="center"/>
              <w:ind w:right="93"/>
              <w:spacing w:after="0" w:line="135" w:lineRule="exact"/>
              <w:rPr>
                <w:sz w:val="20"/>
                <w:szCs w:val="20"/>
                <w:color w:val="auto"/>
              </w:rPr>
            </w:pPr>
            <w:r>
              <w:rPr>
                <w:rFonts w:ascii="Arial" w:cs="Arial" w:eastAsia="Arial" w:hAnsi="Arial"/>
                <w:sz w:val="14"/>
                <w:szCs w:val="14"/>
                <w:b w:val="1"/>
                <w:bCs w:val="1"/>
                <w:color w:val="auto"/>
              </w:rPr>
              <w:t>Assets</w:t>
            </w:r>
          </w:p>
        </w:tc>
        <w:tc>
          <w:tcPr>
            <w:tcW w:w="280" w:type="dxa"/>
            <w:vAlign w:val="bottom"/>
          </w:tcPr>
          <w:p>
            <w:pPr>
              <w:spacing w:after="0"/>
              <w:rPr>
                <w:sz w:val="11"/>
                <w:szCs w:val="11"/>
                <w:color w:val="auto"/>
              </w:rPr>
            </w:pPr>
          </w:p>
        </w:tc>
        <w:tc>
          <w:tcPr>
            <w:tcW w:w="1140" w:type="dxa"/>
            <w:vAlign w:val="bottom"/>
          </w:tcPr>
          <w:p>
            <w:pPr>
              <w:jc w:val="center"/>
              <w:ind w:right="152"/>
              <w:spacing w:after="0" w:line="135" w:lineRule="exact"/>
              <w:rPr>
                <w:sz w:val="20"/>
                <w:szCs w:val="20"/>
                <w:color w:val="auto"/>
              </w:rPr>
            </w:pPr>
            <w:r>
              <w:rPr>
                <w:rFonts w:ascii="Arial" w:cs="Arial" w:eastAsia="Arial" w:hAnsi="Arial"/>
                <w:sz w:val="14"/>
                <w:szCs w:val="14"/>
                <w:b w:val="1"/>
                <w:bCs w:val="1"/>
                <w:color w:val="auto"/>
                <w:w w:val="99"/>
              </w:rPr>
              <w:t>Inputs</w:t>
            </w:r>
          </w:p>
        </w:tc>
        <w:tc>
          <w:tcPr>
            <w:tcW w:w="300" w:type="dxa"/>
            <w:vAlign w:val="bottom"/>
          </w:tcPr>
          <w:p>
            <w:pPr>
              <w:spacing w:after="0"/>
              <w:rPr>
                <w:sz w:val="11"/>
                <w:szCs w:val="11"/>
                <w:color w:val="auto"/>
              </w:rPr>
            </w:pPr>
          </w:p>
        </w:tc>
        <w:tc>
          <w:tcPr>
            <w:tcW w:w="1580" w:type="dxa"/>
            <w:vAlign w:val="bottom"/>
            <w:gridSpan w:val="2"/>
          </w:tcPr>
          <w:p>
            <w:pPr>
              <w:jc w:val="center"/>
              <w:ind w:right="540"/>
              <w:spacing w:after="0" w:line="135" w:lineRule="exact"/>
              <w:rPr>
                <w:sz w:val="20"/>
                <w:szCs w:val="20"/>
                <w:color w:val="auto"/>
              </w:rPr>
            </w:pPr>
            <w:r>
              <w:rPr>
                <w:rFonts w:ascii="Arial" w:cs="Arial" w:eastAsia="Arial" w:hAnsi="Arial"/>
                <w:sz w:val="14"/>
                <w:szCs w:val="14"/>
                <w:b w:val="1"/>
                <w:bCs w:val="1"/>
                <w:color w:val="auto"/>
              </w:rPr>
              <w:t>Inputs</w:t>
            </w: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2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rPr>
              <w:t>(Level 1)</w:t>
            </w: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rPr>
              <w:t>(Level 2)</w:t>
            </w:r>
          </w:p>
        </w:tc>
        <w:tc>
          <w:tcPr>
            <w:tcW w:w="3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tcPr>
          <w:p>
            <w:pPr>
              <w:jc w:val="center"/>
              <w:ind w:right="560"/>
              <w:spacing w:after="0"/>
              <w:rPr>
                <w:sz w:val="20"/>
                <w:szCs w:val="20"/>
                <w:color w:val="auto"/>
              </w:rPr>
            </w:pPr>
            <w:r>
              <w:rPr>
                <w:rFonts w:ascii="Arial" w:cs="Arial" w:eastAsia="Arial" w:hAnsi="Arial"/>
                <w:sz w:val="14"/>
                <w:szCs w:val="14"/>
                <w:b w:val="1"/>
                <w:bCs w:val="1"/>
                <w:color w:val="auto"/>
              </w:rPr>
              <w:t>(Level 3)</w:t>
            </w:r>
          </w:p>
        </w:tc>
        <w:tc>
          <w:tcPr>
            <w:tcW w:w="7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3"/>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June 30, 2021</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Risk-management instruments:</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20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Interest rate contracts designated as fair value</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hedges: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360"/>
              <w:spacing w:after="0"/>
              <w:rPr>
                <w:sz w:val="20"/>
                <w:szCs w:val="20"/>
                <w:color w:val="auto"/>
              </w:rPr>
            </w:pPr>
            <w:r>
              <w:rPr>
                <w:rFonts w:ascii="Arial" w:cs="Arial" w:eastAsia="Arial" w:hAnsi="Arial"/>
                <w:sz w:val="18"/>
                <w:szCs w:val="18"/>
                <w:color w:val="auto"/>
              </w:rPr>
              <w:t>Other receivables</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92"/>
              <w:spacing w:after="0"/>
              <w:rPr>
                <w:sz w:val="20"/>
                <w:szCs w:val="20"/>
                <w:color w:val="auto"/>
              </w:rPr>
            </w:pPr>
            <w:r>
              <w:rPr>
                <w:rFonts w:ascii="Arial" w:cs="Arial" w:eastAsia="Arial" w:hAnsi="Arial"/>
                <w:sz w:val="18"/>
                <w:szCs w:val="18"/>
                <w:b w:val="1"/>
                <w:bCs w:val="1"/>
                <w:color w:val="auto"/>
              </w:rPr>
              <w:t>11.7</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660" w:type="dxa"/>
            <w:vAlign w:val="bottom"/>
          </w:tcPr>
          <w:p>
            <w:pPr>
              <w:ind w:left="13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b w:val="1"/>
                <w:bCs w:val="1"/>
                <w:color w:val="auto"/>
              </w:rPr>
              <w:t>11.7</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580" w:type="dxa"/>
            <w:vAlign w:val="bottom"/>
            <w:gridSpan w:val="2"/>
          </w:tcPr>
          <w:p>
            <w:pPr>
              <w:ind w:left="1000"/>
              <w:spacing w:after="0"/>
              <w:rPr>
                <w:sz w:val="20"/>
                <w:szCs w:val="20"/>
                <w:color w:val="auto"/>
              </w:rPr>
            </w:pPr>
            <w:r>
              <w:rPr>
                <w:rFonts w:ascii="Arial" w:cs="Arial" w:eastAsia="Arial" w:hAnsi="Arial"/>
                <w:sz w:val="18"/>
                <w:szCs w:val="18"/>
                <w:b w:val="1"/>
                <w:bCs w:val="1"/>
                <w:color w:val="auto"/>
              </w:rPr>
              <w:t>—  $</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11.7</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assets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99.2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60" w:type="dxa"/>
            <w:vAlign w:val="bottom"/>
            <w:shd w:val="clear" w:color="auto" w:fill="CCEEFF"/>
          </w:tcPr>
          <w:p>
            <w:pPr>
              <w:ind w:left="138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99.2</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580" w:type="dxa"/>
            <w:vAlign w:val="bottom"/>
            <w:gridSpan w:val="2"/>
            <w:shd w:val="clear" w:color="auto" w:fill="CCEEFF"/>
          </w:tcPr>
          <w:p>
            <w:pPr>
              <w:ind w:left="100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99.2</w:t>
            </w:r>
          </w:p>
        </w:tc>
        <w:tc>
          <w:tcPr>
            <w:tcW w:w="0" w:type="dxa"/>
            <w:vAlign w:val="bottom"/>
          </w:tcPr>
          <w:p>
            <w:pPr>
              <w:spacing w:after="0"/>
              <w:rPr>
                <w:sz w:val="1"/>
                <w:szCs w:val="1"/>
                <w:color w:val="auto"/>
              </w:rPr>
            </w:pPr>
          </w:p>
        </w:tc>
      </w:tr>
      <w:tr>
        <w:trPr>
          <w:trHeight w:val="230"/>
        </w:trPr>
        <w:tc>
          <w:tcPr>
            <w:tcW w:w="4200" w:type="dxa"/>
            <w:vAlign w:val="bottom"/>
          </w:tcPr>
          <w:p>
            <w:pPr>
              <w:ind w:left="360"/>
              <w:spacing w:after="0"/>
              <w:rPr>
                <w:sz w:val="20"/>
                <w:szCs w:val="20"/>
                <w:color w:val="auto"/>
              </w:rPr>
            </w:pPr>
            <w:r>
              <w:rPr>
                <w:rFonts w:ascii="Arial" w:cs="Arial" w:eastAsia="Arial" w:hAnsi="Arial"/>
                <w:sz w:val="18"/>
                <w:szCs w:val="18"/>
                <w:color w:val="auto"/>
              </w:rPr>
              <w:t>Other noncurrent liabilities</w:t>
            </w:r>
          </w:p>
        </w:tc>
        <w:tc>
          <w:tcPr>
            <w:tcW w:w="20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b w:val="1"/>
                <w:bCs w:val="1"/>
                <w:color w:val="auto"/>
              </w:rPr>
              <w:t>(2.5)</w:t>
            </w:r>
          </w:p>
        </w:tc>
        <w:tc>
          <w:tcPr>
            <w:tcW w:w="160" w:type="dxa"/>
            <w:vAlign w:val="bottom"/>
          </w:tcPr>
          <w:p>
            <w:pPr>
              <w:spacing w:after="0"/>
              <w:rPr>
                <w:sz w:val="19"/>
                <w:szCs w:val="19"/>
                <w:color w:val="auto"/>
              </w:rPr>
            </w:pPr>
          </w:p>
        </w:tc>
        <w:tc>
          <w:tcPr>
            <w:tcW w:w="1660" w:type="dxa"/>
            <w:vAlign w:val="bottom"/>
          </w:tcPr>
          <w:p>
            <w:pPr>
              <w:ind w:left="13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300" w:type="dxa"/>
            <w:vAlign w:val="bottom"/>
          </w:tcPr>
          <w:p>
            <w:pPr>
              <w:spacing w:after="0"/>
              <w:rPr>
                <w:sz w:val="19"/>
                <w:szCs w:val="19"/>
                <w:color w:val="auto"/>
              </w:rPr>
            </w:pPr>
          </w:p>
        </w:tc>
        <w:tc>
          <w:tcPr>
            <w:tcW w:w="1580" w:type="dxa"/>
            <w:vAlign w:val="bottom"/>
            <w:gridSpan w:val="2"/>
          </w:tcPr>
          <w:p>
            <w:pPr>
              <w:ind w:left="100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0" w:type="dxa"/>
            <w:vAlign w:val="bottom"/>
          </w:tcPr>
          <w:p>
            <w:pPr>
              <w:spacing w:after="0"/>
              <w:rPr>
                <w:sz w:val="1"/>
                <w:szCs w:val="1"/>
                <w:color w:val="auto"/>
              </w:rPr>
            </w:pPr>
          </w:p>
        </w:tc>
      </w:tr>
      <w:tr>
        <w:trPr>
          <w:trHeight w:val="188"/>
        </w:trPr>
        <w:tc>
          <w:tcPr>
            <w:tcW w:w="420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Interest rate contracts designated as cash flow</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hedges: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360"/>
              <w:spacing w:after="0"/>
              <w:rPr>
                <w:sz w:val="20"/>
                <w:szCs w:val="20"/>
                <w:color w:val="auto"/>
              </w:rPr>
            </w:pPr>
            <w:r>
              <w:rPr>
                <w:rFonts w:ascii="Arial" w:cs="Arial" w:eastAsia="Arial" w:hAnsi="Arial"/>
                <w:sz w:val="18"/>
                <w:szCs w:val="18"/>
                <w:color w:val="auto"/>
              </w:rPr>
              <w:t>Other noncurrent assets</w:t>
            </w:r>
          </w:p>
        </w:tc>
        <w:tc>
          <w:tcPr>
            <w:tcW w:w="200" w:type="dxa"/>
            <w:vAlign w:val="bottom"/>
          </w:tcPr>
          <w:p>
            <w:pPr>
              <w:spacing w:after="0"/>
              <w:rPr>
                <w:sz w:val="19"/>
                <w:szCs w:val="19"/>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b w:val="1"/>
                <w:bCs w:val="1"/>
                <w:color w:val="auto"/>
              </w:rPr>
              <w:t>78.0</w:t>
            </w:r>
          </w:p>
        </w:tc>
        <w:tc>
          <w:tcPr>
            <w:tcW w:w="160" w:type="dxa"/>
            <w:vAlign w:val="bottom"/>
          </w:tcPr>
          <w:p>
            <w:pPr>
              <w:spacing w:after="0"/>
              <w:rPr>
                <w:sz w:val="19"/>
                <w:szCs w:val="19"/>
                <w:color w:val="auto"/>
              </w:rPr>
            </w:pPr>
          </w:p>
        </w:tc>
        <w:tc>
          <w:tcPr>
            <w:tcW w:w="1660" w:type="dxa"/>
            <w:vAlign w:val="bottom"/>
          </w:tcPr>
          <w:p>
            <w:pPr>
              <w:ind w:left="13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b w:val="1"/>
                <w:bCs w:val="1"/>
                <w:color w:val="auto"/>
              </w:rPr>
              <w:t>78.0</w:t>
            </w:r>
          </w:p>
        </w:tc>
        <w:tc>
          <w:tcPr>
            <w:tcW w:w="300" w:type="dxa"/>
            <w:vAlign w:val="bottom"/>
          </w:tcPr>
          <w:p>
            <w:pPr>
              <w:spacing w:after="0"/>
              <w:rPr>
                <w:sz w:val="19"/>
                <w:szCs w:val="19"/>
                <w:color w:val="auto"/>
              </w:rPr>
            </w:pPr>
          </w:p>
        </w:tc>
        <w:tc>
          <w:tcPr>
            <w:tcW w:w="1580" w:type="dxa"/>
            <w:vAlign w:val="bottom"/>
            <w:gridSpan w:val="2"/>
          </w:tcPr>
          <w:p>
            <w:pPr>
              <w:ind w:left="100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78.0</w:t>
            </w:r>
          </w:p>
        </w:tc>
        <w:tc>
          <w:tcPr>
            <w:tcW w:w="0" w:type="dxa"/>
            <w:vAlign w:val="bottom"/>
          </w:tcPr>
          <w:p>
            <w:pPr>
              <w:spacing w:after="0"/>
              <w:rPr>
                <w:sz w:val="1"/>
                <w:szCs w:val="1"/>
                <w:color w:val="auto"/>
              </w:rPr>
            </w:pPr>
          </w:p>
        </w:tc>
      </w:tr>
      <w:tr>
        <w:trPr>
          <w:trHeight w:val="188"/>
        </w:trPr>
        <w:tc>
          <w:tcPr>
            <w:tcW w:w="420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Cross-currency interest rate contracts designated</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 net investment hedges: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360"/>
              <w:spacing w:after="0"/>
              <w:rPr>
                <w:sz w:val="20"/>
                <w:szCs w:val="20"/>
                <w:color w:val="auto"/>
              </w:rPr>
            </w:pPr>
            <w:r>
              <w:rPr>
                <w:rFonts w:ascii="Arial" w:cs="Arial" w:eastAsia="Arial" w:hAnsi="Arial"/>
                <w:sz w:val="18"/>
                <w:szCs w:val="18"/>
                <w:color w:val="auto"/>
              </w:rPr>
              <w:t>Other receivables</w:t>
            </w:r>
          </w:p>
        </w:tc>
        <w:tc>
          <w:tcPr>
            <w:tcW w:w="200" w:type="dxa"/>
            <w:vAlign w:val="bottom"/>
          </w:tcPr>
          <w:p>
            <w:pPr>
              <w:spacing w:after="0"/>
              <w:rPr>
                <w:sz w:val="19"/>
                <w:szCs w:val="19"/>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b w:val="1"/>
                <w:bCs w:val="1"/>
                <w:color w:val="auto"/>
              </w:rPr>
              <w:t>16.0</w:t>
            </w:r>
          </w:p>
        </w:tc>
        <w:tc>
          <w:tcPr>
            <w:tcW w:w="160" w:type="dxa"/>
            <w:vAlign w:val="bottom"/>
          </w:tcPr>
          <w:p>
            <w:pPr>
              <w:spacing w:after="0"/>
              <w:rPr>
                <w:sz w:val="19"/>
                <w:szCs w:val="19"/>
                <w:color w:val="auto"/>
              </w:rPr>
            </w:pPr>
          </w:p>
        </w:tc>
        <w:tc>
          <w:tcPr>
            <w:tcW w:w="1660" w:type="dxa"/>
            <w:vAlign w:val="bottom"/>
          </w:tcPr>
          <w:p>
            <w:pPr>
              <w:ind w:left="13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b w:val="1"/>
                <w:bCs w:val="1"/>
                <w:color w:val="auto"/>
              </w:rPr>
              <w:t>16.0</w:t>
            </w:r>
          </w:p>
        </w:tc>
        <w:tc>
          <w:tcPr>
            <w:tcW w:w="300" w:type="dxa"/>
            <w:vAlign w:val="bottom"/>
          </w:tcPr>
          <w:p>
            <w:pPr>
              <w:spacing w:after="0"/>
              <w:rPr>
                <w:sz w:val="19"/>
                <w:szCs w:val="19"/>
                <w:color w:val="auto"/>
              </w:rPr>
            </w:pPr>
          </w:p>
        </w:tc>
        <w:tc>
          <w:tcPr>
            <w:tcW w:w="1580" w:type="dxa"/>
            <w:vAlign w:val="bottom"/>
            <w:gridSpan w:val="2"/>
          </w:tcPr>
          <w:p>
            <w:pPr>
              <w:ind w:left="100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16.0</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assets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18.3</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ind w:left="138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18.3</w:t>
            </w:r>
          </w:p>
        </w:tc>
        <w:tc>
          <w:tcPr>
            <w:tcW w:w="3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00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18.3</w:t>
            </w:r>
          </w:p>
        </w:tc>
        <w:tc>
          <w:tcPr>
            <w:tcW w:w="0" w:type="dxa"/>
            <w:vAlign w:val="bottom"/>
          </w:tcPr>
          <w:p>
            <w:pPr>
              <w:spacing w:after="0"/>
              <w:rPr>
                <w:sz w:val="1"/>
                <w:szCs w:val="1"/>
                <w:color w:val="auto"/>
              </w:rPr>
            </w:pPr>
          </w:p>
        </w:tc>
      </w:tr>
      <w:tr>
        <w:trPr>
          <w:trHeight w:val="229"/>
        </w:trPr>
        <w:tc>
          <w:tcPr>
            <w:tcW w:w="4200" w:type="dxa"/>
            <w:vAlign w:val="bottom"/>
          </w:tcPr>
          <w:p>
            <w:pPr>
              <w:ind w:left="36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b w:val="1"/>
                <w:bCs w:val="1"/>
                <w:color w:val="auto"/>
              </w:rPr>
              <w:t>(47.2)</w:t>
            </w:r>
          </w:p>
        </w:tc>
        <w:tc>
          <w:tcPr>
            <w:tcW w:w="160" w:type="dxa"/>
            <w:vAlign w:val="bottom"/>
          </w:tcPr>
          <w:p>
            <w:pPr>
              <w:spacing w:after="0"/>
              <w:rPr>
                <w:sz w:val="19"/>
                <w:szCs w:val="19"/>
                <w:color w:val="auto"/>
              </w:rPr>
            </w:pPr>
          </w:p>
        </w:tc>
        <w:tc>
          <w:tcPr>
            <w:tcW w:w="1660" w:type="dxa"/>
            <w:vAlign w:val="bottom"/>
          </w:tcPr>
          <w:p>
            <w:pPr>
              <w:ind w:left="13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(47.2)</w:t>
            </w:r>
          </w:p>
        </w:tc>
        <w:tc>
          <w:tcPr>
            <w:tcW w:w="300" w:type="dxa"/>
            <w:vAlign w:val="bottom"/>
          </w:tcPr>
          <w:p>
            <w:pPr>
              <w:spacing w:after="0"/>
              <w:rPr>
                <w:sz w:val="19"/>
                <w:szCs w:val="19"/>
                <w:color w:val="auto"/>
              </w:rPr>
            </w:pPr>
          </w:p>
        </w:tc>
        <w:tc>
          <w:tcPr>
            <w:tcW w:w="1580" w:type="dxa"/>
            <w:vAlign w:val="bottom"/>
            <w:gridSpan w:val="2"/>
          </w:tcPr>
          <w:p>
            <w:pPr>
              <w:ind w:left="100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(47.2)</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liabilities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(19.2)</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ind w:left="138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(19.2)</w:t>
            </w:r>
          </w:p>
        </w:tc>
        <w:tc>
          <w:tcPr>
            <w:tcW w:w="3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00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(19.2)</w:t>
            </w:r>
          </w:p>
        </w:tc>
        <w:tc>
          <w:tcPr>
            <w:tcW w:w="0" w:type="dxa"/>
            <w:vAlign w:val="bottom"/>
          </w:tcPr>
          <w:p>
            <w:pPr>
              <w:spacing w:after="0"/>
              <w:rPr>
                <w:sz w:val="1"/>
                <w:szCs w:val="1"/>
                <w:color w:val="auto"/>
              </w:rPr>
            </w:pPr>
          </w:p>
        </w:tc>
      </w:tr>
      <w:tr>
        <w:trPr>
          <w:trHeight w:val="188"/>
        </w:trPr>
        <w:tc>
          <w:tcPr>
            <w:tcW w:w="4200" w:type="dxa"/>
            <w:vAlign w:val="bottom"/>
          </w:tcPr>
          <w:p>
            <w:pPr>
              <w:ind w:left="220"/>
              <w:spacing w:after="0" w:line="189" w:lineRule="exact"/>
              <w:rPr>
                <w:sz w:val="20"/>
                <w:szCs w:val="20"/>
                <w:color w:val="auto"/>
              </w:rPr>
            </w:pPr>
            <w:r>
              <w:rPr>
                <w:rFonts w:ascii="Arial" w:cs="Arial" w:eastAsia="Arial" w:hAnsi="Arial"/>
                <w:sz w:val="18"/>
                <w:szCs w:val="18"/>
                <w:color w:val="auto"/>
              </w:rPr>
              <w:t>Cross-currency interest rate contracts designated</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200" w:type="dxa"/>
            <w:vAlign w:val="bottom"/>
          </w:tcPr>
          <w:p>
            <w:pPr>
              <w:ind w:left="220"/>
              <w:spacing w:after="0"/>
              <w:rPr>
                <w:sz w:val="20"/>
                <w:szCs w:val="20"/>
                <w:color w:val="auto"/>
              </w:rPr>
            </w:pPr>
            <w:r>
              <w:rPr>
                <w:rFonts w:ascii="Arial" w:cs="Arial" w:eastAsia="Arial" w:hAnsi="Arial"/>
                <w:sz w:val="18"/>
                <w:szCs w:val="18"/>
                <w:color w:val="auto"/>
              </w:rPr>
              <w:t>as cash flow hedges: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assets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14.0</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ind w:left="138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14.0</w:t>
            </w:r>
          </w:p>
        </w:tc>
        <w:tc>
          <w:tcPr>
            <w:tcW w:w="3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00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14.0</w:t>
            </w:r>
          </w:p>
        </w:tc>
        <w:tc>
          <w:tcPr>
            <w:tcW w:w="0" w:type="dxa"/>
            <w:vAlign w:val="bottom"/>
          </w:tcPr>
          <w:p>
            <w:pPr>
              <w:spacing w:after="0"/>
              <w:rPr>
                <w:sz w:val="1"/>
                <w:szCs w:val="1"/>
                <w:color w:val="auto"/>
              </w:rPr>
            </w:pPr>
          </w:p>
        </w:tc>
      </w:tr>
      <w:tr>
        <w:trPr>
          <w:trHeight w:val="229"/>
        </w:trPr>
        <w:tc>
          <w:tcPr>
            <w:tcW w:w="4200" w:type="dxa"/>
            <w:vAlign w:val="bottom"/>
          </w:tcPr>
          <w:p>
            <w:pPr>
              <w:ind w:left="360"/>
              <w:spacing w:after="0"/>
              <w:rPr>
                <w:sz w:val="20"/>
                <w:szCs w:val="20"/>
                <w:color w:val="auto"/>
              </w:rPr>
            </w:pPr>
            <w:r>
              <w:rPr>
                <w:rFonts w:ascii="Arial" w:cs="Arial" w:eastAsia="Arial" w:hAnsi="Arial"/>
                <w:sz w:val="18"/>
                <w:szCs w:val="18"/>
                <w:color w:val="auto"/>
              </w:rPr>
              <w:t>Other noncurrent liabilities</w:t>
            </w:r>
          </w:p>
        </w:tc>
        <w:tc>
          <w:tcPr>
            <w:tcW w:w="20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b w:val="1"/>
                <w:bCs w:val="1"/>
                <w:color w:val="auto"/>
              </w:rPr>
              <w:t>(19.0)</w:t>
            </w:r>
          </w:p>
        </w:tc>
        <w:tc>
          <w:tcPr>
            <w:tcW w:w="160" w:type="dxa"/>
            <w:vAlign w:val="bottom"/>
          </w:tcPr>
          <w:p>
            <w:pPr>
              <w:spacing w:after="0"/>
              <w:rPr>
                <w:sz w:val="19"/>
                <w:szCs w:val="19"/>
                <w:color w:val="auto"/>
              </w:rPr>
            </w:pPr>
          </w:p>
        </w:tc>
        <w:tc>
          <w:tcPr>
            <w:tcW w:w="1660" w:type="dxa"/>
            <w:vAlign w:val="bottom"/>
          </w:tcPr>
          <w:p>
            <w:pPr>
              <w:ind w:left="13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(19.0)</w:t>
            </w:r>
          </w:p>
        </w:tc>
        <w:tc>
          <w:tcPr>
            <w:tcW w:w="300" w:type="dxa"/>
            <w:vAlign w:val="bottom"/>
          </w:tcPr>
          <w:p>
            <w:pPr>
              <w:spacing w:after="0"/>
              <w:rPr>
                <w:sz w:val="19"/>
                <w:szCs w:val="19"/>
                <w:color w:val="auto"/>
              </w:rPr>
            </w:pPr>
          </w:p>
        </w:tc>
        <w:tc>
          <w:tcPr>
            <w:tcW w:w="1580" w:type="dxa"/>
            <w:vAlign w:val="bottom"/>
            <w:gridSpan w:val="2"/>
          </w:tcPr>
          <w:p>
            <w:pPr>
              <w:ind w:left="100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(19.0)</w:t>
            </w:r>
          </w:p>
        </w:tc>
        <w:tc>
          <w:tcPr>
            <w:tcW w:w="0" w:type="dxa"/>
            <w:vAlign w:val="bottom"/>
          </w:tcPr>
          <w:p>
            <w:pPr>
              <w:spacing w:after="0"/>
              <w:rPr>
                <w:sz w:val="1"/>
                <w:szCs w:val="1"/>
                <w:color w:val="auto"/>
              </w:rPr>
            </w:pPr>
          </w:p>
        </w:tc>
      </w:tr>
      <w:tr>
        <w:trPr>
          <w:trHeight w:val="188"/>
        </w:trPr>
        <w:tc>
          <w:tcPr>
            <w:tcW w:w="420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Foreign exchange contracts not designated as</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hedging instruments: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360"/>
              <w:spacing w:after="0"/>
              <w:rPr>
                <w:sz w:val="20"/>
                <w:szCs w:val="20"/>
                <w:color w:val="auto"/>
              </w:rPr>
            </w:pPr>
            <w:r>
              <w:rPr>
                <w:rFonts w:ascii="Arial" w:cs="Arial" w:eastAsia="Arial" w:hAnsi="Arial"/>
                <w:sz w:val="18"/>
                <w:szCs w:val="18"/>
                <w:color w:val="auto"/>
              </w:rPr>
              <w:t>Other receivables</w:t>
            </w:r>
          </w:p>
        </w:tc>
        <w:tc>
          <w:tcPr>
            <w:tcW w:w="200" w:type="dxa"/>
            <w:vAlign w:val="bottom"/>
          </w:tcPr>
          <w:p>
            <w:pPr>
              <w:spacing w:after="0"/>
              <w:rPr>
                <w:sz w:val="19"/>
                <w:szCs w:val="19"/>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b w:val="1"/>
                <w:bCs w:val="1"/>
                <w:color w:val="auto"/>
              </w:rPr>
              <w:t>5.4</w:t>
            </w:r>
          </w:p>
        </w:tc>
        <w:tc>
          <w:tcPr>
            <w:tcW w:w="160" w:type="dxa"/>
            <w:vAlign w:val="bottom"/>
          </w:tcPr>
          <w:p>
            <w:pPr>
              <w:spacing w:after="0"/>
              <w:rPr>
                <w:sz w:val="19"/>
                <w:szCs w:val="19"/>
                <w:color w:val="auto"/>
              </w:rPr>
            </w:pPr>
          </w:p>
        </w:tc>
        <w:tc>
          <w:tcPr>
            <w:tcW w:w="1660" w:type="dxa"/>
            <w:vAlign w:val="bottom"/>
          </w:tcPr>
          <w:p>
            <w:pPr>
              <w:ind w:left="13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b w:val="1"/>
                <w:bCs w:val="1"/>
                <w:color w:val="auto"/>
              </w:rPr>
              <w:t>5.4</w:t>
            </w:r>
          </w:p>
        </w:tc>
        <w:tc>
          <w:tcPr>
            <w:tcW w:w="300" w:type="dxa"/>
            <w:vAlign w:val="bottom"/>
          </w:tcPr>
          <w:p>
            <w:pPr>
              <w:spacing w:after="0"/>
              <w:rPr>
                <w:sz w:val="19"/>
                <w:szCs w:val="19"/>
                <w:color w:val="auto"/>
              </w:rPr>
            </w:pPr>
          </w:p>
        </w:tc>
        <w:tc>
          <w:tcPr>
            <w:tcW w:w="1580" w:type="dxa"/>
            <w:vAlign w:val="bottom"/>
            <w:gridSpan w:val="2"/>
          </w:tcPr>
          <w:p>
            <w:pPr>
              <w:ind w:left="100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5.4</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liabilities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(17.5)</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ind w:left="138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(17.5)</w:t>
            </w:r>
          </w:p>
        </w:tc>
        <w:tc>
          <w:tcPr>
            <w:tcW w:w="3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00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(17.5)</w:t>
            </w: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Contingent consideration liability:</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liabilities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(70.2)</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ind w:left="138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ind w:left="760"/>
              <w:spacing w:after="0"/>
              <w:rPr>
                <w:sz w:val="20"/>
                <w:szCs w:val="20"/>
                <w:color w:val="auto"/>
              </w:rPr>
            </w:pPr>
            <w:r>
              <w:rPr>
                <w:rFonts w:ascii="Arial" w:cs="Arial" w:eastAsia="Arial" w:hAnsi="Arial"/>
                <w:sz w:val="18"/>
                <w:szCs w:val="18"/>
                <w:b w:val="1"/>
                <w:bCs w:val="1"/>
                <w:color w:val="auto"/>
              </w:rPr>
              <w:t>(70.2)</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(70.2)</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2020</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Risk-management instruments:</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20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Interest rate contracts designated as fair value</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hedges: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360"/>
              <w:spacing w:after="0"/>
              <w:rPr>
                <w:sz w:val="20"/>
                <w:szCs w:val="20"/>
                <w:color w:val="auto"/>
              </w:rPr>
            </w:pPr>
            <w:r>
              <w:rPr>
                <w:rFonts w:ascii="Arial" w:cs="Arial" w:eastAsia="Arial" w:hAnsi="Arial"/>
                <w:sz w:val="18"/>
                <w:szCs w:val="18"/>
                <w:color w:val="auto"/>
              </w:rPr>
              <w:t>Other noncurrent assets</w:t>
            </w:r>
          </w:p>
        </w:tc>
        <w:tc>
          <w:tcPr>
            <w:tcW w:w="200" w:type="dxa"/>
            <w:vAlign w:val="bottom"/>
          </w:tcPr>
          <w:p>
            <w:pPr>
              <w:spacing w:after="0"/>
              <w:rPr>
                <w:sz w:val="19"/>
                <w:szCs w:val="19"/>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158.9</w:t>
            </w:r>
          </w:p>
        </w:tc>
        <w:tc>
          <w:tcPr>
            <w:tcW w:w="160" w:type="dxa"/>
            <w:vAlign w:val="bottom"/>
          </w:tcPr>
          <w:p>
            <w:pPr>
              <w:spacing w:after="0"/>
              <w:rPr>
                <w:sz w:val="19"/>
                <w:szCs w:val="19"/>
                <w:color w:val="auto"/>
              </w:rPr>
            </w:pPr>
          </w:p>
        </w:tc>
        <w:tc>
          <w:tcPr>
            <w:tcW w:w="1660" w:type="dxa"/>
            <w:vAlign w:val="bottom"/>
          </w:tcPr>
          <w:p>
            <w:pPr>
              <w:ind w:left="13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158.9</w:t>
            </w:r>
          </w:p>
        </w:tc>
        <w:tc>
          <w:tcPr>
            <w:tcW w:w="300" w:type="dxa"/>
            <w:vAlign w:val="bottom"/>
          </w:tcPr>
          <w:p>
            <w:pPr>
              <w:spacing w:after="0"/>
              <w:rPr>
                <w:sz w:val="19"/>
                <w:szCs w:val="19"/>
                <w:color w:val="auto"/>
              </w:rPr>
            </w:pPr>
          </w:p>
        </w:tc>
        <w:tc>
          <w:tcPr>
            <w:tcW w:w="15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158.9</w:t>
            </w:r>
          </w:p>
        </w:tc>
        <w:tc>
          <w:tcPr>
            <w:tcW w:w="0" w:type="dxa"/>
            <w:vAlign w:val="bottom"/>
          </w:tcPr>
          <w:p>
            <w:pPr>
              <w:spacing w:after="0"/>
              <w:rPr>
                <w:sz w:val="1"/>
                <w:szCs w:val="1"/>
                <w:color w:val="auto"/>
              </w:rPr>
            </w:pPr>
          </w:p>
        </w:tc>
      </w:tr>
      <w:tr>
        <w:trPr>
          <w:trHeight w:val="188"/>
        </w:trPr>
        <w:tc>
          <w:tcPr>
            <w:tcW w:w="420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Interest rate contracts designated as cash flow</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hedges: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360"/>
              <w:spacing w:after="0"/>
              <w:rPr>
                <w:sz w:val="20"/>
                <w:szCs w:val="20"/>
                <w:color w:val="auto"/>
              </w:rPr>
            </w:pPr>
            <w:r>
              <w:rPr>
                <w:rFonts w:ascii="Arial" w:cs="Arial" w:eastAsia="Arial" w:hAnsi="Arial"/>
                <w:sz w:val="18"/>
                <w:szCs w:val="18"/>
                <w:color w:val="auto"/>
              </w:rPr>
              <w:t>Other noncurrent assets</w:t>
            </w:r>
          </w:p>
        </w:tc>
        <w:tc>
          <w:tcPr>
            <w:tcW w:w="200" w:type="dxa"/>
            <w:vAlign w:val="bottom"/>
          </w:tcPr>
          <w:p>
            <w:pPr>
              <w:spacing w:after="0"/>
              <w:rPr>
                <w:sz w:val="19"/>
                <w:szCs w:val="19"/>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38.1</w:t>
            </w:r>
          </w:p>
        </w:tc>
        <w:tc>
          <w:tcPr>
            <w:tcW w:w="160" w:type="dxa"/>
            <w:vAlign w:val="bottom"/>
          </w:tcPr>
          <w:p>
            <w:pPr>
              <w:spacing w:after="0"/>
              <w:rPr>
                <w:sz w:val="19"/>
                <w:szCs w:val="19"/>
                <w:color w:val="auto"/>
              </w:rPr>
            </w:pPr>
          </w:p>
        </w:tc>
        <w:tc>
          <w:tcPr>
            <w:tcW w:w="1660" w:type="dxa"/>
            <w:vAlign w:val="bottom"/>
          </w:tcPr>
          <w:p>
            <w:pPr>
              <w:ind w:left="13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38.1</w:t>
            </w:r>
          </w:p>
        </w:tc>
        <w:tc>
          <w:tcPr>
            <w:tcW w:w="300" w:type="dxa"/>
            <w:vAlign w:val="bottom"/>
          </w:tcPr>
          <w:p>
            <w:pPr>
              <w:spacing w:after="0"/>
              <w:rPr>
                <w:sz w:val="19"/>
                <w:szCs w:val="19"/>
                <w:color w:val="auto"/>
              </w:rPr>
            </w:pPr>
          </w:p>
        </w:tc>
        <w:tc>
          <w:tcPr>
            <w:tcW w:w="15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liabilities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(97.8)</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3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188"/>
        </w:trPr>
        <w:tc>
          <w:tcPr>
            <w:tcW w:w="4200" w:type="dxa"/>
            <w:vAlign w:val="bottom"/>
          </w:tcPr>
          <w:p>
            <w:pPr>
              <w:ind w:left="220"/>
              <w:spacing w:after="0" w:line="189" w:lineRule="exact"/>
              <w:rPr>
                <w:sz w:val="20"/>
                <w:szCs w:val="20"/>
                <w:color w:val="auto"/>
              </w:rPr>
            </w:pPr>
            <w:r>
              <w:rPr>
                <w:rFonts w:ascii="Arial" w:cs="Arial" w:eastAsia="Arial" w:hAnsi="Arial"/>
                <w:sz w:val="18"/>
                <w:szCs w:val="18"/>
                <w:color w:val="auto"/>
              </w:rPr>
              <w:t>Cross-currency interest rate contracts designated</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200" w:type="dxa"/>
            <w:vAlign w:val="bottom"/>
          </w:tcPr>
          <w:p>
            <w:pPr>
              <w:ind w:left="220"/>
              <w:spacing w:after="0"/>
              <w:rPr>
                <w:sz w:val="20"/>
                <w:szCs w:val="20"/>
                <w:color w:val="auto"/>
              </w:rPr>
            </w:pPr>
            <w:r>
              <w:rPr>
                <w:rFonts w:ascii="Arial" w:cs="Arial" w:eastAsia="Arial" w:hAnsi="Arial"/>
                <w:sz w:val="18"/>
                <w:szCs w:val="18"/>
                <w:color w:val="auto"/>
              </w:rPr>
              <w:t>as net investment hedges: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liabilities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(92.6)</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3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30"/>
        </w:trPr>
        <w:tc>
          <w:tcPr>
            <w:tcW w:w="4200" w:type="dxa"/>
            <w:vAlign w:val="bottom"/>
          </w:tcPr>
          <w:p>
            <w:pPr>
              <w:ind w:left="360"/>
              <w:spacing w:after="0"/>
              <w:rPr>
                <w:sz w:val="20"/>
                <w:szCs w:val="20"/>
                <w:color w:val="auto"/>
              </w:rPr>
            </w:pPr>
            <w:r>
              <w:rPr>
                <w:rFonts w:ascii="Arial" w:cs="Arial" w:eastAsia="Arial" w:hAnsi="Arial"/>
                <w:sz w:val="18"/>
                <w:szCs w:val="18"/>
                <w:color w:val="auto"/>
              </w:rPr>
              <w:t>Other noncurrent liabilities</w:t>
            </w:r>
          </w:p>
        </w:tc>
        <w:tc>
          <w:tcPr>
            <w:tcW w:w="20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(97.2)</w:t>
            </w:r>
          </w:p>
        </w:tc>
        <w:tc>
          <w:tcPr>
            <w:tcW w:w="160" w:type="dxa"/>
            <w:vAlign w:val="bottom"/>
          </w:tcPr>
          <w:p>
            <w:pPr>
              <w:spacing w:after="0"/>
              <w:rPr>
                <w:sz w:val="19"/>
                <w:szCs w:val="19"/>
                <w:color w:val="auto"/>
              </w:rPr>
            </w:pPr>
          </w:p>
        </w:tc>
        <w:tc>
          <w:tcPr>
            <w:tcW w:w="1660" w:type="dxa"/>
            <w:vAlign w:val="bottom"/>
          </w:tcPr>
          <w:p>
            <w:pPr>
              <w:ind w:left="13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(97.2)</w:t>
            </w:r>
          </w:p>
        </w:tc>
        <w:tc>
          <w:tcPr>
            <w:tcW w:w="300" w:type="dxa"/>
            <w:vAlign w:val="bottom"/>
          </w:tcPr>
          <w:p>
            <w:pPr>
              <w:spacing w:after="0"/>
              <w:rPr>
                <w:sz w:val="19"/>
                <w:szCs w:val="19"/>
                <w:color w:val="auto"/>
              </w:rPr>
            </w:pPr>
          </w:p>
        </w:tc>
        <w:tc>
          <w:tcPr>
            <w:tcW w:w="15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188"/>
        </w:trPr>
        <w:tc>
          <w:tcPr>
            <w:tcW w:w="420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Cross-currency interest rate contracts designated</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 cash flow hedges: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360"/>
              <w:spacing w:after="0"/>
              <w:rPr>
                <w:sz w:val="20"/>
                <w:szCs w:val="20"/>
                <w:color w:val="auto"/>
              </w:rPr>
            </w:pPr>
            <w:r>
              <w:rPr>
                <w:rFonts w:ascii="Arial" w:cs="Arial" w:eastAsia="Arial" w:hAnsi="Arial"/>
                <w:sz w:val="18"/>
                <w:szCs w:val="18"/>
                <w:color w:val="auto"/>
              </w:rPr>
              <w:t>Other noncurrent assets</w:t>
            </w:r>
          </w:p>
        </w:tc>
        <w:tc>
          <w:tcPr>
            <w:tcW w:w="200" w:type="dxa"/>
            <w:vAlign w:val="bottom"/>
          </w:tcPr>
          <w:p>
            <w:pPr>
              <w:spacing w:after="0"/>
              <w:rPr>
                <w:sz w:val="19"/>
                <w:szCs w:val="19"/>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34.4</w:t>
            </w:r>
          </w:p>
        </w:tc>
        <w:tc>
          <w:tcPr>
            <w:tcW w:w="160" w:type="dxa"/>
            <w:vAlign w:val="bottom"/>
          </w:tcPr>
          <w:p>
            <w:pPr>
              <w:spacing w:after="0"/>
              <w:rPr>
                <w:sz w:val="19"/>
                <w:szCs w:val="19"/>
                <w:color w:val="auto"/>
              </w:rPr>
            </w:pPr>
          </w:p>
        </w:tc>
        <w:tc>
          <w:tcPr>
            <w:tcW w:w="1660" w:type="dxa"/>
            <w:vAlign w:val="bottom"/>
          </w:tcPr>
          <w:p>
            <w:pPr>
              <w:ind w:left="13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34.4</w:t>
            </w:r>
          </w:p>
        </w:tc>
        <w:tc>
          <w:tcPr>
            <w:tcW w:w="300" w:type="dxa"/>
            <w:vAlign w:val="bottom"/>
          </w:tcPr>
          <w:p>
            <w:pPr>
              <w:spacing w:after="0"/>
              <w:rPr>
                <w:sz w:val="19"/>
                <w:szCs w:val="19"/>
                <w:color w:val="auto"/>
              </w:rPr>
            </w:pPr>
          </w:p>
        </w:tc>
        <w:tc>
          <w:tcPr>
            <w:tcW w:w="15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liabilities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88"/>
        </w:trPr>
        <w:tc>
          <w:tcPr>
            <w:tcW w:w="4200" w:type="dxa"/>
            <w:vAlign w:val="bottom"/>
          </w:tcPr>
          <w:p>
            <w:pPr>
              <w:ind w:left="220"/>
              <w:spacing w:after="0" w:line="189" w:lineRule="exact"/>
              <w:rPr>
                <w:sz w:val="20"/>
                <w:szCs w:val="20"/>
                <w:color w:val="auto"/>
              </w:rPr>
            </w:pPr>
            <w:r>
              <w:rPr>
                <w:rFonts w:ascii="Arial" w:cs="Arial" w:eastAsia="Arial" w:hAnsi="Arial"/>
                <w:sz w:val="18"/>
                <w:szCs w:val="18"/>
                <w:color w:val="auto"/>
              </w:rPr>
              <w:t>Foreign exchange contracts not designated as</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200" w:type="dxa"/>
            <w:vAlign w:val="bottom"/>
          </w:tcPr>
          <w:p>
            <w:pPr>
              <w:ind w:left="220"/>
              <w:spacing w:after="0"/>
              <w:rPr>
                <w:sz w:val="20"/>
                <w:szCs w:val="20"/>
                <w:color w:val="auto"/>
              </w:rPr>
            </w:pPr>
            <w:r>
              <w:rPr>
                <w:rFonts w:ascii="Arial" w:cs="Arial" w:eastAsia="Arial" w:hAnsi="Arial"/>
                <w:sz w:val="18"/>
                <w:szCs w:val="18"/>
                <w:color w:val="auto"/>
              </w:rPr>
              <w:t>hedging instruments: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receivables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41.1</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41.1</w:t>
            </w:r>
          </w:p>
        </w:tc>
        <w:tc>
          <w:tcPr>
            <w:tcW w:w="3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29"/>
        </w:trPr>
        <w:tc>
          <w:tcPr>
            <w:tcW w:w="4200" w:type="dxa"/>
            <w:vAlign w:val="bottom"/>
          </w:tcPr>
          <w:p>
            <w:pPr>
              <w:ind w:left="36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(15.2)</w:t>
            </w:r>
          </w:p>
        </w:tc>
        <w:tc>
          <w:tcPr>
            <w:tcW w:w="160" w:type="dxa"/>
            <w:vAlign w:val="bottom"/>
          </w:tcPr>
          <w:p>
            <w:pPr>
              <w:spacing w:after="0"/>
              <w:rPr>
                <w:sz w:val="19"/>
                <w:szCs w:val="19"/>
                <w:color w:val="auto"/>
              </w:rPr>
            </w:pPr>
          </w:p>
        </w:tc>
        <w:tc>
          <w:tcPr>
            <w:tcW w:w="1660" w:type="dxa"/>
            <w:vAlign w:val="bottom"/>
          </w:tcPr>
          <w:p>
            <w:pPr>
              <w:ind w:left="13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(15.2)</w:t>
            </w:r>
          </w:p>
        </w:tc>
        <w:tc>
          <w:tcPr>
            <w:tcW w:w="300" w:type="dxa"/>
            <w:vAlign w:val="bottom"/>
          </w:tcPr>
          <w:p>
            <w:pPr>
              <w:spacing w:after="0"/>
              <w:rPr>
                <w:sz w:val="19"/>
                <w:szCs w:val="19"/>
                <w:color w:val="auto"/>
              </w:rPr>
            </w:pPr>
          </w:p>
        </w:tc>
        <w:tc>
          <w:tcPr>
            <w:tcW w:w="15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864"/>
        </w:trPr>
        <w:tc>
          <w:tcPr>
            <w:tcW w:w="4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ind w:left="20"/>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5" w:right="339" w:bottom="1440" w:gutter="0" w:footer="0" w:header="0"/>
        </w:sectPr>
      </w:pPr>
    </w:p>
    <w:bookmarkStart w:id="27" w:name="page28"/>
    <w:bookmarkEnd w:id="27"/>
    <w:p>
      <w:pPr>
        <w:ind w:right="120"/>
        <w:spacing w:after="0" w:line="254" w:lineRule="auto"/>
        <w:rPr>
          <w:sz w:val="20"/>
          <w:szCs w:val="20"/>
          <w:color w:val="auto"/>
        </w:rPr>
      </w:pPr>
      <w:r>
        <w:rPr>
          <w:rFonts w:ascii="Arial" w:cs="Arial" w:eastAsia="Arial" w:hAnsi="Arial"/>
          <w:sz w:val="18"/>
          <w:szCs w:val="18"/>
          <w:color w:val="auto"/>
        </w:rPr>
        <w:t>Risk-management instruments above are disclosed on a gross basis. There are various rights of setoff associated with certain of the risk-management instruments above that are subject to enforceable master netting arrangements or similar agreements. Although various rights of setoff and master netting arrangements or similar agreements may exist with the individual counterparties to the risk-management instruments above, individually, these financial rights are not material.</w:t>
      </w:r>
    </w:p>
    <w:p>
      <w:pPr>
        <w:spacing w:after="0" w:line="96"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We determine our Level 1 and Level 2 fair value measurements based on a market approach using quoted market values, significant other observable inputs for identical or comparable assets or liabilities, or discounted cash flow analyses. Level 3 fair value measurements for other investment securities are determined using unobservable inputs, including the investments' cost adjusted for impairments and price changes from orderly transactions. Fair values are not readily available for certain equity investments measured under the measurement alternative. As of June 30, 2021, we had approximately $758 million of unfunded commitments to invest in venture capital funds, which we anticipate will be paid over a period of up to 10 years.</w:t>
      </w:r>
    </w:p>
    <w:p>
      <w:pPr>
        <w:spacing w:after="0" w:line="10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Contingent consideration liability relates to our liability arising in connection with the CVR issued as a result of the Prevail acquisition. The fair value of the CVR liability was estimated using a discounted cash flow analysis and Level 3 inputs, including projections representative of a market participant's view of the expected cash payment associated with the first potential regulatory approval of a Prevail compound in the applicable countries based on probabilities of technical success, timing of the potential approval events for the compounds, and an estimated discount rate. See Note 3 for additional information related to the CVR arrangement.</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contractual maturities of our investments in debt securities measured at fair value as of June 30, 2021:</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Maturities by Period</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2"/>
                <w:szCs w:val="12"/>
                <w:color w:val="auto"/>
              </w:rPr>
            </w:pPr>
          </w:p>
        </w:tc>
        <w:tc>
          <w:tcPr>
            <w:tcW w:w="1040" w:type="dxa"/>
            <w:vAlign w:val="bottom"/>
          </w:tcPr>
          <w:p>
            <w:pPr>
              <w:jc w:val="center"/>
              <w:ind w:right="102"/>
              <w:spacing w:after="0" w:line="142" w:lineRule="exact"/>
              <w:rPr>
                <w:sz w:val="20"/>
                <w:szCs w:val="20"/>
                <w:color w:val="auto"/>
              </w:rPr>
            </w:pPr>
            <w:r>
              <w:rPr>
                <w:rFonts w:ascii="Arial" w:cs="Arial" w:eastAsia="Arial" w:hAnsi="Arial"/>
                <w:sz w:val="14"/>
                <w:szCs w:val="14"/>
                <w:b w:val="1"/>
                <w:bCs w:val="1"/>
                <w:color w:val="auto"/>
              </w:rPr>
              <w:t>Less Than</w:t>
            </w:r>
          </w:p>
        </w:tc>
        <w:tc>
          <w:tcPr>
            <w:tcW w:w="400" w:type="dxa"/>
            <w:vAlign w:val="bottom"/>
          </w:tcPr>
          <w:p>
            <w:pPr>
              <w:spacing w:after="0"/>
              <w:rPr>
                <w:sz w:val="12"/>
                <w:szCs w:val="12"/>
                <w:color w:val="auto"/>
              </w:rPr>
            </w:pPr>
          </w:p>
        </w:tc>
        <w:tc>
          <w:tcPr>
            <w:tcW w:w="1080" w:type="dxa"/>
            <w:vAlign w:val="bottom"/>
          </w:tcPr>
          <w:p>
            <w:pPr>
              <w:jc w:val="center"/>
              <w:ind w:right="302"/>
              <w:spacing w:after="0" w:line="142" w:lineRule="exact"/>
              <w:rPr>
                <w:sz w:val="20"/>
                <w:szCs w:val="20"/>
                <w:color w:val="auto"/>
              </w:rPr>
            </w:pPr>
            <w:r>
              <w:rPr>
                <w:rFonts w:ascii="Arial" w:cs="Arial" w:eastAsia="Arial" w:hAnsi="Arial"/>
                <w:sz w:val="14"/>
                <w:szCs w:val="14"/>
                <w:b w:val="1"/>
                <w:bCs w:val="1"/>
                <w:color w:val="auto"/>
              </w:rPr>
              <w:t>1-5</w:t>
            </w:r>
          </w:p>
        </w:tc>
        <w:tc>
          <w:tcPr>
            <w:tcW w:w="280" w:type="dxa"/>
            <w:vAlign w:val="bottom"/>
          </w:tcPr>
          <w:p>
            <w:pPr>
              <w:spacing w:after="0"/>
              <w:rPr>
                <w:sz w:val="12"/>
                <w:szCs w:val="12"/>
                <w:color w:val="auto"/>
              </w:rPr>
            </w:pPr>
          </w:p>
        </w:tc>
        <w:tc>
          <w:tcPr>
            <w:tcW w:w="1000" w:type="dxa"/>
            <w:vAlign w:val="bottom"/>
          </w:tcPr>
          <w:p>
            <w:pPr>
              <w:jc w:val="right"/>
              <w:ind w:right="422"/>
              <w:spacing w:after="0" w:line="142" w:lineRule="exact"/>
              <w:rPr>
                <w:sz w:val="20"/>
                <w:szCs w:val="20"/>
                <w:color w:val="auto"/>
              </w:rPr>
            </w:pPr>
            <w:r>
              <w:rPr>
                <w:rFonts w:ascii="Arial" w:cs="Arial" w:eastAsia="Arial" w:hAnsi="Arial"/>
                <w:sz w:val="14"/>
                <w:szCs w:val="14"/>
                <w:b w:val="1"/>
                <w:bCs w:val="1"/>
                <w:color w:val="auto"/>
              </w:rPr>
              <w:t>6-10</w:t>
            </w:r>
          </w:p>
        </w:tc>
        <w:tc>
          <w:tcPr>
            <w:tcW w:w="280" w:type="dxa"/>
            <w:vAlign w:val="bottom"/>
          </w:tcPr>
          <w:p>
            <w:pPr>
              <w:spacing w:after="0"/>
              <w:rPr>
                <w:sz w:val="12"/>
                <w:szCs w:val="12"/>
                <w:color w:val="auto"/>
              </w:rPr>
            </w:pPr>
          </w:p>
        </w:tc>
        <w:tc>
          <w:tcPr>
            <w:tcW w:w="1060" w:type="dxa"/>
            <w:vAlign w:val="bottom"/>
          </w:tcPr>
          <w:p>
            <w:pPr>
              <w:jc w:val="center"/>
              <w:ind w:right="102"/>
              <w:spacing w:after="0" w:line="142"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75"/>
        </w:trPr>
        <w:tc>
          <w:tcPr>
            <w:tcW w:w="44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9"/>
              </w:rPr>
              <w:t>1 Year</w:t>
            </w:r>
          </w:p>
        </w:tc>
        <w:tc>
          <w:tcPr>
            <w:tcW w:w="4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302"/>
              <w:spacing w:after="0"/>
              <w:rPr>
                <w:sz w:val="20"/>
                <w:szCs w:val="20"/>
                <w:color w:val="auto"/>
              </w:rPr>
            </w:pPr>
            <w:r>
              <w:rPr>
                <w:rFonts w:ascii="Arial" w:cs="Arial" w:eastAsia="Arial" w:hAnsi="Arial"/>
                <w:sz w:val="14"/>
                <w:szCs w:val="14"/>
                <w:b w:val="1"/>
                <w:bCs w:val="1"/>
                <w:color w:val="auto"/>
                <w:w w:val="99"/>
              </w:rPr>
              <w:t>Years</w:t>
            </w: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w w:val="99"/>
              </w:rPr>
              <w:t>Years</w:t>
            </w: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10 Years</w:t>
            </w:r>
          </w:p>
        </w:tc>
        <w:tc>
          <w:tcPr>
            <w:tcW w:w="0" w:type="dxa"/>
            <w:vAlign w:val="bottom"/>
          </w:tcPr>
          <w:p>
            <w:pPr>
              <w:spacing w:after="0"/>
              <w:rPr>
                <w:sz w:val="1"/>
                <w:szCs w:val="1"/>
                <w:color w:val="auto"/>
              </w:rPr>
            </w:pPr>
          </w:p>
        </w:tc>
      </w:tr>
      <w:tr>
        <w:trPr>
          <w:trHeight w:val="223"/>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debt securities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502.9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40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2"/>
              <w:spacing w:after="0"/>
              <w:rPr>
                <w:sz w:val="20"/>
                <w:szCs w:val="20"/>
                <w:color w:val="auto"/>
              </w:rPr>
            </w:pPr>
            <w:r>
              <w:rPr>
                <w:rFonts w:ascii="Arial" w:cs="Arial" w:eastAsia="Arial" w:hAnsi="Arial"/>
                <w:sz w:val="18"/>
                <w:szCs w:val="18"/>
                <w:color w:val="auto"/>
              </w:rPr>
              <w:t>163.9</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128.1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189.3</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The net gains recognized in our consolidated condensed statements of operations for equity securities were $215.4 million and $517.0 million for the three and six months ended June 30, 2021, respectively, and $576.8 million and $763.4 million for the three and six months ended June 30, 2020, respectively. The net gains/losses recognized during the three and six months ended June 30, 2021 and 2020 on equity securities sold during the respective periods were not material.</w:t>
      </w:r>
    </w:p>
    <w:p>
      <w:pPr>
        <w:spacing w:after="0" w:line="9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adjust our equity investments without readily determinable fair values based upon changes in the equity instruments' values resulting from observable price changes in orderly transactions for an identical or similar investment of the same issuer. Downward adjustments resulting from an impairment are recorded based upon impairment considerations, including the financial condition and near term prospects of the issuer, general market conditions, and industry specific factors. Adjustments recorded during the three and six months ended June 30, 2021 and 2020 were not material.</w:t>
      </w:r>
    </w:p>
    <w:p>
      <w:pPr>
        <w:spacing w:after="0" w:line="97"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A summary of the fair value of available-for-sale securities in an unrealized gain or loss position and the amount of unrealized gains and losses in accumulated other comprehensive loss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June 30, 2021</w:t>
            </w:r>
          </w:p>
        </w:tc>
        <w:tc>
          <w:tcPr>
            <w:tcW w:w="2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December 31, 2020</w:t>
            </w:r>
          </w:p>
        </w:tc>
      </w:tr>
      <w:tr>
        <w:trPr>
          <w:trHeight w:val="223"/>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gross gains</w:t>
            </w:r>
          </w:p>
        </w:tc>
        <w:tc>
          <w:tcPr>
            <w:tcW w:w="19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56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14.5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Unrealized gross losses</w:t>
            </w:r>
          </w:p>
        </w:tc>
        <w:tc>
          <w:tcPr>
            <w:tcW w:w="1900" w:type="dxa"/>
            <w:vAlign w:val="bottom"/>
          </w:tcPr>
          <w:p>
            <w:pPr>
              <w:spacing w:after="0"/>
              <w:rPr>
                <w:sz w:val="19"/>
                <w:szCs w:val="19"/>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b w:val="1"/>
                <w:bCs w:val="1"/>
                <w:color w:val="auto"/>
              </w:rPr>
              <w:t>2.9</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securities in an unrealized gain position</w:t>
            </w:r>
          </w:p>
        </w:tc>
        <w:tc>
          <w:tcPr>
            <w:tcW w:w="19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338.1</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348.9</w:t>
            </w:r>
          </w:p>
        </w:tc>
      </w:tr>
      <w:tr>
        <w:trPr>
          <w:trHeight w:val="239"/>
        </w:trPr>
        <w:tc>
          <w:tcPr>
            <w:tcW w:w="5860" w:type="dxa"/>
            <w:vAlign w:val="bottom"/>
          </w:tcPr>
          <w:p>
            <w:pPr>
              <w:ind w:left="20"/>
              <w:spacing w:after="0"/>
              <w:rPr>
                <w:sz w:val="20"/>
                <w:szCs w:val="20"/>
                <w:color w:val="auto"/>
              </w:rPr>
            </w:pPr>
            <w:r>
              <w:rPr>
                <w:rFonts w:ascii="Arial" w:cs="Arial" w:eastAsia="Arial" w:hAnsi="Arial"/>
                <w:sz w:val="18"/>
                <w:szCs w:val="18"/>
                <w:color w:val="auto"/>
              </w:rPr>
              <w:t>Fair value of securities in an unrealized loss position</w:t>
            </w:r>
          </w:p>
        </w:tc>
        <w:tc>
          <w:tcPr>
            <w:tcW w:w="1900" w:type="dxa"/>
            <w:vAlign w:val="bottom"/>
          </w:tcPr>
          <w:p>
            <w:pPr>
              <w:spacing w:after="0"/>
              <w:rPr>
                <w:sz w:val="20"/>
                <w:szCs w:val="20"/>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b w:val="1"/>
                <w:bCs w:val="1"/>
                <w:color w:val="auto"/>
              </w:rPr>
              <w:t>164.8</w:t>
            </w:r>
          </w:p>
        </w:tc>
        <w:tc>
          <w:tcPr>
            <w:tcW w:w="2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11.4</w:t>
            </w:r>
          </w:p>
        </w:tc>
      </w:tr>
    </w:tbl>
    <w:p>
      <w:pPr>
        <w:spacing w:after="0" w:line="19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periodically assess our investment in available-for-sale securities for impairment losses and credit losses. The amount of credit losses are determined by comparing the difference between the present value of future cash flows expected to be collected on these securities and the amortized cost. Factors considered in assessing credit losses include the position in the capital structure, vintage and amount of collateral, delinquency rates, current credit support, and geographic concentration. Impairment and credit losses related to available-for-sale securities were not material for the three and six months ended June 30, 2021 and 2020.</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6" w:right="359" w:bottom="1440" w:gutter="0" w:footer="0" w:header="0"/>
        </w:sectPr>
      </w:pPr>
    </w:p>
    <w:bookmarkStart w:id="28" w:name="page29"/>
    <w:bookmarkEnd w:id="28"/>
    <w:p>
      <w:pPr>
        <w:ind w:right="160"/>
        <w:spacing w:after="0" w:line="253" w:lineRule="auto"/>
        <w:rPr>
          <w:sz w:val="20"/>
          <w:szCs w:val="20"/>
          <w:color w:val="auto"/>
        </w:rPr>
      </w:pPr>
      <w:r>
        <w:rPr>
          <w:rFonts w:ascii="Arial" w:cs="Arial" w:eastAsia="Arial" w:hAnsi="Arial"/>
          <w:sz w:val="18"/>
          <w:szCs w:val="18"/>
          <w:color w:val="auto"/>
        </w:rPr>
        <w:t>As of June 30, 2021, the available-for-sale securities in an unrealized loss position include primarily fixed-rate debt securities of varying maturities, which are sensitive to changes in the yield curve and other market conditions. Approximately 98 percent of the fixed-rate debt securities in a loss position are investment-grade debt securities. As of June 30, 2021, we do not intend to sell, and it is not more likely than not that we will be required to sell, the securities in a loss position before the market values recover or the underlying cash flows have been received, and there is no indication of default on interest or principal payments for any of our debt securities.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Activity related to our available-for-sale securities was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00" w:type="dxa"/>
            <w:vAlign w:val="bottom"/>
          </w:tcPr>
          <w:p>
            <w:pPr>
              <w:spacing w:after="0"/>
              <w:rPr>
                <w:sz w:val="16"/>
                <w:szCs w:val="16"/>
                <w:color w:val="auto"/>
              </w:rPr>
            </w:pPr>
          </w:p>
        </w:tc>
        <w:tc>
          <w:tcPr>
            <w:tcW w:w="21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ind w:right="35"/>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66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2020</w:t>
            </w:r>
          </w:p>
        </w:tc>
      </w:tr>
      <w:tr>
        <w:trPr>
          <w:trHeight w:val="223"/>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sales</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44.4</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194.8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87.7</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w:t>
            </w: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Realized gross gains on sales</w:t>
            </w:r>
          </w:p>
        </w:tc>
        <w:tc>
          <w:tcPr>
            <w:tcW w:w="240" w:type="dxa"/>
            <w:vAlign w:val="bottom"/>
          </w:tcPr>
          <w:p>
            <w:pPr>
              <w:spacing w:after="0"/>
              <w:rPr>
                <w:sz w:val="19"/>
                <w:szCs w:val="19"/>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b w:val="1"/>
                <w:bCs w:val="1"/>
                <w:color w:val="auto"/>
              </w:rPr>
              <w:t>0.7</w:t>
            </w:r>
          </w:p>
        </w:tc>
        <w:tc>
          <w:tcPr>
            <w:tcW w:w="300" w:type="dxa"/>
            <w:vAlign w:val="bottom"/>
          </w:tcPr>
          <w:p>
            <w:pPr>
              <w:spacing w:after="0"/>
              <w:rPr>
                <w:sz w:val="19"/>
                <w:szCs w:val="19"/>
                <w:color w:val="auto"/>
              </w:rPr>
            </w:pP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9"/>
                <w:szCs w:val="19"/>
                <w:color w:val="auto"/>
              </w:rPr>
            </w:pPr>
          </w:p>
        </w:tc>
        <w:tc>
          <w:tcPr>
            <w:tcW w:w="920" w:type="dxa"/>
            <w:vAlign w:val="bottom"/>
          </w:tcPr>
          <w:p>
            <w:pPr>
              <w:jc w:val="right"/>
              <w:ind w:right="17"/>
              <w:spacing w:after="0"/>
              <w:rPr>
                <w:sz w:val="20"/>
                <w:szCs w:val="20"/>
                <w:color w:val="auto"/>
              </w:rPr>
            </w:pPr>
            <w:r>
              <w:rPr>
                <w:rFonts w:ascii="Arial" w:cs="Arial" w:eastAsia="Arial" w:hAnsi="Arial"/>
                <w:sz w:val="18"/>
                <w:szCs w:val="18"/>
                <w:b w:val="1"/>
                <w:bCs w:val="1"/>
                <w:color w:val="auto"/>
              </w:rPr>
              <w:t>1.8</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Realized gross losses on sales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0.4</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7.2</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0.8</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r>
    </w:tbl>
    <w:p>
      <w:pPr>
        <w:spacing w:after="0" w:line="161"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Realized gains and losses on sales of available-for-sale investments are computed based upon specific identification of the initial cost adjusted for any other-than-temporary declines in fair value that were recorded in earnings.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Factoring Arrangements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We have entered into accounts receivable factoring agreements with financial institutions to sell certain of our non-U.S. accounts receivable.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These transactions are accounted for as sales and result in a reduction in accounts receivable because the agreements transfer effective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control over and, risk related to, the receivables to the buyers. Our factoring agreements do not allow for recourse in the event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uncollectibility, and we do not retain any interest in the underlying accounts receivable once sold. We derecognized $694.3 million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$754.9 million of accounts receivable as of June 30, 2021 and December 31, 2020, respectively, under these factoring arrangements.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costs of factoring such accounts receivable on our consolidated condensed results of operations for the three and six months ended June 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2021 and 2020 were not material.</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w:t>
      </w:r>
    </w:p>
    <w:p>
      <w:pPr>
        <w:spacing w:after="0" w:line="139"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The effective tax rate was 12.8 percent for the three months ended June 30, 2021, compared with 14.1 percent for the three months ended June 30, 2020. The effective tax rate was 10.6 percent for the six months ended June 30, 2021, compared with 13.7 percent for the six months ended June 30, 2020. The lower effective tax rates for the three and six months ended June 30, 2021 were primarily due to the income tax impact of the excess inventory charges related to our COVID-19 antibodies and lower income tax expense related to lower net gains on investment securities compared to same period in 2020, partially offset by a lower net discrete tax benefit compared to the same period in 2020 and a nondeductible acquired IPR&amp;D charge in the second quarter of 2020.</w:t>
      </w:r>
    </w:p>
    <w:p>
      <w:pPr>
        <w:spacing w:after="0" w:line="100"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The U.S. examination of tax years 2016-2018 began in the fourth quarter of 2019 and remains ongoing. The resolution of this audit period will likely extend beyond the next 12 months.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Note 8: Retirement Benefits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Net pension and retiree health benefit (income) cost included the following components: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3"/>
          </w:tcPr>
          <w:p>
            <w:pPr>
              <w:jc w:val="right"/>
              <w:ind w:right="495"/>
              <w:spacing w:after="0"/>
              <w:rPr>
                <w:sz w:val="20"/>
                <w:szCs w:val="20"/>
                <w:color w:val="auto"/>
              </w:rPr>
            </w:pPr>
            <w:r>
              <w:rPr>
                <w:rFonts w:ascii="Arial" w:cs="Arial" w:eastAsia="Arial" w:hAnsi="Arial"/>
                <w:sz w:val="14"/>
                <w:szCs w:val="14"/>
                <w:b w:val="1"/>
                <w:bCs w:val="1"/>
                <w:color w:val="auto"/>
              </w:rPr>
              <w:t>Defined Benefit Pension Plans</w:t>
            </w:r>
          </w:p>
        </w:tc>
        <w:tc>
          <w:tcPr>
            <w:tcW w:w="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83"/>
        </w:trPr>
        <w:tc>
          <w:tcPr>
            <w:tcW w:w="5440" w:type="dxa"/>
            <w:vAlign w:val="bottom"/>
          </w:tcPr>
          <w:p>
            <w:pPr>
              <w:spacing w:after="0"/>
              <w:rPr>
                <w:sz w:val="15"/>
                <w:szCs w:val="15"/>
                <w:color w:val="auto"/>
              </w:rPr>
            </w:pPr>
          </w:p>
        </w:tc>
        <w:tc>
          <w:tcPr>
            <w:tcW w:w="3200" w:type="dxa"/>
            <w:vAlign w:val="bottom"/>
            <w:tcBorders>
              <w:bottom w:val="single" w:sz="8" w:color="auto"/>
            </w:tcBorders>
            <w:gridSpan w:val="4"/>
          </w:tcPr>
          <w:p>
            <w:pPr>
              <w:jc w:val="right"/>
              <w:ind w:right="515"/>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3"/>
          </w:tcPr>
          <w:p>
            <w:pPr>
              <w:jc w:val="right"/>
              <w:ind w:right="253"/>
              <w:spacing w:after="0"/>
              <w:rPr>
                <w:sz w:val="20"/>
                <w:szCs w:val="20"/>
                <w:color w:val="auto"/>
              </w:rPr>
            </w:pPr>
            <w:r>
              <w:rPr>
                <w:rFonts w:ascii="Arial" w:cs="Arial" w:eastAsia="Arial" w:hAnsi="Arial"/>
                <w:sz w:val="14"/>
                <w:szCs w:val="14"/>
                <w:b w:val="1"/>
                <w:bCs w:val="1"/>
                <w:color w:val="auto"/>
              </w:rPr>
              <w:t>Six Months Ended June 30,</w:t>
            </w:r>
          </w:p>
        </w:tc>
      </w:tr>
      <w:tr>
        <w:trPr>
          <w:trHeight w:val="209"/>
        </w:trPr>
        <w:tc>
          <w:tcPr>
            <w:tcW w:w="5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r>
      <w:tr>
        <w:trPr>
          <w:trHeight w:val="223"/>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Components of net periodic benefit cost:</w:t>
            </w:r>
          </w:p>
        </w:tc>
        <w:tc>
          <w:tcPr>
            <w:tcW w:w="9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544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920" w:type="dxa"/>
            <w:vAlign w:val="bottom"/>
          </w:tcPr>
          <w:p>
            <w:pPr>
              <w:jc w:val="right"/>
              <w:ind w:right="719"/>
              <w:spacing w:after="0"/>
              <w:rPr>
                <w:sz w:val="20"/>
                <w:szCs w:val="20"/>
                <w:color w:val="auto"/>
              </w:rPr>
            </w:pPr>
            <w:r>
              <w:rPr>
                <w:rFonts w:ascii="Arial" w:cs="Arial" w:eastAsia="Arial" w:hAnsi="Arial"/>
                <w:sz w:val="18"/>
                <w:szCs w:val="18"/>
                <w:b w:val="1"/>
                <w:bCs w:val="1"/>
                <w:color w:val="auto"/>
                <w:w w:val="99"/>
              </w:rPr>
              <w:t>$</w:t>
            </w:r>
          </w:p>
        </w:tc>
        <w:tc>
          <w:tcPr>
            <w:tcW w:w="660" w:type="dxa"/>
            <w:vAlign w:val="bottom"/>
          </w:tcPr>
          <w:p>
            <w:pPr>
              <w:jc w:val="right"/>
              <w:ind w:right="50"/>
              <w:spacing w:after="0"/>
              <w:rPr>
                <w:sz w:val="20"/>
                <w:szCs w:val="20"/>
                <w:color w:val="auto"/>
              </w:rPr>
            </w:pPr>
            <w:r>
              <w:rPr>
                <w:rFonts w:ascii="Arial" w:cs="Arial" w:eastAsia="Arial" w:hAnsi="Arial"/>
                <w:sz w:val="18"/>
                <w:szCs w:val="18"/>
                <w:b w:val="1"/>
                <w:bCs w:val="1"/>
                <w:color w:val="auto"/>
              </w:rPr>
              <w:t>93.3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5"/>
              <w:spacing w:after="0"/>
              <w:rPr>
                <w:sz w:val="20"/>
                <w:szCs w:val="20"/>
                <w:color w:val="auto"/>
              </w:rPr>
            </w:pPr>
            <w:r>
              <w:rPr>
                <w:rFonts w:ascii="Arial" w:cs="Arial" w:eastAsia="Arial" w:hAnsi="Arial"/>
                <w:sz w:val="18"/>
                <w:szCs w:val="18"/>
                <w:color w:val="auto"/>
              </w:rPr>
              <w:t>83.0</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35"/>
              <w:spacing w:after="0"/>
              <w:rPr>
                <w:sz w:val="20"/>
                <w:szCs w:val="20"/>
                <w:color w:val="auto"/>
              </w:rPr>
            </w:pPr>
            <w:r>
              <w:rPr>
                <w:rFonts w:ascii="Arial" w:cs="Arial" w:eastAsia="Arial" w:hAnsi="Arial"/>
                <w:sz w:val="18"/>
                <w:szCs w:val="18"/>
                <w:b w:val="1"/>
                <w:bCs w:val="1"/>
                <w:color w:val="auto"/>
              </w:rPr>
              <w:t>185.3</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161.7</w:t>
            </w:r>
          </w:p>
        </w:tc>
      </w:tr>
      <w:tr>
        <w:trPr>
          <w:trHeight w:val="230"/>
        </w:trPr>
        <w:tc>
          <w:tcPr>
            <w:tcW w:w="5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9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84.8</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107.3</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169.1</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212.3</w:t>
            </w:r>
          </w:p>
        </w:tc>
      </w:tr>
      <w:tr>
        <w:trPr>
          <w:trHeight w:val="229"/>
        </w:trPr>
        <w:tc>
          <w:tcPr>
            <w:tcW w:w="544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9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w w:val="98"/>
              </w:rPr>
              <w:t>(237.2)</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(220.6)</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(475.2)</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(441.8)</w:t>
            </w:r>
          </w:p>
        </w:tc>
      </w:tr>
      <w:tr>
        <w:trPr>
          <w:trHeight w:val="229"/>
        </w:trPr>
        <w:tc>
          <w:tcPr>
            <w:tcW w:w="5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prior service cost</w:t>
            </w:r>
          </w:p>
        </w:tc>
        <w:tc>
          <w:tcPr>
            <w:tcW w:w="9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1.1</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2.2</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54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Recognized actuarial loss</w:t>
            </w:r>
          </w:p>
        </w:tc>
        <w:tc>
          <w:tcPr>
            <w:tcW w:w="9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122.6</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117.1</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244.4</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228.1</w:t>
            </w:r>
          </w:p>
        </w:tc>
      </w:tr>
      <w:tr>
        <w:trPr>
          <w:trHeight w:val="230"/>
        </w:trPr>
        <w:tc>
          <w:tcPr>
            <w:tcW w:w="5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periodic benefit cost</w:t>
            </w:r>
          </w:p>
        </w:tc>
        <w:tc>
          <w:tcPr>
            <w:tcW w:w="92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64.6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87.9</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125.8</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w:t>
            </w:r>
          </w:p>
        </w:tc>
      </w:tr>
      <w:tr>
        <w:trPr>
          <w:trHeight w:val="405"/>
        </w:trPr>
        <w:tc>
          <w:tcPr>
            <w:tcW w:w="54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3"/>
          </w:tcPr>
          <w:p>
            <w:pPr>
              <w:jc w:val="right"/>
              <w:ind w:right="575"/>
              <w:spacing w:after="0"/>
              <w:rPr>
                <w:sz w:val="20"/>
                <w:szCs w:val="20"/>
                <w:color w:val="auto"/>
              </w:rPr>
            </w:pPr>
            <w:r>
              <w:rPr>
                <w:rFonts w:ascii="Arial" w:cs="Arial" w:eastAsia="Arial" w:hAnsi="Arial"/>
                <w:sz w:val="14"/>
                <w:szCs w:val="14"/>
                <w:b w:val="1"/>
                <w:bCs w:val="1"/>
                <w:color w:val="auto"/>
              </w:rPr>
              <w:t>Retiree Health Benefit Plans</w:t>
            </w:r>
          </w:p>
        </w:tc>
        <w:tc>
          <w:tcPr>
            <w:tcW w:w="3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183"/>
        </w:trPr>
        <w:tc>
          <w:tcPr>
            <w:tcW w:w="5440" w:type="dxa"/>
            <w:vAlign w:val="bottom"/>
          </w:tcPr>
          <w:p>
            <w:pPr>
              <w:spacing w:after="0"/>
              <w:rPr>
                <w:sz w:val="15"/>
                <w:szCs w:val="15"/>
                <w:color w:val="auto"/>
              </w:rPr>
            </w:pPr>
          </w:p>
        </w:tc>
        <w:tc>
          <w:tcPr>
            <w:tcW w:w="3200" w:type="dxa"/>
            <w:vAlign w:val="bottom"/>
            <w:tcBorders>
              <w:bottom w:val="single" w:sz="8" w:color="auto"/>
            </w:tcBorders>
            <w:gridSpan w:val="4"/>
          </w:tcPr>
          <w:p>
            <w:pPr>
              <w:jc w:val="right"/>
              <w:ind w:right="515"/>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3"/>
          </w:tcPr>
          <w:p>
            <w:pPr>
              <w:jc w:val="right"/>
              <w:ind w:right="253"/>
              <w:spacing w:after="0"/>
              <w:rPr>
                <w:sz w:val="20"/>
                <w:szCs w:val="20"/>
                <w:color w:val="auto"/>
              </w:rPr>
            </w:pPr>
            <w:r>
              <w:rPr>
                <w:rFonts w:ascii="Arial" w:cs="Arial" w:eastAsia="Arial" w:hAnsi="Arial"/>
                <w:sz w:val="14"/>
                <w:szCs w:val="14"/>
                <w:b w:val="1"/>
                <w:bCs w:val="1"/>
                <w:color w:val="auto"/>
              </w:rPr>
              <w:t>Six Months Ended June 30,</w:t>
            </w:r>
          </w:p>
        </w:tc>
      </w:tr>
      <w:tr>
        <w:trPr>
          <w:trHeight w:val="209"/>
        </w:trPr>
        <w:tc>
          <w:tcPr>
            <w:tcW w:w="5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r>
      <w:tr>
        <w:trPr>
          <w:trHeight w:val="223"/>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Components of net periodic benefit income:</w:t>
            </w:r>
          </w:p>
        </w:tc>
        <w:tc>
          <w:tcPr>
            <w:tcW w:w="9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544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920" w:type="dxa"/>
            <w:vAlign w:val="bottom"/>
          </w:tcPr>
          <w:p>
            <w:pPr>
              <w:jc w:val="right"/>
              <w:ind w:right="719"/>
              <w:spacing w:after="0"/>
              <w:rPr>
                <w:sz w:val="20"/>
                <w:szCs w:val="20"/>
                <w:color w:val="auto"/>
              </w:rPr>
            </w:pPr>
            <w:r>
              <w:rPr>
                <w:rFonts w:ascii="Arial" w:cs="Arial" w:eastAsia="Arial" w:hAnsi="Arial"/>
                <w:sz w:val="18"/>
                <w:szCs w:val="18"/>
                <w:b w:val="1"/>
                <w:bCs w:val="1"/>
                <w:color w:val="auto"/>
                <w:w w:val="99"/>
              </w:rPr>
              <w:t>$</w:t>
            </w:r>
          </w:p>
        </w:tc>
        <w:tc>
          <w:tcPr>
            <w:tcW w:w="660" w:type="dxa"/>
            <w:vAlign w:val="bottom"/>
          </w:tcPr>
          <w:p>
            <w:pPr>
              <w:jc w:val="right"/>
              <w:ind w:right="50"/>
              <w:spacing w:after="0"/>
              <w:rPr>
                <w:sz w:val="20"/>
                <w:szCs w:val="20"/>
                <w:color w:val="auto"/>
              </w:rPr>
            </w:pPr>
            <w:r>
              <w:rPr>
                <w:rFonts w:ascii="Arial" w:cs="Arial" w:eastAsia="Arial" w:hAnsi="Arial"/>
                <w:sz w:val="18"/>
                <w:szCs w:val="18"/>
                <w:b w:val="1"/>
                <w:bCs w:val="1"/>
                <w:color w:val="auto"/>
              </w:rPr>
              <w:t>12.9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5"/>
              <w:spacing w:after="0"/>
              <w:rPr>
                <w:sz w:val="20"/>
                <w:szCs w:val="20"/>
                <w:color w:val="auto"/>
              </w:rPr>
            </w:pPr>
            <w:r>
              <w:rPr>
                <w:rFonts w:ascii="Arial" w:cs="Arial" w:eastAsia="Arial" w:hAnsi="Arial"/>
                <w:sz w:val="18"/>
                <w:szCs w:val="18"/>
                <w:color w:val="auto"/>
              </w:rPr>
              <w:t>10.6</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35"/>
              <w:spacing w:after="0"/>
              <w:rPr>
                <w:sz w:val="20"/>
                <w:szCs w:val="20"/>
                <w:color w:val="auto"/>
              </w:rPr>
            </w:pPr>
            <w:r>
              <w:rPr>
                <w:rFonts w:ascii="Arial" w:cs="Arial" w:eastAsia="Arial" w:hAnsi="Arial"/>
                <w:sz w:val="18"/>
                <w:szCs w:val="18"/>
                <w:b w:val="1"/>
                <w:bCs w:val="1"/>
                <w:color w:val="auto"/>
              </w:rPr>
              <w:t>24.6</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20.4</w:t>
            </w:r>
          </w:p>
        </w:tc>
      </w:tr>
      <w:tr>
        <w:trPr>
          <w:trHeight w:val="230"/>
        </w:trPr>
        <w:tc>
          <w:tcPr>
            <w:tcW w:w="5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9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8.2</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10.9</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16.3</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r>
      <w:tr>
        <w:trPr>
          <w:trHeight w:val="229"/>
        </w:trPr>
        <w:tc>
          <w:tcPr>
            <w:tcW w:w="544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9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(36.5)</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(37.4)</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(73.1)</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(74.8)</w:t>
            </w:r>
          </w:p>
        </w:tc>
      </w:tr>
      <w:tr>
        <w:trPr>
          <w:trHeight w:val="229"/>
        </w:trPr>
        <w:tc>
          <w:tcPr>
            <w:tcW w:w="5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prior service benefit</w:t>
            </w:r>
          </w:p>
        </w:tc>
        <w:tc>
          <w:tcPr>
            <w:tcW w:w="9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(14.9)</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(29.8)</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r>
      <w:tr>
        <w:trPr>
          <w:trHeight w:val="230"/>
        </w:trPr>
        <w:tc>
          <w:tcPr>
            <w:tcW w:w="54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Recognized actuarial loss</w:t>
            </w:r>
          </w:p>
        </w:tc>
        <w:tc>
          <w:tcPr>
            <w:tcW w:w="9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0.8</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0.6</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1.6</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5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periodic benefit income</w:t>
            </w:r>
          </w:p>
        </w:tc>
        <w:tc>
          <w:tcPr>
            <w:tcW w:w="92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(60.4)</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w:t>
            </w:r>
          </w:p>
        </w:tc>
      </w:tr>
    </w:tbl>
    <w:p>
      <w:pPr>
        <w:spacing w:after="0" w:line="202"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We contributed approximately $20 million to satisfy minimum funding requirements to our defined benefit pension and retiree health benefit plans during the six months ended June 30, 2021. We contributed approximately $10 million in discretionary funding during the six months ended June 30, 2021. During the remainder of 2021, we expect to make contributions of approximately $10 million to our defined benefit pension and retiree health plans to satisfy minimum funding requirements.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Contingencies</w:t>
      </w:r>
    </w:p>
    <w:p>
      <w:pPr>
        <w:spacing w:after="0" w:line="13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are involved in various lawsuits, claims, government investigations and other legal proceedings that arise in the ordinary course of business. These claims or proceedings can involve various types of parties, including governments, competitors, customers, suppliers, service providers, licensees, employees, or shareholders, among others. These matters may involve patent infringement, antitrust, securities, pricing, sales and marketing practices, environmental, commercial, contractual rights, licensing obligations, health and safety matters, consumer fraud, employment matters, product liability and insurance coverage, among others. The resolution of these matters often develops over a long period of time and expectations can change as a result of new findings, rulings, appeals or settlement arrangements. Legal proceedings that are significant or that we believe could become significant or material are described below.</w:t>
      </w:r>
    </w:p>
    <w:p>
      <w:pPr>
        <w:spacing w:after="0" w:line="9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believe the legal proceedings in which we are named as defendants are without merit and we are defending against them vigorously. It is not possible to determine the outcome of these matters, and we cannot reasonably estimate the maximum potential exposure or the range of possible loss in excess of amounts accrued for any of these matters; however, we believe that the resolution of all such matters will not have a material adverse effect on our consolidated financial position or liquidity, but could possibly be material to our consolidated results of operations in any one accounting period.</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30" w:name="page31"/>
    <w:bookmarkEnd w:id="30"/>
    <w:p>
      <w:pPr>
        <w:ind w:right="20"/>
        <w:spacing w:after="0" w:line="252" w:lineRule="auto"/>
        <w:rPr>
          <w:sz w:val="20"/>
          <w:szCs w:val="20"/>
          <w:color w:val="auto"/>
        </w:rPr>
      </w:pPr>
      <w:r>
        <w:rPr>
          <w:rFonts w:ascii="Arial" w:cs="Arial" w:eastAsia="Arial" w:hAnsi="Arial"/>
          <w:sz w:val="18"/>
          <w:szCs w:val="18"/>
          <w:color w:val="auto"/>
        </w:rPr>
        <w:t>Litigation accruals, environmental liabilities, and the related estimated insurance recoverables are reflected on a gross basis as liabilities and assets, respectively, on our consolidated condensed balance sheets. With respect to the product liability claims currently asserted against us, we have accrued for our estimated exposures to the extent they are both probable and reasonably estimable based on the information available to us. We accrue for certain product liability claims incurred but not filed to the extent we can formulate a reasonable estimate of their costs. We estimate these expenses based primarily on historical claims experience and data regarding product usage. Legal defense costs expected to be incurred in connection with significant product liability loss contingencies are accrued when both probable and reasonably estimable.</w:t>
      </w:r>
    </w:p>
    <w:p>
      <w:pPr>
        <w:spacing w:after="0" w:line="99"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Because of the nature of pharmaceutical products, it is possible that we could become subject to large numbers of additional product liability and related claims in the future. Due to a very restrictive market for product liability insurance, we are self-insured for product liability losses for all our currently and previously marketed products.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Litigation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Alimta Patent Litigation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Patent Litigation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Alimta (pemetrexed) is protected by a vitamin regimen patent until November 2021, plus pediatric exclusivity through May 2022.</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August 2017, we filed a lawsuit in the U.S. District Court for the Southern District of Indiana against Apotex Inc. (Apotex) alleging infringement of Alimta's vitamin regimen patent for its application to market a pemetrexed product. In December 2019, the U.S. District Court for the Southern District of Indiana granted our motion for summary judgment of infringement, and in December 2020, the U.S. Court of Appeals for the Federal Circuit affirmed that ruling. Apotex did not request reconsideration or a rehearing of that ruling and did not petition the U.S. Supreme Court to review the case. This matter is now closed.</w:t>
      </w:r>
    </w:p>
    <w:p>
      <w:pPr>
        <w:spacing w:after="0" w:line="97" w:lineRule="exact"/>
        <w:rPr>
          <w:sz w:val="20"/>
          <w:szCs w:val="20"/>
          <w:color w:val="auto"/>
        </w:rPr>
      </w:pPr>
    </w:p>
    <w:p>
      <w:pPr>
        <w:jc w:val="both"/>
        <w:ind w:right="580"/>
        <w:spacing w:after="0" w:line="256" w:lineRule="auto"/>
        <w:rPr>
          <w:sz w:val="20"/>
          <w:szCs w:val="20"/>
          <w:color w:val="auto"/>
        </w:rPr>
      </w:pPr>
      <w:r>
        <w:rPr>
          <w:rFonts w:ascii="Arial" w:cs="Arial" w:eastAsia="Arial" w:hAnsi="Arial"/>
          <w:sz w:val="18"/>
          <w:szCs w:val="18"/>
          <w:color w:val="auto"/>
        </w:rPr>
        <w:t>In December 2019, we settled a lawsuit we filed against Eagle Pharmaceuticals, Inc. (Eagle) in response to its application to market a product using an alternative form of pemetrexed. Per the settlement agreement, Eagle has a limited initial entry into the market with its product starting February 2022 (up to an approximate three-week supply) and subsequent unlimited entry starting April 2022.</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European Patent Litigation</w:t>
      </w:r>
    </w:p>
    <w:p>
      <w:pPr>
        <w:spacing w:after="0" w:line="135"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In Europe, Alimta (pemetrexed) was protected by the vitamin regimen patent through June 2021. Despite the recent patent expiration, a number of legal proceedings that were initiated prior to expiration are ongoing.</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Emgality Patent Litigation</w:t>
      </w:r>
    </w:p>
    <w:p>
      <w:pPr>
        <w:spacing w:after="0" w:line="135"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In September 2018, we were named as a defendant in litigation filed by Teva Pharmaceuticals International GMBH and Teva Pharmaceuticals USA, Inc. (collectively, Teva) in the U.S. District Court for the District of Massachusetts seeking a ruling that various claims in nine different Teva patents would be infringed by our launch and continued sales of Emgality for the prevention of migraine in adults. Trial is expected in March 2022. In June 2021, we were named as a defendant in a second litigation filed by Teva in the U.S. District Court for the District of Massachusetts seeking a ruling that two of Teva’s patents, which are directed toward use of the active ingredient in Emgality to treat refractory migraine, would be infringed by our continued sales of Emgality.</w:t>
      </w:r>
    </w:p>
    <w:p>
      <w:pPr>
        <w:spacing w:after="0" w:line="8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 xml:space="preserve">Separately, the U.S. Patent and Trademark Office (USPTO) granted our request to initiate an </w:t>
      </w:r>
      <w:r>
        <w:rPr>
          <w:rFonts w:ascii="Arial" w:cs="Arial" w:eastAsia="Arial" w:hAnsi="Arial"/>
          <w:sz w:val="18"/>
          <w:szCs w:val="18"/>
          <w:i w:val="1"/>
          <w:iCs w:val="1"/>
          <w:color w:val="auto"/>
        </w:rPr>
        <w:t>inter partes review</w:t>
      </w:r>
      <w:r>
        <w:rPr>
          <w:rFonts w:ascii="Arial" w:cs="Arial" w:eastAsia="Arial" w:hAnsi="Arial"/>
          <w:sz w:val="18"/>
          <w:szCs w:val="18"/>
          <w:color w:val="auto"/>
        </w:rPr>
        <w:t xml:space="preserve"> (IPR) to reexamine the validity of the nine Teva patents asserted against us in the litigation. In February 2020, the USPTO ruled in our favor and found that the claims asserted against us in six of Teva's nine patents were invalid. In March 2020, the USPTO ruled against us on the remaining three Teva patents, finding that we failed to show that the remaining three patents were unpatentable based on the subset of invalidity arguments available in an IPR proceeding. In April 2020, we appealed the USPTO’s March 2020 ruling, and Teva appealed the USPTO’s February 2020 ruling to the U.S. Court of Appeals for the Federal Circuit. The IPR appeals will proceed in parallel with the district court litigation.</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u w:val="single" w:color="auto"/>
          <w:color w:val="auto"/>
        </w:rPr>
        <w:t>Jardiance Patent Litigation</w:t>
      </w:r>
    </w:p>
    <w:p>
      <w:pPr>
        <w:spacing w:after="0" w:line="1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November 2018, Boehringer Ingelheim (BI), our partner in marketing and development of Jardiance, initiated U.S. patent litigation in the U.S. District Court of Delaware alleging infringement arising from submissions of Abbreviated New Drug Applications (ANDA) by a number of generic companies seeking approval to market generic versions of Jardiance, Glyxambi, and Synjardy in accordance with the procedures set out in the Drug Price Competition and Patent Term Restoration Act of 1984 (the Hatch-Waxman Act). Particularly with respect to Jardiance, the generic companies' ANDAs seek approval to market generic versions of Jardiance prior to the expiration of the relevant patents, and allege that certain patents, including in some allegations the compound patent, are invalid or would not be infringed. We are not a party to this litigation. This litigation has been stayed.</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Taltz Patent Litigation</w:t>
      </w:r>
    </w:p>
    <w:p>
      <w:pPr>
        <w:spacing w:after="0" w:line="13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April 2021, we petitioned the High Court of Ireland to declare invalid the patent that Novartis Pharma AG (Novartis) purchased from Genentech, Inc. in 2020. Novartis responded by filing a claim against us alleging patent infringement related to our commercialization of Taltz and seeking damages for past infringement and an injunction against future infringement. This matter is ongoing.</w:t>
      </w:r>
    </w:p>
    <w:p>
      <w:pPr>
        <w:spacing w:after="0" w:line="9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 April 2021 and June 2021, Novartis petitioned the Court of Rome Intellectual Property Division and the Commercial Court of Vienna, respectively, in preliminary injunction infringement proceedings against us related to our commercialization of Taltz. In June 2021, the Court of Rome Intellectual Property Division dismissed Novartis’ preliminary injunction action. Novartis has appealed the ruling and a hearing is scheduled in September 2021. Both matters are ongoing.</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Zyprexa Canada Patent Litigation</w:t>
      </w:r>
    </w:p>
    <w:p>
      <w:pPr>
        <w:spacing w:after="0" w:line="13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Beginning in the mid-2000’s, several generic companies in Canada challenged the validity of our Zyprexa compound patent. In 2012, the Canadian Federal Court of Appeals denied our appeal of a lower court's decision that certain patent claims were invalid for lack of utility. In 2013, Apotex Inc. and Apotex Pharmachem Inc. (collectively, Apotex) brought claims against us in the Ontario Superior Court of Justice at Toronto for damages related to our enforcement of the Zyprexa compound patent under Canadian regulations governing patented drugs. Apotex seeks compensation based on novel legal theories under the Statute of Monopolies, Trade-Mark Act, and common law. In March 2021, the Ontario Superior Court granted our motion for summary judgement, thereby dismissing Apotex’s case. Apotex appealed that ruling to the Court of Appeal for Ontario in April 2021.</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Liability Litigation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Actos® Product Liability</w:t>
      </w:r>
    </w:p>
    <w:p>
      <w:pPr>
        <w:spacing w:after="0" w:line="13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are named along with Takeda Chemical Industries, Ltd. and Takeda affiliates (collectively, Takeda) as a defendant in four purported product liability class actions in Canada related to Actos, which we commercialized with Takeda in Canada until 2009, including one in Ontario filed December 2011 (</w:t>
      </w:r>
      <w:r>
        <w:rPr>
          <w:rFonts w:ascii="Arial" w:cs="Arial" w:eastAsia="Arial" w:hAnsi="Arial"/>
          <w:sz w:val="18"/>
          <w:szCs w:val="18"/>
          <w:i w:val="1"/>
          <w:iCs w:val="1"/>
          <w:color w:val="auto"/>
        </w:rPr>
        <w:t>Casseres et al. v. Takeda Pharmaceutical North America, Inc., et al.</w:t>
      </w:r>
      <w:r>
        <w:rPr>
          <w:rFonts w:ascii="Arial" w:cs="Arial" w:eastAsia="Arial" w:hAnsi="Arial"/>
          <w:sz w:val="18"/>
          <w:szCs w:val="18"/>
          <w:color w:val="auto"/>
        </w:rPr>
        <w:t>), one in Quebec filed July 2012 (</w:t>
      </w:r>
      <w:r>
        <w:rPr>
          <w:rFonts w:ascii="Arial" w:cs="Arial" w:eastAsia="Arial" w:hAnsi="Arial"/>
          <w:sz w:val="18"/>
          <w:szCs w:val="18"/>
          <w:i w:val="1"/>
          <w:iCs w:val="1"/>
          <w:color w:val="auto"/>
        </w:rPr>
        <w:t>Whyte et</w:t>
      </w:r>
      <w:r>
        <w:rPr>
          <w:rFonts w:ascii="Arial" w:cs="Arial" w:eastAsia="Arial" w:hAnsi="Arial"/>
          <w:sz w:val="18"/>
          <w:szCs w:val="18"/>
          <w:color w:val="auto"/>
        </w:rPr>
        <w:t xml:space="preserve"> </w:t>
      </w:r>
      <w:r>
        <w:rPr>
          <w:rFonts w:ascii="Arial" w:cs="Arial" w:eastAsia="Arial" w:hAnsi="Arial"/>
          <w:sz w:val="18"/>
          <w:szCs w:val="18"/>
          <w:i w:val="1"/>
          <w:iCs w:val="1"/>
          <w:color w:val="auto"/>
        </w:rPr>
        <w:t>al. v. Eli Lilly et al.</w:t>
      </w:r>
      <w:r>
        <w:rPr>
          <w:rFonts w:ascii="Arial" w:cs="Arial" w:eastAsia="Arial" w:hAnsi="Arial"/>
          <w:sz w:val="18"/>
          <w:szCs w:val="18"/>
          <w:color w:val="auto"/>
        </w:rPr>
        <w:t>), one in Saskatchewan filed November 2017 (</w:t>
      </w:r>
      <w:r>
        <w:rPr>
          <w:rFonts w:ascii="Arial" w:cs="Arial" w:eastAsia="Arial" w:hAnsi="Arial"/>
          <w:sz w:val="18"/>
          <w:szCs w:val="18"/>
          <w:i w:val="1"/>
          <w:iCs w:val="1"/>
          <w:color w:val="auto"/>
        </w:rPr>
        <w:t>Weiler v. Takeda Canada Inc. et al.</w:t>
      </w:r>
      <w:r>
        <w:rPr>
          <w:rFonts w:ascii="Arial" w:cs="Arial" w:eastAsia="Arial" w:hAnsi="Arial"/>
          <w:sz w:val="18"/>
          <w:szCs w:val="18"/>
          <w:color w:val="auto"/>
        </w:rPr>
        <w:t>), and one in Alberta filed January 2013</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Epp v. Takeda Canada Inc. et al.</w:t>
      </w:r>
      <w:r>
        <w:rPr>
          <w:rFonts w:ascii="Arial" w:cs="Arial" w:eastAsia="Arial" w:hAnsi="Arial"/>
          <w:sz w:val="18"/>
          <w:szCs w:val="18"/>
          <w:color w:val="auto"/>
        </w:rPr>
        <w:t>). In general, plaintiffs in these actions alleged that Actos caused or contributed to their bladder cancer. An agreement to settle these actions became effective in May 2021, and the settlement claims administration process is ongoing. The lawsuits have been dismissed or discontinued.</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Byetta® Product Liability</w:t>
      </w:r>
    </w:p>
    <w:p>
      <w:pPr>
        <w:spacing w:after="0" w:line="135"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First initiated in March 2009, we are named as a defendant in approximately 570 Byetta product liability lawsuits in the U.S. involving approximately 805 plaintiffs. Approximately 55 of these lawsuits, covering about 285 plaintiffs, are filed in California state court and coordinated in a Los Angeles Superior Court. Approximately 515 of the lawsuits, covering about 515 plaintiffs, are filed in federal court, the majority of which are coordinated in a multi-district litigation (MDL) in the U.S. District Court for the Southern District of California. Two lawsuits, representing approximately two plaintiffs, have also been filed in various state courts. Approximately 565 of the lawsuits, involving approximately 800 plaintiffs, contain allegations that Byetta caused or contributed to the plaintiffs' cancer (primarily pancreatic cancer or thyroid cancer); while six plaintiffs allege Byetta caused or contributed to pancreatitis. In addition, one case alleges that Byetta caused or contributed to ampullary cancer. The federal and state trial courts granted summary judgment in favor of us and our co-defendants on the claims alleging pancreatic cancer. The plaintiffs appealed those rulings.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8" w:right="379" w:bottom="1440" w:gutter="0" w:footer="0" w:header="0"/>
        </w:sectPr>
      </w:pPr>
    </w:p>
    <w:bookmarkStart w:id="32" w:name="page33"/>
    <w:bookmarkEnd w:id="32"/>
    <w:p>
      <w:pPr>
        <w:ind w:right="20"/>
        <w:spacing w:after="0" w:line="252" w:lineRule="auto"/>
        <w:rPr>
          <w:sz w:val="20"/>
          <w:szCs w:val="20"/>
          <w:color w:val="auto"/>
        </w:rPr>
      </w:pPr>
      <w:r>
        <w:rPr>
          <w:rFonts w:ascii="Arial" w:cs="Arial" w:eastAsia="Arial" w:hAnsi="Arial"/>
          <w:sz w:val="18"/>
          <w:szCs w:val="18"/>
          <w:color w:val="auto"/>
        </w:rPr>
        <w:t>In November 2017, the U.S. Court of Appeals for the Ninth Circuit reversed the U.S. District Court for the Southern District of California's grant of summary judgment in the MDL based on that court's discovery rulings and remanded the cases back to the U.S. District Court for further proceedings. In March 2021, the U.S. District Court granted summary judgment for the defendants and in April 2021, the plaintiffs filed a notice of appeal to the U.S. Court of Appeals for the Ninth Circuit. As of July 2021, a number of plaintiffs in the MDL have dismissed their lawsuits, but the majority of the MDL lawsuits currently remain ongoing. In the state court actions, in November 2018, the California Court of Appeal reversed the Los Angeles County Superior Court of California’s grant of summary judgment based on that court's discovery rulings and remanded for further proceedings. In April 2021, the Los Angeles County Superior Court of California granted summary judgment for the defendants.</w:t>
      </w:r>
    </w:p>
    <w:p>
      <w:pPr>
        <w:spacing w:after="0" w:line="97"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We are aware of approximately 20 additional claimants who have not yet filed suit. These additional claims allege damages for pancreatic cancer or thyroid cancer.</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Cialis Product Liability</w:t>
      </w:r>
    </w:p>
    <w:p>
      <w:pPr>
        <w:spacing w:after="0" w:line="135"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 xml:space="preserve">First initiated in August 2015, we are named as a defendant in approximately 350 Cialis product liability lawsuits in the U.S. These cases, many of which were originally filed in various federal courts, contain allegations that Cialis caused or contributed to the plaintiffs' cancer (melanoma). In December 2016, the Judicial Panel on Multidistrict Litigation (JPML) granted the plaintiffs' petition to have filed cases and an unspecified number of future cases coordinated into a federal multidistrict litigation (MDL) in the U.S. District Court for the Northern District of California, alongside an existing coordinated proceeding involving Viagra®. The JPML ordered the transfer of the existing cases to the now-renamed MDL </w:t>
      </w:r>
      <w:r>
        <w:rPr>
          <w:rFonts w:ascii="Arial" w:cs="Arial" w:eastAsia="Arial" w:hAnsi="Arial"/>
          <w:sz w:val="18"/>
          <w:szCs w:val="18"/>
          <w:i w:val="1"/>
          <w:iCs w:val="1"/>
          <w:color w:val="auto"/>
        </w:rPr>
        <w:t>In re: Viagra (Sildenafil Citrate) and Cialis (Tadalafil) Products Liability Litigation</w:t>
      </w:r>
      <w:r>
        <w:rPr>
          <w:rFonts w:ascii="Arial" w:cs="Arial" w:eastAsia="Arial" w:hAnsi="Arial"/>
          <w:sz w:val="18"/>
          <w:szCs w:val="18"/>
          <w:color w:val="auto"/>
        </w:rPr>
        <w:t>. In April 2020, the MDL court granted summary judgment to the defendants on all of the claims brought against them by the plaintiffs. In May 2020, plaintiffs filed an appeal in the U.S. Court of Appeals for the Ninth Circuit. The plaintiffs’ appeal has been administratively closed until August 2021 pending completion of a procedure to resolve the claims in this litigation.</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Jardiance Product Liability</w:t>
      </w:r>
    </w:p>
    <w:p>
      <w:pPr>
        <w:spacing w:after="0" w:line="135"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First initiated in January 2019, we and Boehringer Ingelheim Pharmaceuticals, Inc., a subsidiary of BI, have been named as a defendant in approximately 95 product liability lawsuits in the U.S., mostly in Stamford Superior Court in Connecticut, alleging that Jardiance caused or contributed to plaintiffs’ Fournier’s gangrene. Our agreement with BI calls for BI to defend and indemnify us against any damages, costs, expenses, and certain other losses with respect to product liability claims in accordance with the terms of the agreement.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Proceedings</w:t>
      </w:r>
    </w:p>
    <w:p>
      <w:pPr>
        <w:spacing w:after="0" w:line="139" w:lineRule="exact"/>
        <w:rPr>
          <w:sz w:val="20"/>
          <w:szCs w:val="20"/>
          <w:color w:val="auto"/>
        </w:rPr>
      </w:pPr>
    </w:p>
    <w:p>
      <w:pPr>
        <w:ind w:right="500"/>
        <w:spacing w:after="0" w:line="256" w:lineRule="auto"/>
        <w:rPr>
          <w:sz w:val="20"/>
          <w:szCs w:val="20"/>
          <w:color w:val="auto"/>
        </w:rPr>
      </w:pPr>
      <w:r>
        <w:rPr>
          <w:rFonts w:ascii="Arial" w:cs="Arial" w:eastAsia="Arial" w:hAnsi="Arial"/>
          <w:sz w:val="18"/>
          <w:szCs w:val="18"/>
          <w:color w:val="auto"/>
        </w:rPr>
        <w:t>Under the Comprehensive Environmental Response, Compensation, and Liability Act, commonly known as "Superfund," we have been designated as one of several potentially responsible parties with respect to the cleanup of fewer than 10 sites. Under Superfund, each responsible party may be jointly and severally liable for the entire amount of the cleanup.</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340B Litigation and Investigations</w:t>
      </w:r>
    </w:p>
    <w:p>
      <w:pPr>
        <w:spacing w:after="0" w:line="13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are the plaintiff in a lawsuit filed in January 2021 in the U.S. District Court for the Southern District of Indiana against the U.S. Department of Health and Human Services (HHS), the Secretary of HHS, the Health Resources and Services Administration (HRSA), and the Administrator of HRSA. The lawsuit challenges the HHS's December 30, 2020 advisory opinion stating that drug manufacturers are required to deliver discounts under the 340B program to all contract pharmacies. We seek a declaratory judgment that the defendants violated the Administrative Procedures Act and the U.S. Constitution, a preliminary injunction enjoining implementation of the administrative dispute resolution process created by defendants and, with it, their application of the advisory opinion, and other related relief. In March 2021, the court entered an order preliminarily enjoining the government’s enforcement of the administrative dispute resolution process against Lilly. In May 2021, HRSA notified us that it determined that Lilly’s policy was contrary to the 340B statute. In response, in May 2021, we filed a motion for preliminary injunction and temporary restraining order requesting that the U.S. District Court for the Southern District of Indiana enjoin defendants from taking any action against us relating to the 340B drug pricing program until after the court issues a final judgment on the aforementioned litigation. In May 2021, the court denied our motion for a temporary restraining order but deferred resolution of our motion for preliminary injunction. In June 2021, the defendants withdrew the HHS December 30, 2020 advisory opinion. In July 2021, the court held oral argument on the parties’ cross motions for summary judgment, the defendants’ motion to dismiss, and our motion for preliminary injunction related to HRSA’s May 2021 enforcement letter. This matter is ongoing.</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33" w:name="page34"/>
    <w:bookmarkEnd w:id="33"/>
    <w:p>
      <w:pPr>
        <w:ind w:right="180"/>
        <w:spacing w:after="0" w:line="254" w:lineRule="auto"/>
        <w:rPr>
          <w:sz w:val="20"/>
          <w:szCs w:val="20"/>
          <w:color w:val="auto"/>
        </w:rPr>
      </w:pPr>
      <w:r>
        <w:rPr>
          <w:rFonts w:ascii="Arial" w:cs="Arial" w:eastAsia="Arial" w:hAnsi="Arial"/>
          <w:sz w:val="18"/>
          <w:szCs w:val="18"/>
          <w:color w:val="auto"/>
        </w:rPr>
        <w:t>In January 2021, we, along with other pharmaceutical manufacturers, were named as a defendant in a petition currently pending before the HHS Administrative Dispute Resolution Panel. Petitioner seeks declaratory and other injunctive relief related to the 340B program. As described above, the U.S. District Court for the Southern District of Indiana has entered a preliminary injunction enjoining the government’s enforcement of this administrative dispute resolution process against us.</w:t>
      </w:r>
    </w:p>
    <w:p>
      <w:pPr>
        <w:spacing w:after="0" w:line="96"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In July 2021, we, along with Sanofi-Aventis U.S., LLC, Novo Nordisk Inc., and AstraZeneca Pharmaceuticals LP, were named as a defendant in a purported class action lawsuit filed in the U.S. District Court for the Western District of New York by Mosaic Health, Inc. alleging antitrust and unjust enrichment claims related to the defendants' 340B distribution programs.</w:t>
      </w:r>
    </w:p>
    <w:p>
      <w:pPr>
        <w:spacing w:after="0" w:line="94"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We received a civil investigative subpoena in February 2021 from the Office of the Attorney General for the State of Vermont relating to the sale of pharmaceutical products to Vermont covered entities under the 340B program. We are cooperating with this subpoena.</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Branchburg Manufacturing Facility</w:t>
      </w:r>
    </w:p>
    <w:p>
      <w:pPr>
        <w:spacing w:after="0" w:line="13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In May 2021, we received a subpoena from the United States Department of Justice requesting the production of certain documents relating to our manufacturing site in Branchburg, New Jersey. We are cooperating with the subpoena.</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Brazil Litigation – Cosmopolis Facility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Labor Attorney Litigation</w:t>
      </w:r>
    </w:p>
    <w:p>
      <w:pPr>
        <w:spacing w:after="0" w:line="13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First initiated in 2008, our subsidiary in Brazil, Eli Lilly do Brasil Limitada (Lilly Brasil), is named in a lawsuit brought by the Labor Attorney for the 15th Region in the Labor Court of Paulinia, State of Sao Paulo, Brazil, alleging possible harm to employees and former employees caused by exposure to heavy metals at a former Lilly Brasil manufacturing facility in Cosmopolis, Brazil, operated by the company between 1977 and 2003. In May 2014, the labor court judge ruled against Lilly Brasil, ordering it to undertake several actions of unspecified financial impact, including paying lifetime health coverage for the employees and contractors who worked at the Cosmopolis facility more than six months during the affected years and their children born during and after this period. We appealed this decision. In July 2018, the appeals court affirmed the labor court's ruling with a liquidated award of 300 million Brazilian real (for moral damages, donation of equipment, and creation of a foundation) which, adjusted for inflation and interest using the current Central Bank of Brazil's special system of clearance and custody rate (SELIC), is approximately 950 million Brazilian real (approximately $185 million as of June 30, 2021). The appeals court restricted the broad health coverage awarded by the labor court to health problems that claimants could show arose from exposure to the alleged contamination. In August 2019, Lilly Brasil filed an appeal to the superior labor court. In September 2019, the appeals court stayed a number of elements of its prior decision, including the obligation to provide health coverage for contractors, their children, and children of employees who worked at the Cosmopolis facility, pending the determination of Lilly Brasil’s appeal to the superior labor court. The cost of any such health coverage has not been determined. In June 2021, the appeals court published its decision on the admissibility of Lilly Brasil’s appeal, admitting the majority of the elements of the appeal to proceed; elements not proceeding are subject to an interlocutory appeal to the appeals court filed in June 2021.</w:t>
      </w:r>
    </w:p>
    <w:p>
      <w:pPr>
        <w:spacing w:after="0" w:line="100"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In June 2019, the Labor Attorney filed an application in the labor court for enforcement of the healthcare coverage granted by the appeals court in its July 2018 ruling and requested restrictions on Lilly Brasil’s assets in Brazil. In July 2019, the labor court issued a ruling requiring either a freeze of Lilly Brasil’s immovable property or, alternatively, a security deposit or lien of 500 million Brazilian real. Lilly Brasil filed a writ of mandamus challenging this ruling, but the court has stayed its decision on this writ and instead directed the parties to attend conciliation hearings, a process that concluded unsuccessfully in September 2020. Consequently, the partial stay of the proceedings relating to Lilly Brasil's application to appeal in the main proceedings has been lifted and in June 2021, the court reduced the security deposit or lien to</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100 million Brazilian real from the 500 million Brazilian real referred to above</w:t>
      </w:r>
      <w:r>
        <w:rPr>
          <w:rFonts w:ascii="Arial" w:cs="Arial" w:eastAsia="Arial" w:hAnsi="Arial"/>
          <w:sz w:val="18"/>
          <w:szCs w:val="18"/>
          <w:b w:val="1"/>
          <w:bCs w:val="1"/>
          <w:color w:val="auto"/>
        </w:rPr>
        <w:t>.</w:t>
      </w:r>
      <w:r>
        <w:rPr>
          <w:rFonts w:ascii="Arial" w:cs="Arial" w:eastAsia="Arial" w:hAnsi="Arial"/>
          <w:sz w:val="18"/>
          <w:szCs w:val="18"/>
          <w:color w:val="auto"/>
        </w:rPr>
        <w:t xml:space="preserve"> In addition, the Labor Attorney's application for preliminary enforcement of the July 2018 healthcare coverage ruling was granted. As the conciliation hearings have been unsuccessful, we have filed a brief to strike the Labor Attorney’s application to enforce the previous healthcare coverage. Lilly Brasil is currently awaiting a determination as to whether its application seeking leave to appeal to the superior labor court has been successful.</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Individual Former Employee Litigation</w:t>
      </w:r>
    </w:p>
    <w:p>
      <w:pPr>
        <w:spacing w:after="0" w:line="135"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We are also named in approximately 30 lawsuits filed in the same labor court by individual former employees making similar claims. These lawsuits are each at various stages in the litigation process, with judgments being handed down in approximately half of the lawsuits, nearly all of which are on appeal in the labor courts.</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u w:val="single" w:color="auto"/>
          <w:color w:val="auto"/>
        </w:rPr>
        <w:t>China NDRC Antitrust Matter</w:t>
      </w:r>
    </w:p>
    <w:p>
      <w:pPr>
        <w:spacing w:after="0" w:line="135"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The competition authority in China has investigated our distributor pricing practices in China in connection with a broader inquiry into pharmaceutical industry pricing. We have cooperated with this investigation.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Eastern District of Pennsylvania Pricing (Average Manufacturer Price) Inquiry</w:t>
      </w:r>
    </w:p>
    <w:p>
      <w:pPr>
        <w:spacing w:after="0" w:line="11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 xml:space="preserve">In November 2014, we, along with another pharmaceutical manufacturer, are named as co-defendants in </w:t>
      </w:r>
      <w:r>
        <w:rPr>
          <w:rFonts w:ascii="Arial" w:cs="Arial" w:eastAsia="Arial" w:hAnsi="Arial"/>
          <w:sz w:val="18"/>
          <w:szCs w:val="18"/>
          <w:i w:val="1"/>
          <w:iCs w:val="1"/>
          <w:color w:val="auto"/>
        </w:rPr>
        <w:t>United States et al. ex rel. Streck v.</w:t>
      </w:r>
      <w:r>
        <w:rPr>
          <w:rFonts w:ascii="Arial" w:cs="Arial" w:eastAsia="Arial" w:hAnsi="Arial"/>
          <w:sz w:val="18"/>
          <w:szCs w:val="18"/>
          <w:color w:val="auto"/>
        </w:rPr>
        <w:t xml:space="preserve"> </w:t>
      </w:r>
      <w:r>
        <w:rPr>
          <w:rFonts w:ascii="Arial" w:cs="Arial" w:eastAsia="Arial" w:hAnsi="Arial"/>
          <w:sz w:val="18"/>
          <w:szCs w:val="18"/>
          <w:i w:val="1"/>
          <w:iCs w:val="1"/>
          <w:color w:val="auto"/>
        </w:rPr>
        <w:t>Takeda Pharm. Am., Inc., et al.</w:t>
      </w:r>
      <w:r>
        <w:rPr>
          <w:rFonts w:ascii="Arial" w:cs="Arial" w:eastAsia="Arial" w:hAnsi="Arial"/>
          <w:sz w:val="18"/>
          <w:szCs w:val="18"/>
          <w:color w:val="auto"/>
        </w:rPr>
        <w:t>, which was filed in November 2014 and unsealed in the U.S. District Court for the Northern District of Illinois.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complaint alleges that the defendants should have treated certain credits from distributors as retroactive price increases and included such increases in calculating average manufacturer prices. Trial is scheduled for February 2022.</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Health Choice Alliance</w:t>
      </w:r>
    </w:p>
    <w:p>
      <w:pPr>
        <w:spacing w:after="0" w:line="135"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We are named as a defendant in a lawsuit filed in June 2017 in the U.S. District Court for the Eastern District of Texas seeking damages under the federal anti-kickback statute and state and federal false claims acts for certain patient support programs related to our products Humalog, Humulin, and Forteo. In September 2019, the U.S. District Court granted the U.S. Department of Justice’s motion to dismiss the relator’s second amended complaint. In January 2020, the relator appealed the District Court’s dismissal to the U.S. Court of Appeals for the Fifth Circuit. In July 2021, the U.S. Court of Appeals for the Fifth Circuit affirmed the dismissal of the lawsuit. We are also named as a defendant in two similar lawsuits filed in Texas and New Jersey state courts in October 2019 seeking damages under the Texas Medicaid Fraud Prevention Act and New Jersey Medicaid False Claims Act, respectively. In November 2020, the Texas state court action was stayed pending a final determination with respect to the aforementioned federal lawsuit. In April 2021, the New Jersey state court action was dismissed with prejudice and in June 2021, the relator filed a notice of appeal to the Appellate Division of the New Jersey Superior Court, appealing the state court’s decision.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Pricing Litigation, Investigations, and Inquiries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3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xml:space="preserve">In December 2017, we, along with Sanofi-Aventis U.S. LLC (Sanofi) and Novo Nordisk, Inc. (Novo Nordisk) were named as defendants in a consolidated purported class action lawsuit, </w:t>
      </w:r>
      <w:r>
        <w:rPr>
          <w:rFonts w:ascii="Arial" w:cs="Arial" w:eastAsia="Arial" w:hAnsi="Arial"/>
          <w:sz w:val="18"/>
          <w:szCs w:val="18"/>
          <w:i w:val="1"/>
          <w:iCs w:val="1"/>
          <w:color w:val="auto"/>
        </w:rPr>
        <w:t>In re. Insulin Pricing Litigation</w:t>
      </w:r>
      <w:r>
        <w:rPr>
          <w:rFonts w:ascii="Arial" w:cs="Arial" w:eastAsia="Arial" w:hAnsi="Arial"/>
          <w:sz w:val="18"/>
          <w:szCs w:val="18"/>
          <w:color w:val="auto"/>
        </w:rPr>
        <w:t xml:space="preserve">, in the U.S. District Court for the District of New Jersey relating to insulin pricing seeking damages under various state consumer protection laws and the Federal Racketeer Influenced and Corrupt Organization Act (federal RICO Act). Separately, in February 2018, we, along with Sanofi and Novo Nordisk, were named as defendants in </w:t>
      </w:r>
      <w:r>
        <w:rPr>
          <w:rFonts w:ascii="Arial" w:cs="Arial" w:eastAsia="Arial" w:hAnsi="Arial"/>
          <w:sz w:val="18"/>
          <w:szCs w:val="18"/>
          <w:i w:val="1"/>
          <w:iCs w:val="1"/>
          <w:color w:val="auto"/>
        </w:rPr>
        <w:t>MSP Recovery Claims, Series, LLC et al. v. Sanofi Aventis U.S. LLC et al.</w:t>
      </w:r>
      <w:r>
        <w:rPr>
          <w:rFonts w:ascii="Arial" w:cs="Arial" w:eastAsia="Arial" w:hAnsi="Arial"/>
          <w:sz w:val="18"/>
          <w:szCs w:val="18"/>
          <w:color w:val="auto"/>
        </w:rPr>
        <w:t xml:space="preserve">, in the same court, seeking damages under various state consumer protection laws, common law fraud, unjust enrichment, and the federal RICO Act. In both </w:t>
      </w:r>
      <w:r>
        <w:rPr>
          <w:rFonts w:ascii="Arial" w:cs="Arial" w:eastAsia="Arial" w:hAnsi="Arial"/>
          <w:sz w:val="18"/>
          <w:szCs w:val="18"/>
          <w:i w:val="1"/>
          <w:iCs w:val="1"/>
          <w:color w:val="auto"/>
        </w:rPr>
        <w:t>In re. Insulin Pricing Litigation</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 xml:space="preserve">MSP Recovery Claims </w:t>
      </w:r>
      <w:r>
        <w:rPr>
          <w:rFonts w:ascii="Arial" w:cs="Arial" w:eastAsia="Arial" w:hAnsi="Arial"/>
          <w:sz w:val="18"/>
          <w:szCs w:val="18"/>
          <w:color w:val="auto"/>
        </w:rPr>
        <w:t>litigation, the court dismissed claims under the federal RICO Act and certain state laws. In April 2021, the plaintiffs in</w:t>
      </w:r>
      <w:r>
        <w:rPr>
          <w:rFonts w:ascii="Arial" w:cs="Arial" w:eastAsia="Arial" w:hAnsi="Arial"/>
          <w:sz w:val="18"/>
          <w:szCs w:val="18"/>
          <w:i w:val="1"/>
          <w:iCs w:val="1"/>
          <w:color w:val="auto"/>
        </w:rPr>
        <w:t xml:space="preserve"> In re. Insulin Pricing Litigation </w:t>
      </w:r>
      <w:r>
        <w:rPr>
          <w:rFonts w:ascii="Arial" w:cs="Arial" w:eastAsia="Arial" w:hAnsi="Arial"/>
          <w:sz w:val="18"/>
          <w:szCs w:val="18"/>
          <w:color w:val="auto"/>
        </w:rPr>
        <w:t>amended their complaint to allege additional state law claims for civil conspiracy and violations of state RICO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statutes. Also, filed in the same court in November 2020, we, along with Sanofi, Novo Nordisk, CVS, Express Scripts, and Optum, have been sued in a purported class action, </w:t>
      </w:r>
      <w:r>
        <w:rPr>
          <w:rFonts w:ascii="Arial" w:cs="Arial" w:eastAsia="Arial" w:hAnsi="Arial"/>
          <w:sz w:val="18"/>
          <w:szCs w:val="18"/>
          <w:i w:val="1"/>
          <w:iCs w:val="1"/>
          <w:color w:val="auto"/>
        </w:rPr>
        <w:t>FWK Holdings, LLC v. Novo Nordisk Inc., et al.</w:t>
      </w:r>
      <w:r>
        <w:rPr>
          <w:rFonts w:ascii="Arial" w:cs="Arial" w:eastAsia="Arial" w:hAnsi="Arial"/>
          <w:sz w:val="18"/>
          <w:szCs w:val="18"/>
          <w:color w:val="auto"/>
        </w:rPr>
        <w:t xml:space="preserve">, for alleged violations of the federal RICO Act as well as the New Jersey RICO Act and antitrust law. That same group of defendants, along with Medco Health and United Health Group, also have been sued in other purported class actions in the same court, </w:t>
      </w:r>
      <w:r>
        <w:rPr>
          <w:rFonts w:ascii="Arial" w:cs="Arial" w:eastAsia="Arial" w:hAnsi="Arial"/>
          <w:sz w:val="18"/>
          <w:szCs w:val="18"/>
          <w:i w:val="1"/>
          <w:iCs w:val="1"/>
          <w:color w:val="auto"/>
        </w:rPr>
        <w:t>Rochester Drug Co-Operative Inc. v. Eli Lilly &amp; Co. et al.</w:t>
      </w:r>
      <w:r>
        <w:rPr>
          <w:rFonts w:ascii="Arial" w:cs="Arial" w:eastAsia="Arial" w:hAnsi="Arial"/>
          <w:sz w:val="18"/>
          <w:szCs w:val="18"/>
          <w:color w:val="auto"/>
        </w:rPr>
        <w:t xml:space="preserve"> and </w:t>
      </w:r>
      <w:r>
        <w:rPr>
          <w:rFonts w:ascii="Arial" w:cs="Arial" w:eastAsia="Arial" w:hAnsi="Arial"/>
          <w:sz w:val="18"/>
          <w:szCs w:val="18"/>
          <w:i w:val="1"/>
          <w:iCs w:val="1"/>
          <w:color w:val="auto"/>
        </w:rPr>
        <w:t>Value Drug Co. v. Eli</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Lilly &amp; Co. et al. </w:t>
      </w:r>
      <w:r>
        <w:rPr>
          <w:rFonts w:ascii="Arial" w:cs="Arial" w:eastAsia="Arial" w:hAnsi="Arial"/>
          <w:sz w:val="18"/>
          <w:szCs w:val="18"/>
          <w:color w:val="auto"/>
        </w:rPr>
        <w:t>both initiated in March 2020, for alleged violations of the federal RICO Act. In September 2020, the U.S. District Court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District of New Jersey granted plaintiffs’ motion to consolidate </w:t>
      </w:r>
      <w:r>
        <w:rPr>
          <w:rFonts w:ascii="Arial" w:cs="Arial" w:eastAsia="Arial" w:hAnsi="Arial"/>
          <w:sz w:val="18"/>
          <w:szCs w:val="18"/>
          <w:i w:val="1"/>
          <w:iCs w:val="1"/>
          <w:color w:val="auto"/>
        </w:rPr>
        <w:t>FWK Holdings, LLC v. Novo Nordisk Inc., et al.</w:t>
      </w:r>
      <w:r>
        <w:rPr>
          <w:rFonts w:ascii="Arial" w:cs="Arial" w:eastAsia="Arial" w:hAnsi="Arial"/>
          <w:sz w:val="18"/>
          <w:szCs w:val="18"/>
          <w:color w:val="auto"/>
        </w:rPr>
        <w:t xml:space="preserve">, </w:t>
      </w:r>
      <w:r>
        <w:rPr>
          <w:rFonts w:ascii="Arial" w:cs="Arial" w:eastAsia="Arial" w:hAnsi="Arial"/>
          <w:sz w:val="18"/>
          <w:szCs w:val="18"/>
          <w:i w:val="1"/>
          <w:iCs w:val="1"/>
          <w:color w:val="auto"/>
        </w:rPr>
        <w:t>Rochester Drug Co-Operative</w:t>
      </w:r>
      <w:r>
        <w:rPr>
          <w:rFonts w:ascii="Arial" w:cs="Arial" w:eastAsia="Arial" w:hAnsi="Arial"/>
          <w:sz w:val="18"/>
          <w:szCs w:val="18"/>
          <w:color w:val="auto"/>
        </w:rPr>
        <w:t xml:space="preserve"> </w:t>
      </w:r>
      <w:r>
        <w:rPr>
          <w:rFonts w:ascii="Arial" w:cs="Arial" w:eastAsia="Arial" w:hAnsi="Arial"/>
          <w:sz w:val="18"/>
          <w:szCs w:val="18"/>
          <w:i w:val="1"/>
          <w:iCs w:val="1"/>
          <w:color w:val="auto"/>
        </w:rPr>
        <w:t>Inc. v. Eli Lilly &amp; Co. et al.</w:t>
      </w:r>
      <w:r>
        <w:rPr>
          <w:rFonts w:ascii="Arial" w:cs="Arial" w:eastAsia="Arial" w:hAnsi="Arial"/>
          <w:sz w:val="18"/>
          <w:szCs w:val="18"/>
          <w:color w:val="auto"/>
        </w:rPr>
        <w:t>, and</w:t>
      </w:r>
      <w:r>
        <w:rPr>
          <w:rFonts w:ascii="Arial" w:cs="Arial" w:eastAsia="Arial" w:hAnsi="Arial"/>
          <w:sz w:val="18"/>
          <w:szCs w:val="18"/>
          <w:i w:val="1"/>
          <w:iCs w:val="1"/>
          <w:color w:val="auto"/>
        </w:rPr>
        <w:t xml:space="preserve"> Value Drug Co. v. Eli Lilly &amp; Co. et al. </w:t>
      </w:r>
      <w:r>
        <w:rPr>
          <w:rFonts w:ascii="Arial" w:cs="Arial" w:eastAsia="Arial" w:hAnsi="Arial"/>
          <w:sz w:val="18"/>
          <w:szCs w:val="18"/>
          <w:color w:val="auto"/>
        </w:rPr>
        <w:t>In July 2021, the U.S. District Court for the District of New Jersey</w:t>
      </w:r>
      <w:r>
        <w:rPr>
          <w:rFonts w:ascii="Arial" w:cs="Arial" w:eastAsia="Arial" w:hAnsi="Arial"/>
          <w:sz w:val="18"/>
          <w:szCs w:val="18"/>
          <w:i w:val="1"/>
          <w:iCs w:val="1"/>
          <w:color w:val="auto"/>
        </w:rPr>
        <w:t xml:space="preserve"> </w:t>
      </w:r>
      <w:r>
        <w:rPr>
          <w:rFonts w:ascii="Arial" w:cs="Arial" w:eastAsia="Arial" w:hAnsi="Arial"/>
          <w:sz w:val="18"/>
          <w:szCs w:val="18"/>
          <w:color w:val="auto"/>
        </w:rPr>
        <w:t>dismissed the three antitrust claims alleged by plaintiffs in the consolidated litigation and denied dismissal of the RICO claims.</w:t>
      </w:r>
    </w:p>
    <w:p>
      <w:pPr>
        <w:spacing w:after="0" w:line="8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In October 2018, the Minnesota Attorney General’s Office initiated litigation against us, Sanofi, and Novo Nordisk, </w:t>
      </w:r>
      <w:r>
        <w:rPr>
          <w:rFonts w:ascii="Arial" w:cs="Arial" w:eastAsia="Arial" w:hAnsi="Arial"/>
          <w:sz w:val="18"/>
          <w:szCs w:val="18"/>
          <w:i w:val="1"/>
          <w:iCs w:val="1"/>
          <w:color w:val="auto"/>
        </w:rPr>
        <w:t>State of Minnesota v.</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Sanofi-Aventis U.S. LLC et al., </w:t>
      </w:r>
      <w:r>
        <w:rPr>
          <w:rFonts w:ascii="Arial" w:cs="Arial" w:eastAsia="Arial" w:hAnsi="Arial"/>
          <w:sz w:val="18"/>
          <w:szCs w:val="18"/>
          <w:color w:val="auto"/>
        </w:rPr>
        <w:t>in the U.S. District Court for the District of New Jersey, alleging unjust enrichment, violations of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Minnesota state consumer protection laws, and the federal RICO Act. In March 2021, the U.S. District Court for the District of New Jersey dismissed with prejudice the Minnesota Attorney General’s federal RICO claims and false advertising claims under state law; the consumer fraud and other related state law claims remain ongoing. Additionally, in May 2019, the Kentucky Attorney General’s Office filed a complaint against us, Sanofi, and Novo Nordisk, </w:t>
      </w:r>
      <w:r>
        <w:rPr>
          <w:rFonts w:ascii="Arial" w:cs="Arial" w:eastAsia="Arial" w:hAnsi="Arial"/>
          <w:sz w:val="18"/>
          <w:szCs w:val="18"/>
          <w:i w:val="1"/>
          <w:iCs w:val="1"/>
          <w:color w:val="auto"/>
        </w:rPr>
        <w:t>Commonwealth of Kentucky v. Novo Nordisk, Inc. et al.</w:t>
      </w:r>
      <w:r>
        <w:rPr>
          <w:rFonts w:ascii="Arial" w:cs="Arial" w:eastAsia="Arial" w:hAnsi="Arial"/>
          <w:sz w:val="18"/>
          <w:szCs w:val="18"/>
          <w:color w:val="auto"/>
        </w:rPr>
        <w:t xml:space="preserve">, in Kentucky state court, alleging violations of the Kentucky consumer protection law, false advertising, and unjust enrichment. In November 2019, Harris County in Texas initiated litigation against us, Sanofi, Novo Nordisk, Express Scripts, CVS, Optum, and Aetna, </w:t>
      </w:r>
      <w:r>
        <w:rPr>
          <w:rFonts w:ascii="Arial" w:cs="Arial" w:eastAsia="Arial" w:hAnsi="Arial"/>
          <w:sz w:val="18"/>
          <w:szCs w:val="18"/>
          <w:i w:val="1"/>
          <w:iCs w:val="1"/>
          <w:color w:val="auto"/>
        </w:rPr>
        <w:t>County of Harris Texas v. Eli Lilly &amp; Co., et al.</w:t>
      </w:r>
      <w:r>
        <w:rPr>
          <w:rFonts w:ascii="Arial" w:cs="Arial" w:eastAsia="Arial" w:hAnsi="Arial"/>
          <w:sz w:val="18"/>
          <w:szCs w:val="18"/>
          <w:color w:val="auto"/>
        </w:rPr>
        <w:t>, in federal court in the Southern</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8" w:right="379" w:bottom="1440" w:gutter="0" w:footer="0" w:header="0"/>
        </w:sectPr>
      </w:pPr>
    </w:p>
    <w:bookmarkStart w:id="35" w:name="page36"/>
    <w:bookmarkEnd w:id="35"/>
    <w:p>
      <w:pPr>
        <w:ind w:right="80"/>
        <w:spacing w:after="0" w:line="256" w:lineRule="auto"/>
        <w:rPr>
          <w:sz w:val="20"/>
          <w:szCs w:val="20"/>
          <w:color w:val="auto"/>
        </w:rPr>
      </w:pPr>
      <w:r>
        <w:rPr>
          <w:rFonts w:ascii="Arial" w:cs="Arial" w:eastAsia="Arial" w:hAnsi="Arial"/>
          <w:sz w:val="18"/>
          <w:szCs w:val="18"/>
          <w:color w:val="auto"/>
        </w:rPr>
        <w:t>District of Texas alleging violations of the federal RICO Act, federal and state antitrust law, and the state deceptive trade practices-consumer protection act. Harris County also alleges common law claims such as fraud, unjust enrichment, and civil conspiracy. This lawsuit relates to our insulin products as well as Trulicity.</w:t>
      </w:r>
    </w:p>
    <w:p>
      <w:pPr>
        <w:spacing w:after="0" w:line="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June 2021, the City of Miami, Florida initiated litigation against us, Sanofi, Novo Nordisk, ESI, CVS/Caremark/Aetna, and Optum, asserting state law antitrust, common law fraud, money had and received, unjust enrichment, and civil conspiracy claims. In June 2021, the Mississippi Attorney General’s Office initiated litigation against us, Sanofi, Novo Nordisk, Evernorth/ESI, CVS/Caremark, and United/Optum in the Hinds County, Mississippi Chancery Court, alleging state law consumer protection, unjust enrichment, and civil conspiracy claims.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Investigations, Subpoenas, and Inquiries</w:t>
      </w:r>
    </w:p>
    <w:p>
      <w:pPr>
        <w:spacing w:after="0" w:line="13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 received a subpoena from the New York and Vermont Attorney General Offices and civil investigative demands from the Washington, New Mexico, and Colorado Attorney General Offices relating to the pricing and sale of our insulin products. The Offices of the Attorney General in Mississippi, Washington D.C., California, Florida, Hawaii, and Nevada have requested information relating to the pricing and sale of our insulin products. We also received interrogatories and a subpoena from the California Attorney General's Office regarding our competition in the long-acting insulin market, which was subsequently withdrawn in June 2021.</w:t>
      </w:r>
    </w:p>
    <w:p>
      <w:pPr>
        <w:spacing w:after="0" w:line="9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received two requests from the House of Representatives’ Committee on Energy and Commerce and a request from the Senate’s Committee on Health, Education, Labor, and Pensions seeking certain information related to the pricing of insulin products, among other issues. We also received requests from the House of Representatives’ Committee on Oversight and Reform and the Senate’s Committee on Finance, which seek detailed commercial information and business records. In January 2021, the Senate’s Committee on Finance released a report summarizing the findings of its investigation.</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We are cooperating with all of these aforementioned investigations, subpoenas, and inquiries.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Corporation Technologies, Inc.</w:t>
      </w:r>
    </w:p>
    <w:p>
      <w:pPr>
        <w:spacing w:after="0" w:line="13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April 2016, we were named as a defendant in litigation filed by Research Corporation Technologies, Inc. (RCT) in the U.S. District Court for the District of Arizona. RCT is seeking damages for breach of contract, unjust enrichment, and conversion related to processes used to manufacture certain products, including Humalog and Humulin. A trial date has not been set.</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6" w:right="3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Note 10: Other Comprehensive Income (Loss)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activity related to each component of other comprehensive income (loss) during the three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30, 2021 and 2020:</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5"/>
              </w:rPr>
              <w:t>Foreign Currency</w:t>
            </w:r>
          </w:p>
        </w:tc>
        <w:tc>
          <w:tcPr>
            <w:tcW w:w="200" w:type="dxa"/>
            <w:vAlign w:val="bottom"/>
          </w:tcPr>
          <w:p>
            <w:pPr>
              <w:spacing w:after="0"/>
              <w:rPr>
                <w:sz w:val="13"/>
                <w:szCs w:val="13"/>
                <w:color w:val="auto"/>
              </w:rPr>
            </w:pPr>
          </w:p>
        </w:tc>
        <w:tc>
          <w:tcPr>
            <w:tcW w:w="1100" w:type="dxa"/>
            <w:vAlign w:val="bottom"/>
            <w:vMerge w:val="restart"/>
          </w:tcPr>
          <w:p>
            <w:pPr>
              <w:jc w:val="center"/>
              <w:ind w:right="100"/>
              <w:spacing w:after="0"/>
              <w:rPr>
                <w:sz w:val="20"/>
                <w:szCs w:val="20"/>
                <w:color w:val="auto"/>
              </w:rPr>
            </w:pPr>
            <w:r>
              <w:rPr>
                <w:rFonts w:ascii="Arial" w:cs="Arial" w:eastAsia="Arial" w:hAnsi="Arial"/>
                <w:sz w:val="13"/>
                <w:szCs w:val="13"/>
                <w:b w:val="1"/>
                <w:bCs w:val="1"/>
                <w:color w:val="auto"/>
                <w:w w:val="97"/>
              </w:rPr>
              <w:t>Unrealized Net</w:t>
            </w:r>
          </w:p>
        </w:tc>
        <w:tc>
          <w:tcPr>
            <w:tcW w:w="220" w:type="dxa"/>
            <w:vAlign w:val="bottom"/>
          </w:tcPr>
          <w:p>
            <w:pPr>
              <w:spacing w:after="0"/>
              <w:rPr>
                <w:sz w:val="13"/>
                <w:szCs w:val="13"/>
                <w:color w:val="auto"/>
              </w:rPr>
            </w:pPr>
          </w:p>
        </w:tc>
        <w:tc>
          <w:tcPr>
            <w:tcW w:w="1140" w:type="dxa"/>
            <w:vAlign w:val="bottom"/>
          </w:tcPr>
          <w:p>
            <w:pPr>
              <w:jc w:val="center"/>
              <w:ind w:right="102"/>
              <w:spacing w:after="0"/>
              <w:rPr>
                <w:sz w:val="20"/>
                <w:szCs w:val="20"/>
                <w:color w:val="auto"/>
              </w:rPr>
            </w:pPr>
            <w:r>
              <w:rPr>
                <w:rFonts w:ascii="Arial" w:cs="Arial" w:eastAsia="Arial" w:hAnsi="Arial"/>
                <w:sz w:val="13"/>
                <w:szCs w:val="13"/>
                <w:b w:val="1"/>
                <w:bCs w:val="1"/>
                <w:color w:val="auto"/>
                <w:w w:val="96"/>
              </w:rPr>
              <w:t>Defined Benefit</w:t>
            </w:r>
          </w:p>
        </w:tc>
        <w:tc>
          <w:tcPr>
            <w:tcW w:w="128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Effective Portion</w:t>
            </w:r>
          </w:p>
        </w:tc>
        <w:tc>
          <w:tcPr>
            <w:tcW w:w="134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Accumulated Other</w:t>
            </w:r>
          </w:p>
        </w:tc>
        <w:tc>
          <w:tcPr>
            <w:tcW w:w="0" w:type="dxa"/>
            <w:vAlign w:val="bottom"/>
          </w:tcPr>
          <w:p>
            <w:pPr>
              <w:spacing w:after="0"/>
              <w:rPr>
                <w:sz w:val="1"/>
                <w:szCs w:val="1"/>
                <w:color w:val="auto"/>
              </w:rPr>
            </w:pPr>
          </w:p>
        </w:tc>
      </w:tr>
      <w:tr>
        <w:trPr>
          <w:trHeight w:val="122"/>
        </w:trPr>
        <w:tc>
          <w:tcPr>
            <w:tcW w:w="4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jc w:val="center"/>
              <w:ind w:right="102"/>
              <w:spacing w:after="0" w:line="122" w:lineRule="exact"/>
              <w:rPr>
                <w:sz w:val="20"/>
                <w:szCs w:val="20"/>
                <w:color w:val="auto"/>
              </w:rPr>
            </w:pPr>
            <w:r>
              <w:rPr>
                <w:rFonts w:ascii="Arial" w:cs="Arial" w:eastAsia="Arial" w:hAnsi="Arial"/>
                <w:sz w:val="13"/>
                <w:szCs w:val="13"/>
                <w:b w:val="1"/>
                <w:bCs w:val="1"/>
                <w:color w:val="auto"/>
                <w:w w:val="98"/>
              </w:rPr>
              <w:t>Pension and</w:t>
            </w:r>
          </w:p>
        </w:tc>
        <w:tc>
          <w:tcPr>
            <w:tcW w:w="1280" w:type="dxa"/>
            <w:vAlign w:val="bottom"/>
            <w:gridSpan w:val="2"/>
            <w:vMerge w:val="continue"/>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presented net of taxes)</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jc w:val="center"/>
              <w:ind w:right="138"/>
              <w:spacing w:after="0" w:line="122" w:lineRule="exact"/>
              <w:rPr>
                <w:sz w:val="20"/>
                <w:szCs w:val="20"/>
                <w:color w:val="auto"/>
              </w:rPr>
            </w:pPr>
            <w:r>
              <w:rPr>
                <w:rFonts w:ascii="Arial" w:cs="Arial" w:eastAsia="Arial" w:hAnsi="Arial"/>
                <w:sz w:val="13"/>
                <w:szCs w:val="13"/>
                <w:b w:val="1"/>
                <w:bCs w:val="1"/>
                <w:color w:val="auto"/>
                <w:w w:val="96"/>
              </w:rPr>
              <w:t>Translation</w:t>
            </w:r>
          </w:p>
        </w:tc>
        <w:tc>
          <w:tcPr>
            <w:tcW w:w="200" w:type="dxa"/>
            <w:vAlign w:val="bottom"/>
          </w:tcPr>
          <w:p>
            <w:pPr>
              <w:spacing w:after="0"/>
              <w:rPr>
                <w:sz w:val="10"/>
                <w:szCs w:val="10"/>
                <w:color w:val="auto"/>
              </w:rPr>
            </w:pPr>
          </w:p>
        </w:tc>
        <w:tc>
          <w:tcPr>
            <w:tcW w:w="1100" w:type="dxa"/>
            <w:vAlign w:val="bottom"/>
          </w:tcPr>
          <w:p>
            <w:pPr>
              <w:jc w:val="center"/>
              <w:ind w:right="100"/>
              <w:spacing w:after="0" w:line="122" w:lineRule="exact"/>
              <w:rPr>
                <w:sz w:val="20"/>
                <w:szCs w:val="20"/>
                <w:color w:val="auto"/>
              </w:rPr>
            </w:pPr>
            <w:r>
              <w:rPr>
                <w:rFonts w:ascii="Arial" w:cs="Arial" w:eastAsia="Arial" w:hAnsi="Arial"/>
                <w:sz w:val="13"/>
                <w:szCs w:val="13"/>
                <w:b w:val="1"/>
                <w:bCs w:val="1"/>
                <w:color w:val="auto"/>
                <w:w w:val="98"/>
              </w:rPr>
              <w:t>Gains (Losses)</w:t>
            </w:r>
          </w:p>
        </w:tc>
        <w:tc>
          <w:tcPr>
            <w:tcW w:w="220" w:type="dxa"/>
            <w:vAlign w:val="bottom"/>
          </w:tcPr>
          <w:p>
            <w:pPr>
              <w:spacing w:after="0"/>
              <w:rPr>
                <w:sz w:val="10"/>
                <w:szCs w:val="10"/>
                <w:color w:val="auto"/>
              </w:rPr>
            </w:pPr>
          </w:p>
        </w:tc>
        <w:tc>
          <w:tcPr>
            <w:tcW w:w="1140" w:type="dxa"/>
            <w:vAlign w:val="bottom"/>
          </w:tcPr>
          <w:p>
            <w:pPr>
              <w:jc w:val="center"/>
              <w:ind w:right="102"/>
              <w:spacing w:after="0" w:line="122" w:lineRule="exact"/>
              <w:rPr>
                <w:sz w:val="20"/>
                <w:szCs w:val="20"/>
                <w:color w:val="auto"/>
              </w:rPr>
            </w:pPr>
            <w:r>
              <w:rPr>
                <w:rFonts w:ascii="Arial" w:cs="Arial" w:eastAsia="Arial" w:hAnsi="Arial"/>
                <w:sz w:val="13"/>
                <w:szCs w:val="13"/>
                <w:b w:val="1"/>
                <w:bCs w:val="1"/>
                <w:color w:val="auto"/>
                <w:w w:val="96"/>
              </w:rPr>
              <w:t>Retiree Health</w:t>
            </w:r>
          </w:p>
        </w:tc>
        <w:tc>
          <w:tcPr>
            <w:tcW w:w="220" w:type="dxa"/>
            <w:vAlign w:val="bottom"/>
          </w:tcPr>
          <w:p>
            <w:pPr>
              <w:spacing w:after="0"/>
              <w:rPr>
                <w:sz w:val="10"/>
                <w:szCs w:val="10"/>
                <w:color w:val="auto"/>
              </w:rPr>
            </w:pPr>
          </w:p>
        </w:tc>
        <w:tc>
          <w:tcPr>
            <w:tcW w:w="1060" w:type="dxa"/>
            <w:vAlign w:val="bottom"/>
          </w:tcPr>
          <w:p>
            <w:pPr>
              <w:jc w:val="center"/>
              <w:ind w:right="138"/>
              <w:spacing w:after="0" w:line="122" w:lineRule="exact"/>
              <w:rPr>
                <w:sz w:val="20"/>
                <w:szCs w:val="20"/>
                <w:color w:val="auto"/>
              </w:rPr>
            </w:pPr>
            <w:r>
              <w:rPr>
                <w:rFonts w:ascii="Arial" w:cs="Arial" w:eastAsia="Arial" w:hAnsi="Arial"/>
                <w:sz w:val="13"/>
                <w:szCs w:val="13"/>
                <w:b w:val="1"/>
                <w:bCs w:val="1"/>
                <w:color w:val="auto"/>
                <w:w w:val="98"/>
              </w:rPr>
              <w:t>of Cash Flow</w:t>
            </w:r>
          </w:p>
        </w:tc>
        <w:tc>
          <w:tcPr>
            <w:tcW w:w="200" w:type="dxa"/>
            <w:vAlign w:val="bottom"/>
          </w:tcPr>
          <w:p>
            <w:pPr>
              <w:spacing w:after="0"/>
              <w:rPr>
                <w:sz w:val="10"/>
                <w:szCs w:val="10"/>
                <w:color w:val="auto"/>
              </w:rPr>
            </w:pPr>
          </w:p>
        </w:tc>
        <w:tc>
          <w:tcPr>
            <w:tcW w:w="1140" w:type="dxa"/>
            <w:vAlign w:val="bottom"/>
          </w:tcPr>
          <w:p>
            <w:pPr>
              <w:jc w:val="center"/>
              <w:ind w:right="78"/>
              <w:spacing w:after="0" w:line="122" w:lineRule="exact"/>
              <w:rPr>
                <w:sz w:val="20"/>
                <w:szCs w:val="20"/>
                <w:color w:val="auto"/>
              </w:rPr>
            </w:pPr>
            <w:r>
              <w:rPr>
                <w:rFonts w:ascii="Arial" w:cs="Arial" w:eastAsia="Arial" w:hAnsi="Arial"/>
                <w:sz w:val="13"/>
                <w:szCs w:val="13"/>
                <w:b w:val="1"/>
                <w:bCs w:val="1"/>
                <w:color w:val="auto"/>
                <w:w w:val="96"/>
              </w:rPr>
              <w:t>Comprehensive</w:t>
            </w:r>
          </w:p>
        </w:tc>
        <w:tc>
          <w:tcPr>
            <w:tcW w:w="0" w:type="dxa"/>
            <w:vAlign w:val="bottom"/>
          </w:tcPr>
          <w:p>
            <w:pPr>
              <w:spacing w:after="0"/>
              <w:rPr>
                <w:sz w:val="1"/>
                <w:szCs w:val="1"/>
                <w:color w:val="auto"/>
              </w:rPr>
            </w:pPr>
          </w:p>
        </w:tc>
      </w:tr>
      <w:tr>
        <w:trPr>
          <w:trHeight w:val="176"/>
        </w:trPr>
        <w:tc>
          <w:tcPr>
            <w:tcW w:w="436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18"/>
              <w:spacing w:after="0"/>
              <w:rPr>
                <w:sz w:val="20"/>
                <w:szCs w:val="20"/>
                <w:color w:val="auto"/>
              </w:rPr>
            </w:pPr>
            <w:r>
              <w:rPr>
                <w:rFonts w:ascii="Arial" w:cs="Arial" w:eastAsia="Arial" w:hAnsi="Arial"/>
                <w:sz w:val="13"/>
                <w:szCs w:val="13"/>
                <w:b w:val="1"/>
                <w:bCs w:val="1"/>
                <w:color w:val="auto"/>
                <w:w w:val="96"/>
              </w:rPr>
              <w:t>Gains (Losses)</w:t>
            </w: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00"/>
              <w:spacing w:after="0"/>
              <w:rPr>
                <w:sz w:val="20"/>
                <w:szCs w:val="20"/>
                <w:color w:val="auto"/>
              </w:rPr>
            </w:pPr>
            <w:r>
              <w:rPr>
                <w:rFonts w:ascii="Arial" w:cs="Arial" w:eastAsia="Arial" w:hAnsi="Arial"/>
                <w:sz w:val="13"/>
                <w:szCs w:val="13"/>
                <w:b w:val="1"/>
                <w:bCs w:val="1"/>
                <w:color w:val="auto"/>
                <w:w w:val="97"/>
              </w:rPr>
              <w:t>on Securities</w:t>
            </w: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02"/>
              <w:spacing w:after="0"/>
              <w:rPr>
                <w:sz w:val="20"/>
                <w:szCs w:val="20"/>
                <w:color w:val="auto"/>
              </w:rPr>
            </w:pPr>
            <w:r>
              <w:rPr>
                <w:rFonts w:ascii="Arial" w:cs="Arial" w:eastAsia="Arial" w:hAnsi="Arial"/>
                <w:sz w:val="13"/>
                <w:szCs w:val="13"/>
                <w:b w:val="1"/>
                <w:bCs w:val="1"/>
                <w:color w:val="auto"/>
                <w:w w:val="97"/>
              </w:rPr>
              <w:t>Benefit Plans</w:t>
            </w: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38"/>
              <w:spacing w:after="0"/>
              <w:rPr>
                <w:sz w:val="20"/>
                <w:szCs w:val="20"/>
                <w:color w:val="auto"/>
              </w:rPr>
            </w:pPr>
            <w:r>
              <w:rPr>
                <w:rFonts w:ascii="Arial" w:cs="Arial" w:eastAsia="Arial" w:hAnsi="Arial"/>
                <w:sz w:val="13"/>
                <w:szCs w:val="13"/>
                <w:b w:val="1"/>
                <w:bCs w:val="1"/>
                <w:color w:val="auto"/>
                <w:w w:val="93"/>
              </w:rPr>
              <w:t>Hedges</w:t>
            </w: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78"/>
              <w:spacing w:after="0"/>
              <w:rPr>
                <w:sz w:val="20"/>
                <w:szCs w:val="20"/>
                <w:color w:val="auto"/>
              </w:rPr>
            </w:pPr>
            <w:r>
              <w:rPr>
                <w:rFonts w:ascii="Arial" w:cs="Arial" w:eastAsia="Arial" w:hAnsi="Arial"/>
                <w:sz w:val="13"/>
                <w:szCs w:val="13"/>
                <w:b w:val="1"/>
                <w:bCs w:val="1"/>
                <w:color w:val="auto"/>
                <w:w w:val="98"/>
              </w:rPr>
              <w:t>Loss</w:t>
            </w:r>
          </w:p>
        </w:tc>
        <w:tc>
          <w:tcPr>
            <w:tcW w:w="0" w:type="dxa"/>
            <w:vAlign w:val="bottom"/>
          </w:tcPr>
          <w:p>
            <w:pPr>
              <w:spacing w:after="0"/>
              <w:rPr>
                <w:sz w:val="1"/>
                <w:szCs w:val="1"/>
                <w:color w:val="auto"/>
              </w:rPr>
            </w:pPr>
          </w:p>
        </w:tc>
      </w:tr>
      <w:tr>
        <w:trPr>
          <w:trHeight w:val="223"/>
        </w:trPr>
        <w:tc>
          <w:tcPr>
            <w:tcW w:w="4360" w:type="dxa"/>
            <w:vAlign w:val="bottom"/>
          </w:tcPr>
          <w:p>
            <w:pPr>
              <w:ind w:left="20"/>
              <w:spacing w:after="0"/>
              <w:rPr>
                <w:sz w:val="20"/>
                <w:szCs w:val="20"/>
                <w:color w:val="auto"/>
              </w:rPr>
            </w:pPr>
            <w:r>
              <w:rPr>
                <w:rFonts w:ascii="Arial" w:cs="Arial" w:eastAsia="Arial" w:hAnsi="Arial"/>
                <w:sz w:val="18"/>
                <w:szCs w:val="18"/>
                <w:color w:val="auto"/>
              </w:rPr>
              <w:t>Balance at April 1, 2021</w:t>
            </w:r>
          </w:p>
        </w:tc>
        <w:tc>
          <w:tcPr>
            <w:tcW w:w="16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(1,677.2)</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20"/>
              <w:spacing w:after="0"/>
              <w:rPr>
                <w:sz w:val="20"/>
                <w:szCs w:val="20"/>
                <w:color w:val="auto"/>
              </w:rPr>
            </w:pPr>
            <w:r>
              <w:rPr>
                <w:rFonts w:ascii="Arial" w:cs="Arial" w:eastAsia="Arial" w:hAnsi="Arial"/>
                <w:sz w:val="18"/>
                <w:szCs w:val="18"/>
                <w:b w:val="1"/>
                <w:bCs w:val="1"/>
                <w:color w:val="auto"/>
              </w:rPr>
              <w:t>4.5</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2"/>
              <w:spacing w:after="0"/>
              <w:rPr>
                <w:sz w:val="20"/>
                <w:szCs w:val="20"/>
                <w:color w:val="auto"/>
              </w:rPr>
            </w:pPr>
            <w:r>
              <w:rPr>
                <w:rFonts w:ascii="Arial" w:cs="Arial" w:eastAsia="Arial" w:hAnsi="Arial"/>
                <w:sz w:val="18"/>
                <w:szCs w:val="18"/>
                <w:b w:val="1"/>
                <w:bCs w:val="1"/>
                <w:color w:val="auto"/>
              </w:rPr>
              <w:t>(4,646.3)</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(76.6)</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(6,395.6)</w:t>
            </w:r>
          </w:p>
        </w:tc>
        <w:tc>
          <w:tcPr>
            <w:tcW w:w="0" w:type="dxa"/>
            <w:vAlign w:val="bottom"/>
          </w:tcPr>
          <w:p>
            <w:pPr>
              <w:spacing w:after="0"/>
              <w:rPr>
                <w:sz w:val="1"/>
                <w:szCs w:val="1"/>
                <w:color w:val="auto"/>
              </w:rPr>
            </w:pPr>
          </w:p>
        </w:tc>
      </w:tr>
      <w:tr>
        <w:trPr>
          <w:trHeight w:val="188"/>
        </w:trPr>
        <w:tc>
          <w:tcPr>
            <w:tcW w:w="436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Other comprehensive income (loss) before</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ind w:right="58"/>
              <w:spacing w:after="0"/>
              <w:rPr>
                <w:sz w:val="20"/>
                <w:szCs w:val="20"/>
                <w:color w:val="auto"/>
              </w:rPr>
            </w:pPr>
            <w:r>
              <w:rPr>
                <w:rFonts w:ascii="Arial" w:cs="Arial" w:eastAsia="Arial" w:hAnsi="Arial"/>
                <w:sz w:val="18"/>
                <w:szCs w:val="18"/>
                <w:b w:val="1"/>
                <w:bCs w:val="1"/>
                <w:color w:val="auto"/>
              </w:rPr>
              <w:t>161.0</w:t>
            </w:r>
          </w:p>
        </w:tc>
        <w:tc>
          <w:tcPr>
            <w:tcW w:w="20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4.4</w:t>
            </w:r>
          </w:p>
        </w:tc>
        <w:tc>
          <w:tcPr>
            <w:tcW w:w="22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ind w:right="2"/>
              <w:spacing w:after="0"/>
              <w:rPr>
                <w:sz w:val="20"/>
                <w:szCs w:val="20"/>
                <w:color w:val="auto"/>
              </w:rPr>
            </w:pPr>
            <w:r>
              <w:rPr>
                <w:rFonts w:ascii="Arial" w:cs="Arial" w:eastAsia="Arial" w:hAnsi="Arial"/>
                <w:sz w:val="18"/>
                <w:szCs w:val="18"/>
                <w:b w:val="1"/>
                <w:bCs w:val="1"/>
                <w:color w:val="auto"/>
              </w:rPr>
              <w:t>(10.2)</w:t>
            </w:r>
          </w:p>
        </w:tc>
        <w:tc>
          <w:tcPr>
            <w:tcW w:w="22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(136.8)</w:t>
            </w:r>
          </w:p>
        </w:tc>
        <w:tc>
          <w:tcPr>
            <w:tcW w:w="20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18.4</w:t>
            </w:r>
          </w:p>
        </w:tc>
        <w:tc>
          <w:tcPr>
            <w:tcW w:w="0" w:type="dxa"/>
            <w:vAlign w:val="bottom"/>
          </w:tcPr>
          <w:p>
            <w:pPr>
              <w:spacing w:after="0"/>
              <w:rPr>
                <w:sz w:val="1"/>
                <w:szCs w:val="1"/>
                <w:color w:val="auto"/>
              </w:rPr>
            </w:pPr>
          </w:p>
        </w:tc>
      </w:tr>
      <w:tr>
        <w:trPr>
          <w:trHeight w:val="217"/>
        </w:trPr>
        <w:tc>
          <w:tcPr>
            <w:tcW w:w="4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reclassifications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360" w:type="dxa"/>
            <w:vAlign w:val="bottom"/>
          </w:tcPr>
          <w:p>
            <w:pPr>
              <w:ind w:left="140"/>
              <w:spacing w:after="0" w:line="189" w:lineRule="exact"/>
              <w:rPr>
                <w:sz w:val="20"/>
                <w:szCs w:val="20"/>
                <w:color w:val="auto"/>
              </w:rPr>
            </w:pPr>
            <w:r>
              <w:rPr>
                <w:rFonts w:ascii="Arial" w:cs="Arial" w:eastAsia="Arial" w:hAnsi="Arial"/>
                <w:sz w:val="18"/>
                <w:szCs w:val="18"/>
                <w:color w:val="auto"/>
              </w:rPr>
              <w:t>Net amount reclassified from accumulated other</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vMerge w:val="restart"/>
          </w:tcPr>
          <w:p>
            <w:pPr>
              <w:jc w:val="right"/>
              <w:ind w:right="58"/>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6"/>
                <w:szCs w:val="16"/>
                <w:color w:val="auto"/>
              </w:rPr>
            </w:pPr>
          </w:p>
        </w:tc>
        <w:tc>
          <w:tcPr>
            <w:tcW w:w="1100" w:type="dxa"/>
            <w:vAlign w:val="bottom"/>
            <w:vMerge w:val="restart"/>
          </w:tcPr>
          <w:p>
            <w:pPr>
              <w:jc w:val="right"/>
              <w:ind w:right="20"/>
              <w:spacing w:after="0"/>
              <w:rPr>
                <w:sz w:val="20"/>
                <w:szCs w:val="20"/>
                <w:color w:val="auto"/>
              </w:rPr>
            </w:pPr>
            <w:r>
              <w:rPr>
                <w:rFonts w:ascii="Arial" w:cs="Arial" w:eastAsia="Arial" w:hAnsi="Arial"/>
                <w:sz w:val="18"/>
                <w:szCs w:val="18"/>
                <w:b w:val="1"/>
                <w:bCs w:val="1"/>
                <w:color w:val="auto"/>
              </w:rPr>
              <w:t>0.2</w:t>
            </w:r>
          </w:p>
        </w:tc>
        <w:tc>
          <w:tcPr>
            <w:tcW w:w="220" w:type="dxa"/>
            <w:vAlign w:val="bottom"/>
          </w:tcPr>
          <w:p>
            <w:pPr>
              <w:spacing w:after="0"/>
              <w:rPr>
                <w:sz w:val="16"/>
                <w:szCs w:val="16"/>
                <w:color w:val="auto"/>
              </w:rPr>
            </w:pPr>
          </w:p>
        </w:tc>
        <w:tc>
          <w:tcPr>
            <w:tcW w:w="1140" w:type="dxa"/>
            <w:vAlign w:val="bottom"/>
            <w:vMerge w:val="restart"/>
          </w:tcPr>
          <w:p>
            <w:pPr>
              <w:jc w:val="right"/>
              <w:ind w:right="42"/>
              <w:spacing w:after="0"/>
              <w:rPr>
                <w:sz w:val="20"/>
                <w:szCs w:val="20"/>
                <w:color w:val="auto"/>
              </w:rPr>
            </w:pPr>
            <w:r>
              <w:rPr>
                <w:rFonts w:ascii="Arial" w:cs="Arial" w:eastAsia="Arial" w:hAnsi="Arial"/>
                <w:sz w:val="18"/>
                <w:szCs w:val="18"/>
                <w:b w:val="1"/>
                <w:bCs w:val="1"/>
                <w:color w:val="auto"/>
              </w:rPr>
              <w:t>86.6</w:t>
            </w:r>
          </w:p>
        </w:tc>
        <w:tc>
          <w:tcPr>
            <w:tcW w:w="220" w:type="dxa"/>
            <w:vAlign w:val="bottom"/>
          </w:tcPr>
          <w:p>
            <w:pPr>
              <w:spacing w:after="0"/>
              <w:rPr>
                <w:sz w:val="16"/>
                <w:szCs w:val="16"/>
                <w:color w:val="auto"/>
              </w:rPr>
            </w:pPr>
          </w:p>
        </w:tc>
        <w:tc>
          <w:tcPr>
            <w:tcW w:w="1060" w:type="dxa"/>
            <w:vAlign w:val="bottom"/>
            <w:vMerge w:val="restart"/>
          </w:tcPr>
          <w:p>
            <w:pPr>
              <w:jc w:val="right"/>
              <w:ind w:right="58"/>
              <w:spacing w:after="0"/>
              <w:rPr>
                <w:sz w:val="20"/>
                <w:szCs w:val="20"/>
                <w:color w:val="auto"/>
              </w:rPr>
            </w:pPr>
            <w:r>
              <w:rPr>
                <w:rFonts w:ascii="Arial" w:cs="Arial" w:eastAsia="Arial" w:hAnsi="Arial"/>
                <w:sz w:val="18"/>
                <w:szCs w:val="18"/>
                <w:b w:val="1"/>
                <w:bCs w:val="1"/>
                <w:color w:val="auto"/>
              </w:rPr>
              <w:t>3.3</w:t>
            </w:r>
          </w:p>
        </w:tc>
        <w:tc>
          <w:tcPr>
            <w:tcW w:w="20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90.1</w:t>
            </w:r>
          </w:p>
        </w:tc>
        <w:tc>
          <w:tcPr>
            <w:tcW w:w="0" w:type="dxa"/>
            <w:vAlign w:val="bottom"/>
          </w:tcPr>
          <w:p>
            <w:pPr>
              <w:spacing w:after="0"/>
              <w:rPr>
                <w:sz w:val="1"/>
                <w:szCs w:val="1"/>
                <w:color w:val="auto"/>
              </w:rPr>
            </w:pPr>
          </w:p>
        </w:tc>
      </w:tr>
      <w:tr>
        <w:trPr>
          <w:trHeight w:val="217"/>
        </w:trPr>
        <w:tc>
          <w:tcPr>
            <w:tcW w:w="4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comprehensive loss</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other comprehensive income (loss)</w:t>
            </w: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b w:val="1"/>
                <w:bCs w:val="1"/>
                <w:color w:val="auto"/>
              </w:rPr>
              <w:t>161.0</w:t>
            </w: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4.6</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b w:val="1"/>
                <w:bCs w:val="1"/>
                <w:color w:val="auto"/>
              </w:rPr>
              <w:t>76.4</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(133.5)</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108.5</w:t>
            </w: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Balance at June 30, 2021</w:t>
            </w: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(1,516.2)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b w:val="1"/>
                <w:bCs w:val="1"/>
                <w:color w:val="auto"/>
              </w:rPr>
              <w:t>9.1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b w:val="1"/>
                <w:bCs w:val="1"/>
                <w:color w:val="auto"/>
              </w:rPr>
              <w:t>(4,569.9)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(210.1)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(6,287.1)</w:t>
            </w:r>
          </w:p>
        </w:tc>
        <w:tc>
          <w:tcPr>
            <w:tcW w:w="0" w:type="dxa"/>
            <w:vAlign w:val="bottom"/>
          </w:tcPr>
          <w:p>
            <w:pPr>
              <w:spacing w:after="0"/>
              <w:rPr>
                <w:sz w:val="1"/>
                <w:szCs w:val="1"/>
                <w:color w:val="auto"/>
              </w:rPr>
            </w:pPr>
          </w:p>
        </w:tc>
      </w:tr>
      <w:tr>
        <w:trPr>
          <w:trHeight w:val="338"/>
        </w:trPr>
        <w:tc>
          <w:tcPr>
            <w:tcW w:w="4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5"/>
              </w:rPr>
              <w:t>Foreign Currency</w:t>
            </w:r>
          </w:p>
        </w:tc>
        <w:tc>
          <w:tcPr>
            <w:tcW w:w="200" w:type="dxa"/>
            <w:vAlign w:val="bottom"/>
          </w:tcPr>
          <w:p>
            <w:pPr>
              <w:spacing w:after="0"/>
              <w:rPr>
                <w:sz w:val="24"/>
                <w:szCs w:val="24"/>
                <w:color w:val="auto"/>
              </w:rPr>
            </w:pPr>
          </w:p>
        </w:tc>
        <w:tc>
          <w:tcPr>
            <w:tcW w:w="1100" w:type="dxa"/>
            <w:vAlign w:val="bottom"/>
            <w:vMerge w:val="restart"/>
          </w:tcPr>
          <w:p>
            <w:pPr>
              <w:jc w:val="center"/>
              <w:ind w:right="60"/>
              <w:spacing w:after="0"/>
              <w:rPr>
                <w:sz w:val="20"/>
                <w:szCs w:val="20"/>
                <w:color w:val="auto"/>
              </w:rPr>
            </w:pPr>
            <w:r>
              <w:rPr>
                <w:rFonts w:ascii="Arial" w:cs="Arial" w:eastAsia="Arial" w:hAnsi="Arial"/>
                <w:sz w:val="13"/>
                <w:szCs w:val="13"/>
                <w:b w:val="1"/>
                <w:bCs w:val="1"/>
                <w:color w:val="auto"/>
                <w:w w:val="97"/>
              </w:rPr>
              <w:t>Unrealized Net</w:t>
            </w:r>
          </w:p>
        </w:tc>
        <w:tc>
          <w:tcPr>
            <w:tcW w:w="220" w:type="dxa"/>
            <w:vAlign w:val="bottom"/>
          </w:tcPr>
          <w:p>
            <w:pPr>
              <w:spacing w:after="0"/>
              <w:rPr>
                <w:sz w:val="24"/>
                <w:szCs w:val="24"/>
                <w:color w:val="auto"/>
              </w:rPr>
            </w:pPr>
          </w:p>
        </w:tc>
        <w:tc>
          <w:tcPr>
            <w:tcW w:w="1140" w:type="dxa"/>
            <w:vAlign w:val="bottom"/>
          </w:tcPr>
          <w:p>
            <w:pPr>
              <w:jc w:val="center"/>
              <w:ind w:right="82"/>
              <w:spacing w:after="0"/>
              <w:rPr>
                <w:sz w:val="20"/>
                <w:szCs w:val="20"/>
                <w:color w:val="auto"/>
              </w:rPr>
            </w:pPr>
            <w:r>
              <w:rPr>
                <w:rFonts w:ascii="Arial" w:cs="Arial" w:eastAsia="Arial" w:hAnsi="Arial"/>
                <w:sz w:val="13"/>
                <w:szCs w:val="13"/>
                <w:b w:val="1"/>
                <w:bCs w:val="1"/>
                <w:color w:val="auto"/>
                <w:w w:val="98"/>
              </w:rPr>
              <w:t>Defined Benefit</w:t>
            </w:r>
          </w:p>
        </w:tc>
        <w:tc>
          <w:tcPr>
            <w:tcW w:w="128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Effective Portion</w:t>
            </w:r>
          </w:p>
        </w:tc>
        <w:tc>
          <w:tcPr>
            <w:tcW w:w="134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Accumulated Other</w:t>
            </w:r>
          </w:p>
        </w:tc>
        <w:tc>
          <w:tcPr>
            <w:tcW w:w="0" w:type="dxa"/>
            <w:vAlign w:val="bottom"/>
          </w:tcPr>
          <w:p>
            <w:pPr>
              <w:spacing w:after="0"/>
              <w:rPr>
                <w:sz w:val="1"/>
                <w:szCs w:val="1"/>
                <w:color w:val="auto"/>
              </w:rPr>
            </w:pPr>
          </w:p>
        </w:tc>
      </w:tr>
      <w:tr>
        <w:trPr>
          <w:trHeight w:val="121"/>
        </w:trPr>
        <w:tc>
          <w:tcPr>
            <w:tcW w:w="4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jc w:val="center"/>
              <w:ind w:right="82"/>
              <w:spacing w:after="0" w:line="122" w:lineRule="exact"/>
              <w:rPr>
                <w:sz w:val="20"/>
                <w:szCs w:val="20"/>
                <w:color w:val="auto"/>
              </w:rPr>
            </w:pPr>
            <w:r>
              <w:rPr>
                <w:rFonts w:ascii="Arial" w:cs="Arial" w:eastAsia="Arial" w:hAnsi="Arial"/>
                <w:sz w:val="13"/>
                <w:szCs w:val="13"/>
                <w:b w:val="1"/>
                <w:bCs w:val="1"/>
                <w:color w:val="auto"/>
                <w:w w:val="95"/>
              </w:rPr>
              <w:t>Pension and</w:t>
            </w:r>
          </w:p>
        </w:tc>
        <w:tc>
          <w:tcPr>
            <w:tcW w:w="1280" w:type="dxa"/>
            <w:vAlign w:val="bottom"/>
            <w:gridSpan w:val="2"/>
            <w:vMerge w:val="continue"/>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presented net of taxes)</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jc w:val="center"/>
              <w:ind w:right="98"/>
              <w:spacing w:after="0" w:line="122" w:lineRule="exact"/>
              <w:rPr>
                <w:sz w:val="20"/>
                <w:szCs w:val="20"/>
                <w:color w:val="auto"/>
              </w:rPr>
            </w:pPr>
            <w:r>
              <w:rPr>
                <w:rFonts w:ascii="Arial" w:cs="Arial" w:eastAsia="Arial" w:hAnsi="Arial"/>
                <w:sz w:val="13"/>
                <w:szCs w:val="13"/>
                <w:b w:val="1"/>
                <w:bCs w:val="1"/>
                <w:color w:val="auto"/>
                <w:w w:val="96"/>
              </w:rPr>
              <w:t>Translation</w:t>
            </w:r>
          </w:p>
        </w:tc>
        <w:tc>
          <w:tcPr>
            <w:tcW w:w="200" w:type="dxa"/>
            <w:vAlign w:val="bottom"/>
          </w:tcPr>
          <w:p>
            <w:pPr>
              <w:spacing w:after="0"/>
              <w:rPr>
                <w:sz w:val="10"/>
                <w:szCs w:val="10"/>
                <w:color w:val="auto"/>
              </w:rPr>
            </w:pPr>
          </w:p>
        </w:tc>
        <w:tc>
          <w:tcPr>
            <w:tcW w:w="1100" w:type="dxa"/>
            <w:vAlign w:val="bottom"/>
          </w:tcPr>
          <w:p>
            <w:pPr>
              <w:jc w:val="center"/>
              <w:ind w:right="80"/>
              <w:spacing w:after="0" w:line="122" w:lineRule="exact"/>
              <w:rPr>
                <w:sz w:val="20"/>
                <w:szCs w:val="20"/>
                <w:color w:val="auto"/>
              </w:rPr>
            </w:pPr>
            <w:r>
              <w:rPr>
                <w:rFonts w:ascii="Arial" w:cs="Arial" w:eastAsia="Arial" w:hAnsi="Arial"/>
                <w:sz w:val="13"/>
                <w:szCs w:val="13"/>
                <w:b w:val="1"/>
                <w:bCs w:val="1"/>
                <w:color w:val="auto"/>
                <w:w w:val="96"/>
              </w:rPr>
              <w:t>Gains (Losses)</w:t>
            </w:r>
          </w:p>
        </w:tc>
        <w:tc>
          <w:tcPr>
            <w:tcW w:w="220" w:type="dxa"/>
            <w:vAlign w:val="bottom"/>
          </w:tcPr>
          <w:p>
            <w:pPr>
              <w:spacing w:after="0"/>
              <w:rPr>
                <w:sz w:val="10"/>
                <w:szCs w:val="10"/>
                <w:color w:val="auto"/>
              </w:rPr>
            </w:pPr>
          </w:p>
        </w:tc>
        <w:tc>
          <w:tcPr>
            <w:tcW w:w="1140" w:type="dxa"/>
            <w:vAlign w:val="bottom"/>
          </w:tcPr>
          <w:p>
            <w:pPr>
              <w:jc w:val="center"/>
              <w:ind w:right="82"/>
              <w:spacing w:after="0" w:line="122" w:lineRule="exact"/>
              <w:rPr>
                <w:sz w:val="20"/>
                <w:szCs w:val="20"/>
                <w:color w:val="auto"/>
              </w:rPr>
            </w:pPr>
            <w:r>
              <w:rPr>
                <w:rFonts w:ascii="Arial" w:cs="Arial" w:eastAsia="Arial" w:hAnsi="Arial"/>
                <w:sz w:val="13"/>
                <w:szCs w:val="13"/>
                <w:b w:val="1"/>
                <w:bCs w:val="1"/>
                <w:color w:val="auto"/>
                <w:w w:val="98"/>
              </w:rPr>
              <w:t>Retiree Health</w:t>
            </w:r>
          </w:p>
        </w:tc>
        <w:tc>
          <w:tcPr>
            <w:tcW w:w="220" w:type="dxa"/>
            <w:vAlign w:val="bottom"/>
          </w:tcPr>
          <w:p>
            <w:pPr>
              <w:spacing w:after="0"/>
              <w:rPr>
                <w:sz w:val="10"/>
                <w:szCs w:val="10"/>
                <w:color w:val="auto"/>
              </w:rPr>
            </w:pPr>
          </w:p>
        </w:tc>
        <w:tc>
          <w:tcPr>
            <w:tcW w:w="1060" w:type="dxa"/>
            <w:vAlign w:val="bottom"/>
          </w:tcPr>
          <w:p>
            <w:pPr>
              <w:jc w:val="center"/>
              <w:ind w:right="118"/>
              <w:spacing w:after="0" w:line="122" w:lineRule="exact"/>
              <w:rPr>
                <w:sz w:val="20"/>
                <w:szCs w:val="20"/>
                <w:color w:val="auto"/>
              </w:rPr>
            </w:pPr>
            <w:r>
              <w:rPr>
                <w:rFonts w:ascii="Arial" w:cs="Arial" w:eastAsia="Arial" w:hAnsi="Arial"/>
                <w:sz w:val="13"/>
                <w:szCs w:val="13"/>
                <w:b w:val="1"/>
                <w:bCs w:val="1"/>
                <w:color w:val="auto"/>
                <w:w w:val="96"/>
              </w:rPr>
              <w:t>of Cash Flow</w:t>
            </w:r>
          </w:p>
        </w:tc>
        <w:tc>
          <w:tcPr>
            <w:tcW w:w="200" w:type="dxa"/>
            <w:vAlign w:val="bottom"/>
          </w:tcPr>
          <w:p>
            <w:pPr>
              <w:spacing w:after="0"/>
              <w:rPr>
                <w:sz w:val="10"/>
                <w:szCs w:val="10"/>
                <w:color w:val="auto"/>
              </w:rPr>
            </w:pPr>
          </w:p>
        </w:tc>
        <w:tc>
          <w:tcPr>
            <w:tcW w:w="1140" w:type="dxa"/>
            <w:vAlign w:val="bottom"/>
          </w:tcPr>
          <w:p>
            <w:pPr>
              <w:jc w:val="center"/>
              <w:ind w:right="58"/>
              <w:spacing w:after="0" w:line="122" w:lineRule="exact"/>
              <w:rPr>
                <w:sz w:val="20"/>
                <w:szCs w:val="20"/>
                <w:color w:val="auto"/>
              </w:rPr>
            </w:pPr>
            <w:r>
              <w:rPr>
                <w:rFonts w:ascii="Arial" w:cs="Arial" w:eastAsia="Arial" w:hAnsi="Arial"/>
                <w:sz w:val="13"/>
                <w:szCs w:val="13"/>
                <w:b w:val="1"/>
                <w:bCs w:val="1"/>
                <w:color w:val="auto"/>
                <w:w w:val="98"/>
              </w:rPr>
              <w:t>Comprehensive</w:t>
            </w:r>
          </w:p>
        </w:tc>
        <w:tc>
          <w:tcPr>
            <w:tcW w:w="0" w:type="dxa"/>
            <w:vAlign w:val="bottom"/>
          </w:tcPr>
          <w:p>
            <w:pPr>
              <w:spacing w:after="0"/>
              <w:rPr>
                <w:sz w:val="1"/>
                <w:szCs w:val="1"/>
                <w:color w:val="auto"/>
              </w:rPr>
            </w:pPr>
          </w:p>
        </w:tc>
      </w:tr>
      <w:tr>
        <w:trPr>
          <w:trHeight w:val="176"/>
        </w:trPr>
        <w:tc>
          <w:tcPr>
            <w:tcW w:w="436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18"/>
              <w:spacing w:after="0"/>
              <w:rPr>
                <w:sz w:val="20"/>
                <w:szCs w:val="20"/>
                <w:color w:val="auto"/>
              </w:rPr>
            </w:pPr>
            <w:r>
              <w:rPr>
                <w:rFonts w:ascii="Arial" w:cs="Arial" w:eastAsia="Arial" w:hAnsi="Arial"/>
                <w:sz w:val="13"/>
                <w:szCs w:val="13"/>
                <w:b w:val="1"/>
                <w:bCs w:val="1"/>
                <w:color w:val="auto"/>
                <w:w w:val="96"/>
              </w:rPr>
              <w:t>Gains (Losses)</w:t>
            </w: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80"/>
              <w:spacing w:after="0"/>
              <w:rPr>
                <w:sz w:val="20"/>
                <w:szCs w:val="20"/>
                <w:color w:val="auto"/>
              </w:rPr>
            </w:pPr>
            <w:r>
              <w:rPr>
                <w:rFonts w:ascii="Arial" w:cs="Arial" w:eastAsia="Arial" w:hAnsi="Arial"/>
                <w:sz w:val="13"/>
                <w:szCs w:val="13"/>
                <w:b w:val="1"/>
                <w:bCs w:val="1"/>
                <w:color w:val="auto"/>
                <w:w w:val="95"/>
              </w:rPr>
              <w:t>on Securities</w:t>
            </w: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82"/>
              <w:spacing w:after="0"/>
              <w:rPr>
                <w:sz w:val="20"/>
                <w:szCs w:val="20"/>
                <w:color w:val="auto"/>
              </w:rPr>
            </w:pPr>
            <w:r>
              <w:rPr>
                <w:rFonts w:ascii="Arial" w:cs="Arial" w:eastAsia="Arial" w:hAnsi="Arial"/>
                <w:sz w:val="13"/>
                <w:szCs w:val="13"/>
                <w:b w:val="1"/>
                <w:bCs w:val="1"/>
                <w:color w:val="auto"/>
                <w:w w:val="94"/>
              </w:rPr>
              <w:t>Benefit Plans</w:t>
            </w: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18"/>
              <w:spacing w:after="0"/>
              <w:rPr>
                <w:sz w:val="20"/>
                <w:szCs w:val="20"/>
                <w:color w:val="auto"/>
              </w:rPr>
            </w:pPr>
            <w:r>
              <w:rPr>
                <w:rFonts w:ascii="Arial" w:cs="Arial" w:eastAsia="Arial" w:hAnsi="Arial"/>
                <w:sz w:val="13"/>
                <w:szCs w:val="13"/>
                <w:b w:val="1"/>
                <w:bCs w:val="1"/>
                <w:color w:val="auto"/>
                <w:w w:val="97"/>
              </w:rPr>
              <w:t>Hedges</w:t>
            </w: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58"/>
              <w:spacing w:after="0"/>
              <w:rPr>
                <w:sz w:val="20"/>
                <w:szCs w:val="20"/>
                <w:color w:val="auto"/>
              </w:rPr>
            </w:pPr>
            <w:r>
              <w:rPr>
                <w:rFonts w:ascii="Arial" w:cs="Arial" w:eastAsia="Arial" w:hAnsi="Arial"/>
                <w:sz w:val="13"/>
                <w:szCs w:val="13"/>
                <w:b w:val="1"/>
                <w:bCs w:val="1"/>
                <w:color w:val="auto"/>
                <w:w w:val="92"/>
              </w:rPr>
              <w:t>Loss</w:t>
            </w:r>
          </w:p>
        </w:tc>
        <w:tc>
          <w:tcPr>
            <w:tcW w:w="0" w:type="dxa"/>
            <w:vAlign w:val="bottom"/>
          </w:tcPr>
          <w:p>
            <w:pPr>
              <w:spacing w:after="0"/>
              <w:rPr>
                <w:sz w:val="1"/>
                <w:szCs w:val="1"/>
                <w:color w:val="auto"/>
              </w:rPr>
            </w:pPr>
          </w:p>
        </w:tc>
      </w:tr>
      <w:tr>
        <w:trPr>
          <w:trHeight w:val="223"/>
        </w:trPr>
        <w:tc>
          <w:tcPr>
            <w:tcW w:w="4360" w:type="dxa"/>
            <w:vAlign w:val="bottom"/>
          </w:tcPr>
          <w:p>
            <w:pPr>
              <w:ind w:left="20"/>
              <w:spacing w:after="0"/>
              <w:rPr>
                <w:sz w:val="20"/>
                <w:szCs w:val="20"/>
                <w:color w:val="auto"/>
              </w:rPr>
            </w:pPr>
            <w:r>
              <w:rPr>
                <w:rFonts w:ascii="Arial" w:cs="Arial" w:eastAsia="Arial" w:hAnsi="Arial"/>
                <w:sz w:val="18"/>
                <w:szCs w:val="18"/>
                <w:color w:val="auto"/>
              </w:rPr>
              <w:t>Balance at April 1, 2020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(1,804.5)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(4,530.3)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(556.9)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(6,885.9)</w:t>
            </w:r>
          </w:p>
        </w:tc>
        <w:tc>
          <w:tcPr>
            <w:tcW w:w="0" w:type="dxa"/>
            <w:vAlign w:val="bottom"/>
          </w:tcPr>
          <w:p>
            <w:pPr>
              <w:spacing w:after="0"/>
              <w:rPr>
                <w:sz w:val="1"/>
                <w:szCs w:val="1"/>
                <w:color w:val="auto"/>
              </w:rPr>
            </w:pPr>
          </w:p>
        </w:tc>
      </w:tr>
      <w:tr>
        <w:trPr>
          <w:trHeight w:val="188"/>
        </w:trPr>
        <w:tc>
          <w:tcPr>
            <w:tcW w:w="436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Other comprehensive income (loss) before</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reclassifications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82.0</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33.0</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0" w:type="dxa"/>
            <w:vAlign w:val="bottom"/>
          </w:tcPr>
          <w:p>
            <w:pPr>
              <w:spacing w:after="0"/>
              <w:rPr>
                <w:sz w:val="1"/>
                <w:szCs w:val="1"/>
                <w:color w:val="auto"/>
              </w:rPr>
            </w:pPr>
          </w:p>
        </w:tc>
      </w:tr>
      <w:tr>
        <w:trPr>
          <w:trHeight w:val="188"/>
        </w:trPr>
        <w:tc>
          <w:tcPr>
            <w:tcW w:w="4360" w:type="dxa"/>
            <w:vAlign w:val="bottom"/>
          </w:tcPr>
          <w:p>
            <w:pPr>
              <w:ind w:left="140"/>
              <w:spacing w:after="0" w:line="189" w:lineRule="exact"/>
              <w:rPr>
                <w:sz w:val="20"/>
                <w:szCs w:val="20"/>
                <w:color w:val="auto"/>
              </w:rPr>
            </w:pPr>
            <w:r>
              <w:rPr>
                <w:rFonts w:ascii="Arial" w:cs="Arial" w:eastAsia="Arial" w:hAnsi="Arial"/>
                <w:sz w:val="18"/>
                <w:szCs w:val="18"/>
                <w:color w:val="auto"/>
              </w:rPr>
              <w:t>Net amount reclassified from accumulated other</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comprehensive loss</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2"/>
              <w:spacing w:after="0"/>
              <w:rPr>
                <w:sz w:val="20"/>
                <w:szCs w:val="20"/>
                <w:color w:val="auto"/>
              </w:rPr>
            </w:pPr>
            <w:r>
              <w:rPr>
                <w:rFonts w:ascii="Arial" w:cs="Arial" w:eastAsia="Arial" w:hAnsi="Arial"/>
                <w:sz w:val="18"/>
                <w:szCs w:val="18"/>
                <w:color w:val="auto"/>
              </w:rPr>
              <w:t>82.1</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3.3</w:t>
            </w: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23"/>
        </w:trPr>
        <w:tc>
          <w:tcPr>
            <w:tcW w:w="4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other comprehensive income (loss)</w:t>
            </w: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82.0</w:t>
            </w: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75.4</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36.3</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203.0</w:t>
            </w: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Balance at June 30, 2020</w:t>
            </w:r>
          </w:p>
        </w:tc>
        <w:tc>
          <w:tcPr>
            <w:tcW w:w="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(1,722.5)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(4,454.9)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(6,682.9)</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activity related to each component of other comprehensive income (loss) during the six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30, 2021 and 2020:</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00" w:type="dxa"/>
            <w:vAlign w:val="bottom"/>
          </w:tcPr>
          <w:p>
            <w:pPr>
              <w:spacing w:after="0"/>
              <w:rPr>
                <w:sz w:val="12"/>
                <w:szCs w:val="12"/>
                <w:color w:val="auto"/>
              </w:rPr>
            </w:pPr>
          </w:p>
        </w:tc>
        <w:tc>
          <w:tcPr>
            <w:tcW w:w="1380" w:type="dxa"/>
            <w:vAlign w:val="bottom"/>
            <w:gridSpan w:val="3"/>
            <w:vMerge w:val="restart"/>
          </w:tcPr>
          <w:p>
            <w:pPr>
              <w:jc w:val="right"/>
              <w:ind w:right="136"/>
              <w:spacing w:after="0"/>
              <w:rPr>
                <w:sz w:val="20"/>
                <w:szCs w:val="20"/>
                <w:color w:val="auto"/>
              </w:rPr>
            </w:pPr>
            <w:r>
              <w:rPr>
                <w:rFonts w:ascii="Arial" w:cs="Arial" w:eastAsia="Arial" w:hAnsi="Arial"/>
                <w:sz w:val="13"/>
                <w:szCs w:val="13"/>
                <w:b w:val="1"/>
                <w:bCs w:val="1"/>
                <w:color w:val="auto"/>
              </w:rPr>
              <w:t>Foreign Currency</w:t>
            </w:r>
          </w:p>
        </w:tc>
        <w:tc>
          <w:tcPr>
            <w:tcW w:w="140" w:type="dxa"/>
            <w:vAlign w:val="bottom"/>
          </w:tcPr>
          <w:p>
            <w:pPr>
              <w:spacing w:after="0"/>
              <w:rPr>
                <w:sz w:val="12"/>
                <w:szCs w:val="12"/>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Unrealized Net</w:t>
            </w:r>
          </w:p>
        </w:tc>
        <w:tc>
          <w:tcPr>
            <w:tcW w:w="140" w:type="dxa"/>
            <w:vAlign w:val="bottom"/>
          </w:tcPr>
          <w:p>
            <w:pPr>
              <w:spacing w:after="0"/>
              <w:rPr>
                <w:sz w:val="12"/>
                <w:szCs w:val="12"/>
                <w:color w:val="auto"/>
              </w:rPr>
            </w:pPr>
          </w:p>
        </w:tc>
        <w:tc>
          <w:tcPr>
            <w:tcW w:w="1240" w:type="dxa"/>
            <w:vAlign w:val="bottom"/>
            <w:gridSpan w:val="2"/>
          </w:tcPr>
          <w:p>
            <w:pPr>
              <w:jc w:val="center"/>
              <w:ind w:right="158"/>
              <w:spacing w:after="0"/>
              <w:rPr>
                <w:sz w:val="20"/>
                <w:szCs w:val="20"/>
                <w:color w:val="auto"/>
              </w:rPr>
            </w:pPr>
            <w:r>
              <w:rPr>
                <w:rFonts w:ascii="Arial" w:cs="Arial" w:eastAsia="Arial" w:hAnsi="Arial"/>
                <w:sz w:val="13"/>
                <w:szCs w:val="13"/>
                <w:b w:val="1"/>
                <w:bCs w:val="1"/>
                <w:color w:val="auto"/>
                <w:w w:val="96"/>
              </w:rPr>
              <w:t>Defined Benefit</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720" w:type="dxa"/>
            <w:vAlign w:val="bottom"/>
            <w:gridSpan w:val="4"/>
            <w:vMerge w:val="restart"/>
          </w:tcPr>
          <w:p>
            <w:pPr>
              <w:jc w:val="center"/>
              <w:ind w:right="440"/>
              <w:spacing w:after="0"/>
              <w:rPr>
                <w:sz w:val="20"/>
                <w:szCs w:val="20"/>
                <w:color w:val="auto"/>
              </w:rPr>
            </w:pPr>
            <w:r>
              <w:rPr>
                <w:rFonts w:ascii="Arial" w:cs="Arial" w:eastAsia="Arial" w:hAnsi="Arial"/>
                <w:sz w:val="13"/>
                <w:szCs w:val="13"/>
                <w:b w:val="1"/>
                <w:bCs w:val="1"/>
                <w:color w:val="auto"/>
                <w:w w:val="96"/>
              </w:rPr>
              <w:t>Accumulated Other</w:t>
            </w:r>
          </w:p>
        </w:tc>
        <w:tc>
          <w:tcPr>
            <w:tcW w:w="0" w:type="dxa"/>
            <w:vAlign w:val="bottom"/>
          </w:tcPr>
          <w:p>
            <w:pPr>
              <w:spacing w:after="0"/>
              <w:rPr>
                <w:sz w:val="1"/>
                <w:szCs w:val="1"/>
                <w:color w:val="auto"/>
              </w:rPr>
            </w:pPr>
          </w:p>
        </w:tc>
      </w:tr>
      <w:tr>
        <w:trPr>
          <w:trHeight w:val="122"/>
        </w:trPr>
        <w:tc>
          <w:tcPr>
            <w:tcW w:w="400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tcPr>
          <w:p>
            <w:pPr>
              <w:jc w:val="center"/>
              <w:ind w:right="178"/>
              <w:spacing w:after="0" w:line="122" w:lineRule="exact"/>
              <w:rPr>
                <w:sz w:val="20"/>
                <w:szCs w:val="20"/>
                <w:color w:val="auto"/>
              </w:rPr>
            </w:pPr>
            <w:r>
              <w:rPr>
                <w:rFonts w:ascii="Arial" w:cs="Arial" w:eastAsia="Arial" w:hAnsi="Arial"/>
                <w:sz w:val="13"/>
                <w:szCs w:val="13"/>
                <w:b w:val="1"/>
                <w:bCs w:val="1"/>
                <w:color w:val="auto"/>
                <w:w w:val="95"/>
              </w:rPr>
              <w:t>Pension and</w:t>
            </w:r>
          </w:p>
        </w:tc>
        <w:tc>
          <w:tcPr>
            <w:tcW w:w="1380" w:type="dxa"/>
            <w:vAlign w:val="bottom"/>
            <w:gridSpan w:val="3"/>
            <w:vMerge w:val="restart"/>
          </w:tcPr>
          <w:p>
            <w:pPr>
              <w:jc w:val="right"/>
              <w:ind w:right="90"/>
              <w:spacing w:after="0"/>
              <w:rPr>
                <w:sz w:val="20"/>
                <w:szCs w:val="20"/>
                <w:color w:val="auto"/>
              </w:rPr>
            </w:pPr>
            <w:r>
              <w:rPr>
                <w:rFonts w:ascii="Arial" w:cs="Arial" w:eastAsia="Arial" w:hAnsi="Arial"/>
                <w:sz w:val="13"/>
                <w:szCs w:val="13"/>
                <w:b w:val="1"/>
                <w:bCs w:val="1"/>
                <w:color w:val="auto"/>
                <w:w w:val="98"/>
              </w:rPr>
              <w:t>Effective Portion of</w:t>
            </w:r>
          </w:p>
        </w:tc>
        <w:tc>
          <w:tcPr>
            <w:tcW w:w="172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presented net of taxes)</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jc w:val="right"/>
              <w:ind w:right="316"/>
              <w:spacing w:after="0" w:line="122" w:lineRule="exact"/>
              <w:rPr>
                <w:sz w:val="20"/>
                <w:szCs w:val="20"/>
                <w:color w:val="auto"/>
              </w:rPr>
            </w:pPr>
            <w:r>
              <w:rPr>
                <w:rFonts w:ascii="Arial" w:cs="Arial" w:eastAsia="Arial" w:hAnsi="Arial"/>
                <w:sz w:val="13"/>
                <w:szCs w:val="13"/>
                <w:b w:val="1"/>
                <w:bCs w:val="1"/>
                <w:color w:val="auto"/>
                <w:w w:val="94"/>
              </w:rPr>
              <w:t>Translation</w:t>
            </w:r>
          </w:p>
        </w:tc>
        <w:tc>
          <w:tcPr>
            <w:tcW w:w="140" w:type="dxa"/>
            <w:vAlign w:val="bottom"/>
          </w:tcPr>
          <w:p>
            <w:pPr>
              <w:spacing w:after="0"/>
              <w:rPr>
                <w:sz w:val="10"/>
                <w:szCs w:val="10"/>
                <w:color w:val="auto"/>
              </w:rPr>
            </w:pPr>
          </w:p>
        </w:tc>
        <w:tc>
          <w:tcPr>
            <w:tcW w:w="1240" w:type="dxa"/>
            <w:vAlign w:val="bottom"/>
            <w:gridSpan w:val="2"/>
          </w:tcPr>
          <w:p>
            <w:pPr>
              <w:ind w:left="40"/>
              <w:spacing w:after="0" w:line="122" w:lineRule="exact"/>
              <w:rPr>
                <w:sz w:val="20"/>
                <w:szCs w:val="20"/>
                <w:color w:val="auto"/>
              </w:rPr>
            </w:pPr>
            <w:r>
              <w:rPr>
                <w:rFonts w:ascii="Arial" w:cs="Arial" w:eastAsia="Arial" w:hAnsi="Arial"/>
                <w:sz w:val="13"/>
                <w:szCs w:val="13"/>
                <w:b w:val="1"/>
                <w:bCs w:val="1"/>
                <w:color w:val="auto"/>
              </w:rPr>
              <w:t>Gains (Losses)</w:t>
            </w:r>
          </w:p>
        </w:tc>
        <w:tc>
          <w:tcPr>
            <w:tcW w:w="140" w:type="dxa"/>
            <w:vAlign w:val="bottom"/>
          </w:tcPr>
          <w:p>
            <w:pPr>
              <w:spacing w:after="0"/>
              <w:rPr>
                <w:sz w:val="10"/>
                <w:szCs w:val="10"/>
                <w:color w:val="auto"/>
              </w:rPr>
            </w:pPr>
          </w:p>
        </w:tc>
        <w:tc>
          <w:tcPr>
            <w:tcW w:w="1240" w:type="dxa"/>
            <w:vAlign w:val="bottom"/>
            <w:gridSpan w:val="2"/>
          </w:tcPr>
          <w:p>
            <w:pPr>
              <w:jc w:val="center"/>
              <w:ind w:right="178"/>
              <w:spacing w:after="0" w:line="122" w:lineRule="exact"/>
              <w:rPr>
                <w:sz w:val="20"/>
                <w:szCs w:val="20"/>
                <w:color w:val="auto"/>
              </w:rPr>
            </w:pPr>
            <w:r>
              <w:rPr>
                <w:rFonts w:ascii="Arial" w:cs="Arial" w:eastAsia="Arial" w:hAnsi="Arial"/>
                <w:sz w:val="13"/>
                <w:szCs w:val="13"/>
                <w:b w:val="1"/>
                <w:bCs w:val="1"/>
                <w:color w:val="auto"/>
                <w:w w:val="98"/>
              </w:rPr>
              <w:t>Retiree Health</w:t>
            </w:r>
          </w:p>
        </w:tc>
        <w:tc>
          <w:tcPr>
            <w:tcW w:w="1380" w:type="dxa"/>
            <w:vAlign w:val="bottom"/>
            <w:gridSpan w:val="3"/>
            <w:vMerge w:val="continue"/>
          </w:tcPr>
          <w:p>
            <w:pPr>
              <w:spacing w:after="0"/>
              <w:rPr>
                <w:sz w:val="10"/>
                <w:szCs w:val="10"/>
                <w:color w:val="auto"/>
              </w:rPr>
            </w:pPr>
          </w:p>
        </w:tc>
        <w:tc>
          <w:tcPr>
            <w:tcW w:w="1720" w:type="dxa"/>
            <w:vAlign w:val="bottom"/>
            <w:gridSpan w:val="4"/>
          </w:tcPr>
          <w:p>
            <w:pPr>
              <w:ind w:left="160"/>
              <w:spacing w:after="0" w:line="122" w:lineRule="exact"/>
              <w:rPr>
                <w:sz w:val="20"/>
                <w:szCs w:val="20"/>
                <w:color w:val="auto"/>
              </w:rPr>
            </w:pPr>
            <w:r>
              <w:rPr>
                <w:rFonts w:ascii="Arial" w:cs="Arial" w:eastAsia="Arial" w:hAnsi="Arial"/>
                <w:sz w:val="13"/>
                <w:szCs w:val="13"/>
                <w:b w:val="1"/>
                <w:bCs w:val="1"/>
                <w:color w:val="auto"/>
              </w:rPr>
              <w:t>Comprehensive</w:t>
            </w:r>
          </w:p>
        </w:tc>
        <w:tc>
          <w:tcPr>
            <w:tcW w:w="0" w:type="dxa"/>
            <w:vAlign w:val="bottom"/>
          </w:tcPr>
          <w:p>
            <w:pPr>
              <w:spacing w:after="0"/>
              <w:rPr>
                <w:sz w:val="1"/>
                <w:szCs w:val="1"/>
                <w:color w:val="auto"/>
              </w:rPr>
            </w:pPr>
          </w:p>
        </w:tc>
      </w:tr>
      <w:tr>
        <w:trPr>
          <w:trHeight w:val="176"/>
        </w:trPr>
        <w:tc>
          <w:tcPr>
            <w:tcW w:w="40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b w:val="1"/>
                <w:bCs w:val="1"/>
                <w:color w:val="auto"/>
              </w:rPr>
              <w:t>Gains (Losses)</w:t>
            </w:r>
          </w:p>
        </w:tc>
        <w:tc>
          <w:tcPr>
            <w:tcW w:w="140" w:type="dxa"/>
            <w:vAlign w:val="bottom"/>
          </w:tcPr>
          <w:p>
            <w:pPr>
              <w:spacing w:after="0"/>
              <w:rPr>
                <w:sz w:val="15"/>
                <w:szCs w:val="15"/>
                <w:color w:val="auto"/>
              </w:rPr>
            </w:pPr>
          </w:p>
        </w:tc>
        <w:tc>
          <w:tcPr>
            <w:tcW w:w="1240" w:type="dxa"/>
            <w:vAlign w:val="bottom"/>
            <w:gridSpan w:val="2"/>
          </w:tcPr>
          <w:p>
            <w:pPr>
              <w:jc w:val="right"/>
              <w:ind w:right="256"/>
              <w:spacing w:after="0"/>
              <w:rPr>
                <w:sz w:val="20"/>
                <w:szCs w:val="20"/>
                <w:color w:val="auto"/>
              </w:rPr>
            </w:pPr>
            <w:r>
              <w:rPr>
                <w:rFonts w:ascii="Arial" w:cs="Arial" w:eastAsia="Arial" w:hAnsi="Arial"/>
                <w:sz w:val="13"/>
                <w:szCs w:val="13"/>
                <w:b w:val="1"/>
                <w:bCs w:val="1"/>
                <w:color w:val="auto"/>
              </w:rPr>
              <w:t>on Securities</w:t>
            </w:r>
          </w:p>
        </w:tc>
        <w:tc>
          <w:tcPr>
            <w:tcW w:w="140" w:type="dxa"/>
            <w:vAlign w:val="bottom"/>
          </w:tcPr>
          <w:p>
            <w:pPr>
              <w:spacing w:after="0"/>
              <w:rPr>
                <w:sz w:val="15"/>
                <w:szCs w:val="15"/>
                <w:color w:val="auto"/>
              </w:rPr>
            </w:pPr>
          </w:p>
        </w:tc>
        <w:tc>
          <w:tcPr>
            <w:tcW w:w="1240" w:type="dxa"/>
            <w:vAlign w:val="bottom"/>
            <w:gridSpan w:val="2"/>
          </w:tcPr>
          <w:p>
            <w:pPr>
              <w:jc w:val="center"/>
              <w:ind w:right="158"/>
              <w:spacing w:after="0"/>
              <w:rPr>
                <w:sz w:val="20"/>
                <w:szCs w:val="20"/>
                <w:color w:val="auto"/>
              </w:rPr>
            </w:pPr>
            <w:r>
              <w:rPr>
                <w:rFonts w:ascii="Arial" w:cs="Arial" w:eastAsia="Arial" w:hAnsi="Arial"/>
                <w:sz w:val="13"/>
                <w:szCs w:val="13"/>
                <w:b w:val="1"/>
                <w:bCs w:val="1"/>
                <w:color w:val="auto"/>
                <w:w w:val="97"/>
              </w:rPr>
              <w:t>Benefit Plans</w:t>
            </w:r>
          </w:p>
        </w:tc>
        <w:tc>
          <w:tcPr>
            <w:tcW w:w="1380" w:type="dxa"/>
            <w:vAlign w:val="bottom"/>
            <w:gridSpan w:val="3"/>
          </w:tcPr>
          <w:p>
            <w:pPr>
              <w:jc w:val="right"/>
              <w:ind w:right="110"/>
              <w:spacing w:after="0"/>
              <w:rPr>
                <w:sz w:val="20"/>
                <w:szCs w:val="20"/>
                <w:color w:val="auto"/>
              </w:rPr>
            </w:pPr>
            <w:r>
              <w:rPr>
                <w:rFonts w:ascii="Arial" w:cs="Arial" w:eastAsia="Arial" w:hAnsi="Arial"/>
                <w:sz w:val="13"/>
                <w:szCs w:val="13"/>
                <w:b w:val="1"/>
                <w:bCs w:val="1"/>
                <w:color w:val="auto"/>
              </w:rPr>
              <w:t>Cash Flow Hedges</w:t>
            </w:r>
          </w:p>
        </w:tc>
        <w:tc>
          <w:tcPr>
            <w:tcW w:w="280" w:type="dxa"/>
            <w:vAlign w:val="bottom"/>
          </w:tcPr>
          <w:p>
            <w:pPr>
              <w:spacing w:after="0"/>
              <w:rPr>
                <w:sz w:val="15"/>
                <w:szCs w:val="15"/>
                <w:color w:val="auto"/>
              </w:rPr>
            </w:pPr>
          </w:p>
        </w:tc>
        <w:tc>
          <w:tcPr>
            <w:tcW w:w="1440" w:type="dxa"/>
            <w:vAlign w:val="bottom"/>
            <w:gridSpan w:val="3"/>
          </w:tcPr>
          <w:p>
            <w:pPr>
              <w:jc w:val="center"/>
              <w:ind w:right="740"/>
              <w:spacing w:after="0"/>
              <w:rPr>
                <w:sz w:val="20"/>
                <w:szCs w:val="20"/>
                <w:color w:val="auto"/>
              </w:rPr>
            </w:pPr>
            <w:r>
              <w:rPr>
                <w:rFonts w:ascii="Arial" w:cs="Arial" w:eastAsia="Arial" w:hAnsi="Arial"/>
                <w:sz w:val="13"/>
                <w:szCs w:val="13"/>
                <w:b w:val="1"/>
                <w:bCs w:val="1"/>
                <w:color w:val="auto"/>
                <w:w w:val="98"/>
              </w:rPr>
              <w:t>Loss</w:t>
            </w:r>
          </w:p>
        </w:tc>
        <w:tc>
          <w:tcPr>
            <w:tcW w:w="0" w:type="dxa"/>
            <w:vAlign w:val="bottom"/>
          </w:tcPr>
          <w:p>
            <w:pPr>
              <w:spacing w:after="0"/>
              <w:rPr>
                <w:sz w:val="1"/>
                <w:szCs w:val="1"/>
                <w:color w:val="auto"/>
              </w:rPr>
            </w:pPr>
          </w:p>
        </w:tc>
      </w:tr>
      <w:tr>
        <w:trPr>
          <w:trHeight w:val="223"/>
        </w:trPr>
        <w:tc>
          <w:tcPr>
            <w:tcW w:w="4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b w:val="1"/>
                <w:bCs w:val="1"/>
                <w:color w:val="auto"/>
              </w:rPr>
              <w:t>(1,427.5)</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2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b w:val="1"/>
                <w:bCs w:val="1"/>
                <w:color w:val="auto"/>
              </w:rPr>
              <w:t>14.8</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b w:val="1"/>
                <w:bCs w:val="1"/>
                <w:color w:val="auto"/>
              </w:rPr>
              <w:t>(4,751.0)</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3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(332.7)</w:t>
            </w:r>
          </w:p>
        </w:tc>
        <w:tc>
          <w:tcPr>
            <w:tcW w:w="280" w:type="dxa"/>
            <w:vAlign w:val="bottom"/>
            <w:tcBorders>
              <w:top w:val="single" w:sz="8" w:color="auto"/>
            </w:tcBorders>
            <w:shd w:val="clear" w:color="auto" w:fill="CCEEFF"/>
          </w:tcPr>
          <w:p>
            <w:pPr>
              <w:jc w:val="right"/>
              <w:ind w:right="82"/>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(6,496.4)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000" w:type="dxa"/>
            <w:vAlign w:val="bottom"/>
          </w:tcPr>
          <w:p>
            <w:pPr>
              <w:ind w:left="140"/>
              <w:spacing w:after="0" w:line="189" w:lineRule="exact"/>
              <w:rPr>
                <w:sz w:val="20"/>
                <w:szCs w:val="20"/>
                <w:color w:val="auto"/>
              </w:rPr>
            </w:pPr>
            <w:r>
              <w:rPr>
                <w:rFonts w:ascii="Arial" w:cs="Arial" w:eastAsia="Arial" w:hAnsi="Arial"/>
                <w:sz w:val="18"/>
                <w:szCs w:val="18"/>
                <w:color w:val="auto"/>
              </w:rPr>
              <w:t>Other comprehensive income (loss) before</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restart"/>
          </w:tcPr>
          <w:p>
            <w:pPr>
              <w:jc w:val="right"/>
              <w:ind w:right="56"/>
              <w:spacing w:after="0"/>
              <w:rPr>
                <w:sz w:val="20"/>
                <w:szCs w:val="20"/>
                <w:color w:val="auto"/>
              </w:rPr>
            </w:pPr>
            <w:r>
              <w:rPr>
                <w:rFonts w:ascii="Arial" w:cs="Arial" w:eastAsia="Arial" w:hAnsi="Arial"/>
                <w:sz w:val="18"/>
                <w:szCs w:val="18"/>
                <w:b w:val="1"/>
                <w:bCs w:val="1"/>
                <w:color w:val="auto"/>
              </w:rPr>
              <w:t>(88.7)</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vMerge w:val="restart"/>
          </w:tcPr>
          <w:p>
            <w:pPr>
              <w:jc w:val="right"/>
              <w:ind w:right="56"/>
              <w:spacing w:after="0"/>
              <w:rPr>
                <w:sz w:val="20"/>
                <w:szCs w:val="20"/>
                <w:color w:val="auto"/>
              </w:rPr>
            </w:pPr>
            <w:r>
              <w:rPr>
                <w:rFonts w:ascii="Arial" w:cs="Arial" w:eastAsia="Arial" w:hAnsi="Arial"/>
                <w:sz w:val="18"/>
                <w:szCs w:val="18"/>
                <w:b w:val="1"/>
                <w:bCs w:val="1"/>
                <w:color w:val="auto"/>
              </w:rPr>
              <w:t>(6.4)</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restart"/>
          </w:tcPr>
          <w:p>
            <w:pPr>
              <w:jc w:val="right"/>
              <w:ind w:right="98"/>
              <w:spacing w:after="0"/>
              <w:rPr>
                <w:sz w:val="20"/>
                <w:szCs w:val="20"/>
                <w:color w:val="auto"/>
              </w:rPr>
            </w:pPr>
            <w:r>
              <w:rPr>
                <w:rFonts w:ascii="Arial" w:cs="Arial" w:eastAsia="Arial" w:hAnsi="Arial"/>
                <w:sz w:val="18"/>
                <w:szCs w:val="18"/>
                <w:b w:val="1"/>
                <w:bCs w:val="1"/>
                <w:color w:val="auto"/>
              </w:rPr>
              <w:t>8.6</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116.0</w:t>
            </w:r>
          </w:p>
        </w:tc>
        <w:tc>
          <w:tcPr>
            <w:tcW w:w="28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29.5</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00" w:type="dxa"/>
            <w:vAlign w:val="bottom"/>
          </w:tcPr>
          <w:p>
            <w:pPr>
              <w:ind w:left="300"/>
              <w:spacing w:after="0"/>
              <w:rPr>
                <w:sz w:val="20"/>
                <w:szCs w:val="20"/>
                <w:color w:val="auto"/>
              </w:rPr>
            </w:pPr>
            <w:r>
              <w:rPr>
                <w:rFonts w:ascii="Arial" w:cs="Arial" w:eastAsia="Arial" w:hAnsi="Arial"/>
                <w:sz w:val="18"/>
                <w:szCs w:val="18"/>
                <w:color w:val="auto"/>
              </w:rPr>
              <w:t>reclassifications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00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Net amount reclassified from accumulated other</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vMerge w:val="restart"/>
            <w:shd w:val="clear" w:color="auto" w:fill="CCEEFF"/>
          </w:tcPr>
          <w:p>
            <w:pPr>
              <w:jc w:val="right"/>
              <w:ind w:right="96"/>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ind w:right="96"/>
              <w:spacing w:after="0"/>
              <w:rPr>
                <w:sz w:val="20"/>
                <w:szCs w:val="20"/>
                <w:color w:val="auto"/>
              </w:rPr>
            </w:pPr>
            <w:r>
              <w:rPr>
                <w:rFonts w:ascii="Arial" w:cs="Arial" w:eastAsia="Arial" w:hAnsi="Arial"/>
                <w:sz w:val="18"/>
                <w:szCs w:val="18"/>
                <w:b w:val="1"/>
                <w:bCs w:val="1"/>
                <w:color w:val="auto"/>
              </w:rPr>
              <w:t>0.7</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vMerge w:val="restart"/>
            <w:shd w:val="clear" w:color="auto" w:fill="CCEEFF"/>
          </w:tcPr>
          <w:p>
            <w:pPr>
              <w:jc w:val="right"/>
              <w:ind w:right="98"/>
              <w:spacing w:after="0"/>
              <w:rPr>
                <w:sz w:val="20"/>
                <w:szCs w:val="20"/>
                <w:color w:val="auto"/>
              </w:rPr>
            </w:pPr>
            <w:r>
              <w:rPr>
                <w:rFonts w:ascii="Arial" w:cs="Arial" w:eastAsia="Arial" w:hAnsi="Arial"/>
                <w:sz w:val="18"/>
                <w:szCs w:val="18"/>
                <w:b w:val="1"/>
                <w:bCs w:val="1"/>
                <w:color w:val="auto"/>
              </w:rPr>
              <w:t>172.5</w:t>
            </w: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6.6</w:t>
            </w:r>
          </w:p>
        </w:tc>
        <w:tc>
          <w:tcPr>
            <w:tcW w:w="28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179.8</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comprehensive loss</w:t>
            </w:r>
          </w:p>
        </w:tc>
        <w:tc>
          <w:tcPr>
            <w:tcW w:w="1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other comprehensive income (loss)</w:t>
            </w: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(88.7)</w:t>
            </w:r>
          </w:p>
        </w:tc>
        <w:tc>
          <w:tcPr>
            <w:tcW w:w="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(5.7)</w:t>
            </w: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98"/>
              <w:spacing w:after="0"/>
              <w:rPr>
                <w:sz w:val="20"/>
                <w:szCs w:val="20"/>
                <w:color w:val="auto"/>
              </w:rPr>
            </w:pPr>
            <w:r>
              <w:rPr>
                <w:rFonts w:ascii="Arial" w:cs="Arial" w:eastAsia="Arial" w:hAnsi="Arial"/>
                <w:sz w:val="18"/>
                <w:szCs w:val="18"/>
                <w:b w:val="1"/>
                <w:bCs w:val="1"/>
                <w:color w:val="auto"/>
              </w:rPr>
              <w:t>181.1</w:t>
            </w:r>
          </w:p>
        </w:tc>
        <w:tc>
          <w:tcPr>
            <w:tcW w:w="1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122.6</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209.3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b w:val="1"/>
                <w:bCs w:val="1"/>
                <w:color w:val="auto"/>
              </w:rPr>
              <w:t>(1,516.2)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2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b w:val="1"/>
                <w:bCs w:val="1"/>
                <w:color w:val="auto"/>
              </w:rPr>
              <w:t>9.1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b w:val="1"/>
                <w:bCs w:val="1"/>
                <w:color w:val="auto"/>
              </w:rPr>
              <w:t>(4,569.9)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3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(210.1)</w:t>
            </w:r>
          </w:p>
        </w:tc>
        <w:tc>
          <w:tcPr>
            <w:tcW w:w="28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(6,287.1)</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4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5"/>
              </w:rPr>
              <w:t>Foreign Currency</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vMerge w:val="restart"/>
          </w:tcPr>
          <w:p>
            <w:pPr>
              <w:jc w:val="right"/>
              <w:ind w:right="56"/>
              <w:spacing w:after="0"/>
              <w:rPr>
                <w:sz w:val="20"/>
                <w:szCs w:val="20"/>
                <w:color w:val="auto"/>
              </w:rPr>
            </w:pPr>
            <w:r>
              <w:rPr>
                <w:rFonts w:ascii="Arial" w:cs="Arial" w:eastAsia="Arial" w:hAnsi="Arial"/>
                <w:sz w:val="13"/>
                <w:szCs w:val="13"/>
                <w:b w:val="1"/>
                <w:bCs w:val="1"/>
                <w:color w:val="auto"/>
                <w:w w:val="97"/>
              </w:rPr>
              <w:t>Unrealized Net</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96"/>
              </w:rPr>
              <w:t>Defined Benefit</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20" w:type="dxa"/>
            <w:vAlign w:val="bottom"/>
            <w:gridSpan w:val="4"/>
            <w:vMerge w:val="restart"/>
          </w:tcPr>
          <w:p>
            <w:pPr>
              <w:jc w:val="center"/>
              <w:ind w:right="160"/>
              <w:spacing w:after="0"/>
              <w:rPr>
                <w:sz w:val="20"/>
                <w:szCs w:val="20"/>
                <w:color w:val="auto"/>
              </w:rPr>
            </w:pPr>
            <w:r>
              <w:rPr>
                <w:rFonts w:ascii="Arial" w:cs="Arial" w:eastAsia="Arial" w:hAnsi="Arial"/>
                <w:sz w:val="13"/>
                <w:szCs w:val="13"/>
                <w:b w:val="1"/>
                <w:bCs w:val="1"/>
                <w:color w:val="auto"/>
                <w:w w:val="96"/>
              </w:rPr>
              <w:t>Accumulated Other</w:t>
            </w:r>
          </w:p>
        </w:tc>
        <w:tc>
          <w:tcPr>
            <w:tcW w:w="0" w:type="dxa"/>
            <w:vAlign w:val="bottom"/>
          </w:tcPr>
          <w:p>
            <w:pPr>
              <w:spacing w:after="0"/>
              <w:rPr>
                <w:sz w:val="1"/>
                <w:szCs w:val="1"/>
                <w:color w:val="auto"/>
              </w:rPr>
            </w:pPr>
          </w:p>
        </w:tc>
      </w:tr>
      <w:tr>
        <w:trPr>
          <w:trHeight w:val="121"/>
        </w:trPr>
        <w:tc>
          <w:tcPr>
            <w:tcW w:w="4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jc w:val="center"/>
              <w:ind w:right="18"/>
              <w:spacing w:after="0" w:line="122" w:lineRule="exact"/>
              <w:rPr>
                <w:sz w:val="20"/>
                <w:szCs w:val="20"/>
                <w:color w:val="auto"/>
              </w:rPr>
            </w:pPr>
            <w:r>
              <w:rPr>
                <w:rFonts w:ascii="Arial" w:cs="Arial" w:eastAsia="Arial" w:hAnsi="Arial"/>
                <w:sz w:val="13"/>
                <w:szCs w:val="13"/>
                <w:b w:val="1"/>
                <w:bCs w:val="1"/>
                <w:color w:val="auto"/>
                <w:w w:val="95"/>
              </w:rPr>
              <w:t>Pension and</w:t>
            </w:r>
          </w:p>
        </w:tc>
        <w:tc>
          <w:tcPr>
            <w:tcW w:w="140" w:type="dxa"/>
            <w:vAlign w:val="bottom"/>
          </w:tcPr>
          <w:p>
            <w:pPr>
              <w:spacing w:after="0"/>
              <w:rPr>
                <w:sz w:val="10"/>
                <w:szCs w:val="10"/>
                <w:color w:val="auto"/>
              </w:rPr>
            </w:pPr>
          </w:p>
        </w:tc>
        <w:tc>
          <w:tcPr>
            <w:tcW w:w="124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Effective Portion of</w:t>
            </w:r>
          </w:p>
        </w:tc>
        <w:tc>
          <w:tcPr>
            <w:tcW w:w="172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presented net of taxes)</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Translation</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jc w:val="right"/>
              <w:ind w:right="56"/>
              <w:spacing w:after="0" w:line="122" w:lineRule="exact"/>
              <w:rPr>
                <w:sz w:val="20"/>
                <w:szCs w:val="20"/>
                <w:color w:val="auto"/>
              </w:rPr>
            </w:pPr>
            <w:r>
              <w:rPr>
                <w:rFonts w:ascii="Arial" w:cs="Arial" w:eastAsia="Arial" w:hAnsi="Arial"/>
                <w:sz w:val="13"/>
                <w:szCs w:val="13"/>
                <w:b w:val="1"/>
                <w:bCs w:val="1"/>
                <w:color w:val="auto"/>
                <w:w w:val="94"/>
              </w:rPr>
              <w:t>Gains (Losses)</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Retiree Health</w:t>
            </w:r>
          </w:p>
        </w:tc>
        <w:tc>
          <w:tcPr>
            <w:tcW w:w="14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1440" w:type="dxa"/>
            <w:vAlign w:val="bottom"/>
            <w:gridSpan w:val="3"/>
          </w:tcPr>
          <w:p>
            <w:pPr>
              <w:jc w:val="right"/>
              <w:ind w:right="460"/>
              <w:spacing w:after="0" w:line="122" w:lineRule="exact"/>
              <w:rPr>
                <w:sz w:val="20"/>
                <w:szCs w:val="20"/>
                <w:color w:val="auto"/>
              </w:rPr>
            </w:pPr>
            <w:r>
              <w:rPr>
                <w:rFonts w:ascii="Arial" w:cs="Arial" w:eastAsia="Arial" w:hAnsi="Arial"/>
                <w:sz w:val="13"/>
                <w:szCs w:val="13"/>
                <w:b w:val="1"/>
                <w:bCs w:val="1"/>
                <w:color w:val="auto"/>
                <w:w w:val="98"/>
              </w:rPr>
              <w:t>Comprehensive</w:t>
            </w:r>
          </w:p>
        </w:tc>
        <w:tc>
          <w:tcPr>
            <w:tcW w:w="0" w:type="dxa"/>
            <w:vAlign w:val="bottom"/>
          </w:tcPr>
          <w:p>
            <w:pPr>
              <w:spacing w:after="0"/>
              <w:rPr>
                <w:sz w:val="1"/>
                <w:szCs w:val="1"/>
                <w:color w:val="auto"/>
              </w:rPr>
            </w:pPr>
          </w:p>
        </w:tc>
      </w:tr>
      <w:tr>
        <w:trPr>
          <w:trHeight w:val="175"/>
        </w:trPr>
        <w:tc>
          <w:tcPr>
            <w:tcW w:w="40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98"/>
              </w:rPr>
              <w:t>Gains (Losses)</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ind w:right="96"/>
              <w:spacing w:after="0"/>
              <w:rPr>
                <w:sz w:val="20"/>
                <w:szCs w:val="20"/>
                <w:color w:val="auto"/>
              </w:rPr>
            </w:pPr>
            <w:r>
              <w:rPr>
                <w:rFonts w:ascii="Arial" w:cs="Arial" w:eastAsia="Arial" w:hAnsi="Arial"/>
                <w:sz w:val="13"/>
                <w:szCs w:val="13"/>
                <w:b w:val="1"/>
                <w:bCs w:val="1"/>
                <w:color w:val="auto"/>
              </w:rPr>
              <w:t>on Securities</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97"/>
              </w:rPr>
              <w:t>Benefit Plans</w:t>
            </w:r>
          </w:p>
        </w:tc>
        <w:tc>
          <w:tcPr>
            <w:tcW w:w="140" w:type="dxa"/>
            <w:vAlign w:val="bottom"/>
          </w:tcPr>
          <w:p>
            <w:pPr>
              <w:spacing w:after="0"/>
              <w:rPr>
                <w:sz w:val="15"/>
                <w:szCs w:val="15"/>
                <w:color w:val="auto"/>
              </w:rPr>
            </w:pPr>
          </w:p>
        </w:tc>
        <w:tc>
          <w:tcPr>
            <w:tcW w:w="1240" w:type="dxa"/>
            <w:vAlign w:val="bottom"/>
            <w:gridSpan w:val="2"/>
          </w:tcPr>
          <w:p>
            <w:pPr>
              <w:jc w:val="right"/>
              <w:spacing w:after="0"/>
              <w:rPr>
                <w:sz w:val="20"/>
                <w:szCs w:val="20"/>
                <w:color w:val="auto"/>
              </w:rPr>
            </w:pPr>
            <w:r>
              <w:rPr>
                <w:rFonts w:ascii="Arial" w:cs="Arial" w:eastAsia="Arial" w:hAnsi="Arial"/>
                <w:sz w:val="13"/>
                <w:szCs w:val="13"/>
                <w:b w:val="1"/>
                <w:bCs w:val="1"/>
                <w:color w:val="auto"/>
              </w:rPr>
              <w:t>Cash Flow Hedges</w:t>
            </w:r>
          </w:p>
        </w:tc>
        <w:tc>
          <w:tcPr>
            <w:tcW w:w="280" w:type="dxa"/>
            <w:vAlign w:val="bottom"/>
          </w:tcPr>
          <w:p>
            <w:pPr>
              <w:spacing w:after="0"/>
              <w:rPr>
                <w:sz w:val="15"/>
                <w:szCs w:val="15"/>
                <w:color w:val="auto"/>
              </w:rPr>
            </w:pPr>
          </w:p>
        </w:tc>
        <w:tc>
          <w:tcPr>
            <w:tcW w:w="1440" w:type="dxa"/>
            <w:vAlign w:val="bottom"/>
            <w:gridSpan w:val="3"/>
          </w:tcPr>
          <w:p>
            <w:pPr>
              <w:jc w:val="center"/>
              <w:ind w:right="440"/>
              <w:spacing w:after="0"/>
              <w:rPr>
                <w:sz w:val="20"/>
                <w:szCs w:val="20"/>
                <w:color w:val="auto"/>
              </w:rPr>
            </w:pPr>
            <w:r>
              <w:rPr>
                <w:rFonts w:ascii="Arial" w:cs="Arial" w:eastAsia="Arial" w:hAnsi="Arial"/>
                <w:sz w:val="13"/>
                <w:szCs w:val="13"/>
                <w:b w:val="1"/>
                <w:bCs w:val="1"/>
                <w:color w:val="auto"/>
                <w:w w:val="92"/>
              </w:rPr>
              <w:t>Loss</w:t>
            </w:r>
          </w:p>
        </w:tc>
        <w:tc>
          <w:tcPr>
            <w:tcW w:w="0" w:type="dxa"/>
            <w:vAlign w:val="bottom"/>
          </w:tcPr>
          <w:p>
            <w:pPr>
              <w:spacing w:after="0"/>
              <w:rPr>
                <w:sz w:val="1"/>
                <w:szCs w:val="1"/>
                <w:color w:val="auto"/>
              </w:rPr>
            </w:pPr>
          </w:p>
        </w:tc>
      </w:tr>
      <w:tr>
        <w:trPr>
          <w:trHeight w:val="223"/>
        </w:trPr>
        <w:tc>
          <w:tcPr>
            <w:tcW w:w="4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2020</w:t>
            </w:r>
          </w:p>
        </w:tc>
        <w:tc>
          <w:tcPr>
            <w:tcW w:w="300" w:type="dxa"/>
            <w:vAlign w:val="bottom"/>
            <w:tcBorders>
              <w:top w:val="single" w:sz="8" w:color="auto"/>
            </w:tcBorders>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(1,678.0)</w:t>
            </w:r>
          </w:p>
        </w:tc>
        <w:tc>
          <w:tcPr>
            <w:tcW w:w="2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4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gridSpan w:val="2"/>
            <w:shd w:val="clear" w:color="auto" w:fill="CCEEFF"/>
          </w:tcPr>
          <w:p>
            <w:pPr>
              <w:jc w:val="right"/>
              <w:ind w:right="44"/>
              <w:spacing w:after="0"/>
              <w:rPr>
                <w:sz w:val="20"/>
                <w:szCs w:val="20"/>
                <w:color w:val="auto"/>
              </w:rPr>
            </w:pPr>
            <w:r>
              <w:rPr>
                <w:rFonts w:ascii="Arial" w:cs="Arial" w:eastAsia="Arial" w:hAnsi="Arial"/>
                <w:sz w:val="18"/>
                <w:szCs w:val="18"/>
                <w:color w:val="auto"/>
              </w:rPr>
              <w:t>(4,638.6)</w:t>
            </w:r>
          </w:p>
        </w:tc>
        <w:tc>
          <w:tcPr>
            <w:tcW w:w="34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(211.9)</w:t>
            </w:r>
          </w:p>
        </w:tc>
        <w:tc>
          <w:tcPr>
            <w:tcW w:w="28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(6,523.6)</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000" w:type="dxa"/>
            <w:vAlign w:val="bottom"/>
          </w:tcPr>
          <w:p>
            <w:pPr>
              <w:ind w:left="140"/>
              <w:spacing w:after="0" w:line="189" w:lineRule="exact"/>
              <w:rPr>
                <w:sz w:val="20"/>
                <w:szCs w:val="20"/>
                <w:color w:val="auto"/>
              </w:rPr>
            </w:pPr>
            <w:r>
              <w:rPr>
                <w:rFonts w:ascii="Arial" w:cs="Arial" w:eastAsia="Arial" w:hAnsi="Arial"/>
                <w:sz w:val="18"/>
                <w:szCs w:val="18"/>
                <w:color w:val="auto"/>
              </w:rPr>
              <w:t>Other comprehensive income (loss) before</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00" w:type="dxa"/>
            <w:vAlign w:val="bottom"/>
          </w:tcPr>
          <w:p>
            <w:pPr>
              <w:ind w:left="300"/>
              <w:spacing w:after="0"/>
              <w:rPr>
                <w:sz w:val="20"/>
                <w:szCs w:val="20"/>
                <w:color w:val="auto"/>
              </w:rPr>
            </w:pPr>
            <w:r>
              <w:rPr>
                <w:rFonts w:ascii="Arial" w:cs="Arial" w:eastAsia="Arial" w:hAnsi="Arial"/>
                <w:sz w:val="18"/>
                <w:szCs w:val="18"/>
                <w:color w:val="auto"/>
              </w:rPr>
              <w:t>reclassifications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rPr>
              <w:t>(44.5)</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24.2</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(315.2)</w:t>
            </w:r>
          </w:p>
        </w:tc>
        <w:tc>
          <w:tcPr>
            <w:tcW w:w="2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(328.7)</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00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Net amount reclassified from accumulated other</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comprehensive loss</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159.5</w:t>
            </w:r>
          </w:p>
        </w:tc>
        <w:tc>
          <w:tcPr>
            <w:tcW w:w="14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169.4</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other comprehensive income (loss)</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(44.5)</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183.7</w:t>
            </w:r>
          </w:p>
        </w:tc>
        <w:tc>
          <w:tcPr>
            <w:tcW w:w="1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(308.7)</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(159.3)</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June 30, 2020</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(1,722.5)</w:t>
            </w:r>
          </w:p>
        </w:tc>
        <w:tc>
          <w:tcPr>
            <w:tcW w:w="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4"/>
              <w:spacing w:after="0"/>
              <w:rPr>
                <w:sz w:val="20"/>
                <w:szCs w:val="20"/>
                <w:color w:val="auto"/>
              </w:rPr>
            </w:pPr>
            <w:r>
              <w:rPr>
                <w:rFonts w:ascii="Arial" w:cs="Arial" w:eastAsia="Arial" w:hAnsi="Arial"/>
                <w:sz w:val="18"/>
                <w:szCs w:val="18"/>
                <w:color w:val="auto"/>
              </w:rPr>
              <w:t>(4,454.9)</w:t>
            </w:r>
          </w:p>
        </w:tc>
        <w:tc>
          <w:tcPr>
            <w:tcW w:w="340" w:type="dxa"/>
            <w:vAlign w:val="bottom"/>
            <w:shd w:val="clear" w:color="auto" w:fill="CCEEFF"/>
          </w:tcPr>
          <w:p>
            <w:pPr>
              <w:jc w:val="right"/>
              <w:ind w:right="124"/>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(520.6)</w:t>
            </w:r>
          </w:p>
        </w:tc>
        <w:tc>
          <w:tcPr>
            <w:tcW w:w="2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(6,682.9)</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40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9"/>
              </w:rPr>
              <w:t>37</w:t>
            </w:r>
          </w:p>
        </w:tc>
        <w:tc>
          <w:tcPr>
            <w:tcW w:w="10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The tax effects on the net activity related to each component of other comprehensive income (loss) were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3"/>
          </w:tcPr>
          <w:p>
            <w:pPr>
              <w:jc w:val="right"/>
              <w:ind w:right="93"/>
              <w:spacing w:after="0"/>
              <w:rPr>
                <w:sz w:val="20"/>
                <w:szCs w:val="20"/>
                <w:color w:val="auto"/>
              </w:rPr>
            </w:pPr>
            <w:r>
              <w:rPr>
                <w:rFonts w:ascii="Arial" w:cs="Arial" w:eastAsia="Arial" w:hAnsi="Arial"/>
                <w:sz w:val="14"/>
                <w:szCs w:val="14"/>
                <w:b w:val="1"/>
                <w:bCs w:val="1"/>
                <w:color w:val="auto"/>
              </w:rPr>
              <w:t>Three Months Ended June</w:t>
            </w:r>
          </w:p>
        </w:tc>
        <w:tc>
          <w:tcPr>
            <w:tcW w:w="2140" w:type="dxa"/>
            <w:vAlign w:val="bottom"/>
            <w:gridSpan w:val="4"/>
            <w:vMerge w:val="restart"/>
          </w:tcPr>
          <w:p>
            <w:pPr>
              <w:jc w:val="right"/>
              <w:ind w:right="13"/>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76"/>
        </w:trPr>
        <w:tc>
          <w:tcPr>
            <w:tcW w:w="67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30,</w:t>
            </w:r>
          </w:p>
        </w:tc>
        <w:tc>
          <w:tcPr>
            <w:tcW w:w="80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Tax benefit (expense)</w:t>
            </w: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gains/losses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(21.9)</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27.4</w:t>
            </w:r>
          </w:p>
        </w:tc>
        <w:tc>
          <w:tcPr>
            <w:tcW w:w="280" w:type="dxa"/>
            <w:vAlign w:val="bottom"/>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(53.3)</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Unrealized net gains/losses on securities</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19"/>
                <w:szCs w:val="19"/>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b w:val="1"/>
                <w:bCs w:val="1"/>
                <w:color w:val="auto"/>
              </w:rPr>
              <w:t>3.1</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Defined benefit pension and retiree health benefit plans</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(20.2)</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(51.5)</w:t>
            </w: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Effective portion of cash flow hedges</w:t>
            </w: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35.5</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(32.6)</w:t>
            </w: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168"/>
        </w:trPr>
        <w:tc>
          <w:tcPr>
            <w:tcW w:w="670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rPr>
              <w:t>Benefit (provision) for income taxes allocated to other comprehensive income (loss)</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(7.9)</w:t>
            </w:r>
          </w:p>
        </w:tc>
        <w:tc>
          <w:tcPr>
            <w:tcW w:w="2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8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(134.3)</w:t>
            </w:r>
          </w:p>
        </w:tc>
        <w:tc>
          <w:tcPr>
            <w:tcW w:w="2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0"/>
        </w:trPr>
        <w:tc>
          <w:tcPr>
            <w:tcW w:w="670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items</w:t>
            </w: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280" w:type="dxa"/>
            <w:vAlign w:val="bottom"/>
            <w:tcBorders>
              <w:bottom w:val="single" w:sz="8" w:color="auto"/>
            </w:tcBorders>
            <w:vMerge w:val="continue"/>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280" w:type="dxa"/>
            <w:vAlign w:val="bottom"/>
            <w:tcBorders>
              <w:bottom w:val="single" w:sz="8" w:color="auto"/>
            </w:tcBorders>
            <w:vMerge w:val="continue"/>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280" w:type="dxa"/>
            <w:vAlign w:val="bottom"/>
            <w:tcBorders>
              <w:bottom w:val="single" w:sz="8" w:color="auto"/>
            </w:tcBorders>
            <w:vMerge w:val="continue"/>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Except for the tax effects of foreign currency translation gains and losses related to our foreign currency-denominated notes, cross-currency interest rate swaps, and other foreign currency exchange contracts designated as net investment hedges (see Note 6), income taxes were not provided for foreign currency translation. Generally, the assets and liabilities of foreign operations are translated into U.S. dollars using the current exchange rate. For those operations, changes in exchange rates generally do not affect cash flows; therefore, resulting translation adjustments are made in shareholders' equity rather than in the consolidated condensed statements of operations.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Reclassifications out of accumulated other comprehensive loss were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2080" w:type="dxa"/>
            <w:vAlign w:val="bottom"/>
            <w:gridSpan w:val="4"/>
          </w:tcPr>
          <w:p>
            <w:pPr>
              <w:jc w:val="right"/>
              <w:ind w:right="72"/>
              <w:spacing w:after="0"/>
              <w:rPr>
                <w:sz w:val="20"/>
                <w:szCs w:val="20"/>
                <w:color w:val="auto"/>
              </w:rPr>
            </w:pPr>
            <w:r>
              <w:rPr>
                <w:rFonts w:ascii="Arial" w:cs="Arial" w:eastAsia="Arial" w:hAnsi="Arial"/>
                <w:sz w:val="14"/>
                <w:szCs w:val="14"/>
                <w:b w:val="1"/>
                <w:bCs w:val="1"/>
                <w:color w:val="auto"/>
              </w:rPr>
              <w:t>Three Months Ended June</w:t>
            </w:r>
          </w:p>
        </w:tc>
        <w:tc>
          <w:tcPr>
            <w:tcW w:w="21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3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37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Details about Accumulated Other Comprehensive</w:t>
            </w:r>
          </w:p>
        </w:tc>
        <w:tc>
          <w:tcPr>
            <w:tcW w:w="220" w:type="dxa"/>
            <w:vAlign w:val="bottom"/>
          </w:tcPr>
          <w:p>
            <w:pPr>
              <w:spacing w:after="0"/>
              <w:rPr>
                <w:sz w:val="9"/>
                <w:szCs w:val="9"/>
                <w:color w:val="auto"/>
              </w:rPr>
            </w:pPr>
          </w:p>
        </w:tc>
        <w:tc>
          <w:tcPr>
            <w:tcW w:w="1080" w:type="dxa"/>
            <w:vAlign w:val="bottom"/>
            <w:gridSpan w:val="2"/>
            <w:vMerge w:val="restart"/>
          </w:tcPr>
          <w:p>
            <w:pPr>
              <w:jc w:val="right"/>
              <w:ind w:right="90"/>
              <w:spacing w:after="0"/>
              <w:rPr>
                <w:sz w:val="20"/>
                <w:szCs w:val="20"/>
                <w:color w:val="auto"/>
              </w:rPr>
            </w:pPr>
            <w:r>
              <w:rPr>
                <w:rFonts w:ascii="Arial" w:cs="Arial" w:eastAsia="Arial" w:hAnsi="Arial"/>
                <w:sz w:val="14"/>
                <w:szCs w:val="14"/>
                <w:b w:val="1"/>
                <w:bCs w:val="1"/>
                <w:color w:val="auto"/>
              </w:rPr>
              <w:t>30,</w:t>
            </w:r>
          </w:p>
        </w:tc>
        <w:tc>
          <w:tcPr>
            <w:tcW w:w="780" w:type="dxa"/>
            <w:vAlign w:val="bottom"/>
          </w:tcPr>
          <w:p>
            <w:pPr>
              <w:spacing w:after="0"/>
              <w:rPr>
                <w:sz w:val="9"/>
                <w:szCs w:val="9"/>
                <w:color w:val="auto"/>
              </w:rPr>
            </w:pPr>
          </w:p>
        </w:tc>
        <w:tc>
          <w:tcPr>
            <w:tcW w:w="2100" w:type="dxa"/>
            <w:vAlign w:val="bottom"/>
            <w:gridSpan w:val="4"/>
            <w:vMerge w:val="continue"/>
          </w:tcPr>
          <w:p>
            <w:pPr>
              <w:spacing w:after="0"/>
              <w:rPr>
                <w:sz w:val="9"/>
                <w:szCs w:val="9"/>
                <w:color w:val="auto"/>
              </w:rPr>
            </w:pPr>
          </w:p>
        </w:tc>
        <w:tc>
          <w:tcPr>
            <w:tcW w:w="32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Affected Line Item in the Consolidated</w:t>
            </w:r>
          </w:p>
        </w:tc>
        <w:tc>
          <w:tcPr>
            <w:tcW w:w="0" w:type="dxa"/>
            <w:vAlign w:val="bottom"/>
          </w:tcPr>
          <w:p>
            <w:pPr>
              <w:spacing w:after="0"/>
              <w:rPr>
                <w:sz w:val="1"/>
                <w:szCs w:val="1"/>
                <w:color w:val="auto"/>
              </w:rPr>
            </w:pPr>
          </w:p>
        </w:tc>
      </w:tr>
      <w:tr>
        <w:trPr>
          <w:trHeight w:val="81"/>
        </w:trPr>
        <w:tc>
          <w:tcPr>
            <w:tcW w:w="37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
        </w:trPr>
        <w:tc>
          <w:tcPr>
            <w:tcW w:w="3780" w:type="dxa"/>
            <w:vAlign w:val="bottom"/>
            <w:vMerge w:val="continue"/>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780" w:type="dxa"/>
            <w:vAlign w:val="bottom"/>
            <w:tcBorders>
              <w:bottom w:val="single" w:sz="8" w:color="auto"/>
            </w:tcBorders>
          </w:tcPr>
          <w:p>
            <w:pPr>
              <w:ind w:left="1220"/>
              <w:spacing w:after="0"/>
              <w:rPr>
                <w:sz w:val="20"/>
                <w:szCs w:val="20"/>
                <w:color w:val="auto"/>
              </w:rPr>
            </w:pPr>
            <w:r>
              <w:rPr>
                <w:rFonts w:ascii="Arial" w:cs="Arial" w:eastAsia="Arial" w:hAnsi="Arial"/>
                <w:sz w:val="14"/>
                <w:szCs w:val="14"/>
                <w:b w:val="1"/>
                <w:bCs w:val="1"/>
                <w:color w:val="auto"/>
              </w:rPr>
              <w:t>Loss Components</w:t>
            </w: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2020</w:t>
            </w:r>
          </w:p>
        </w:tc>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Condensed Statements of Operations</w:t>
            </w: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retirement benefit items:</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180"/>
              <w:spacing w:after="0"/>
              <w:rPr>
                <w:sz w:val="20"/>
                <w:szCs w:val="20"/>
                <w:color w:val="auto"/>
              </w:rPr>
            </w:pPr>
            <w:r>
              <w:rPr>
                <w:rFonts w:ascii="Arial" w:cs="Arial" w:eastAsia="Arial" w:hAnsi="Arial"/>
                <w:sz w:val="18"/>
                <w:szCs w:val="18"/>
                <w:color w:val="auto"/>
              </w:rPr>
              <w:t>Prior service benefits, net</w:t>
            </w:r>
          </w:p>
        </w:tc>
        <w:tc>
          <w:tcPr>
            <w:tcW w:w="220" w:type="dxa"/>
            <w:vAlign w:val="bottom"/>
          </w:tcPr>
          <w:p>
            <w:pPr>
              <w:jc w:val="right"/>
              <w:ind w:right="16"/>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(13.8)</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(13.8)</w:t>
            </w:r>
          </w:p>
        </w:tc>
        <w:tc>
          <w:tcPr>
            <w:tcW w:w="280" w:type="dxa"/>
            <w:vAlign w:val="bottom"/>
          </w:tcPr>
          <w:p>
            <w:pPr>
              <w:jc w:val="right"/>
              <w:ind w:right="16"/>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(27.6)</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(27.6)</w:t>
            </w:r>
          </w:p>
        </w:tc>
        <w:tc>
          <w:tcPr>
            <w:tcW w:w="3280" w:type="dxa"/>
            <w:vAlign w:val="bottom"/>
          </w:tcPr>
          <w:p>
            <w:pPr>
              <w:ind w:left="180"/>
              <w:spacing w:after="0"/>
              <w:rPr>
                <w:sz w:val="20"/>
                <w:szCs w:val="20"/>
                <w:color w:val="auto"/>
              </w:rPr>
            </w:pPr>
            <w:r>
              <w:rPr>
                <w:rFonts w:ascii="Arial" w:cs="Arial" w:eastAsia="Arial" w:hAnsi="Arial"/>
                <w:sz w:val="18"/>
                <w:szCs w:val="18"/>
                <w:color w:val="auto"/>
              </w:rPr>
              <w:t>Other–net, (income) expense</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Actuarial losses, net</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123.4</w:t>
            </w:r>
          </w:p>
        </w:tc>
        <w:tc>
          <w:tcPr>
            <w:tcW w:w="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117.7</w:t>
            </w:r>
          </w:p>
        </w:tc>
        <w:tc>
          <w:tcPr>
            <w:tcW w:w="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246.0</w:t>
            </w: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229.5</w:t>
            </w:r>
          </w:p>
        </w:tc>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Other–net, (income) expense</w:t>
            </w:r>
          </w:p>
        </w:tc>
        <w:tc>
          <w:tcPr>
            <w:tcW w:w="0" w:type="dxa"/>
            <w:vAlign w:val="bottom"/>
          </w:tcPr>
          <w:p>
            <w:pPr>
              <w:spacing w:after="0"/>
              <w:rPr>
                <w:sz w:val="1"/>
                <w:szCs w:val="1"/>
                <w:color w:val="auto"/>
              </w:rPr>
            </w:pPr>
          </w:p>
        </w:tc>
      </w:tr>
      <w:tr>
        <w:trPr>
          <w:trHeight w:val="223"/>
        </w:trPr>
        <w:tc>
          <w:tcPr>
            <w:tcW w:w="3780" w:type="dxa"/>
            <w:vAlign w:val="bottom"/>
          </w:tcPr>
          <w:p>
            <w:pPr>
              <w:ind w:left="180"/>
              <w:spacing w:after="0"/>
              <w:rPr>
                <w:sz w:val="20"/>
                <w:szCs w:val="20"/>
                <w:color w:val="auto"/>
              </w:rPr>
            </w:pPr>
            <w:r>
              <w:rPr>
                <w:rFonts w:ascii="Arial" w:cs="Arial" w:eastAsia="Arial" w:hAnsi="Arial"/>
                <w:sz w:val="18"/>
                <w:szCs w:val="18"/>
                <w:color w:val="auto"/>
              </w:rPr>
              <w:t>Total before tax</w:t>
            </w:r>
          </w:p>
        </w:tc>
        <w:tc>
          <w:tcPr>
            <w:tcW w:w="220" w:type="dxa"/>
            <w:vAlign w:val="bottom"/>
          </w:tcPr>
          <w:p>
            <w:pPr>
              <w:spacing w:after="0"/>
              <w:rPr>
                <w:sz w:val="19"/>
                <w:szCs w:val="19"/>
                <w:color w:val="auto"/>
              </w:rPr>
            </w:pPr>
          </w:p>
        </w:tc>
        <w:tc>
          <w:tcPr>
            <w:tcW w:w="800" w:type="dxa"/>
            <w:vAlign w:val="bottom"/>
          </w:tcPr>
          <w:p>
            <w:pPr>
              <w:jc w:val="right"/>
              <w:ind w:right="54"/>
              <w:spacing w:after="0"/>
              <w:rPr>
                <w:sz w:val="20"/>
                <w:szCs w:val="20"/>
                <w:color w:val="auto"/>
              </w:rPr>
            </w:pPr>
            <w:r>
              <w:rPr>
                <w:rFonts w:ascii="Arial" w:cs="Arial" w:eastAsia="Arial" w:hAnsi="Arial"/>
                <w:sz w:val="18"/>
                <w:szCs w:val="18"/>
                <w:b w:val="1"/>
                <w:bCs w:val="1"/>
                <w:color w:val="auto"/>
              </w:rPr>
              <w:t>109.6</w:t>
            </w:r>
          </w:p>
        </w:tc>
        <w:tc>
          <w:tcPr>
            <w:tcW w:w="280" w:type="dxa"/>
            <w:vAlign w:val="bottom"/>
          </w:tcPr>
          <w:p>
            <w:pPr>
              <w:spacing w:after="0"/>
              <w:rPr>
                <w:sz w:val="19"/>
                <w:szCs w:val="19"/>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103.9</w:t>
            </w:r>
          </w:p>
        </w:tc>
        <w:tc>
          <w:tcPr>
            <w:tcW w:w="280" w:type="dxa"/>
            <w:vAlign w:val="bottom"/>
          </w:tcPr>
          <w:p>
            <w:pPr>
              <w:spacing w:after="0"/>
              <w:rPr>
                <w:sz w:val="19"/>
                <w:szCs w:val="19"/>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b w:val="1"/>
                <w:bCs w:val="1"/>
                <w:color w:val="auto"/>
              </w:rPr>
              <w:t>218.4</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201.9</w:t>
            </w:r>
          </w:p>
        </w:tc>
        <w:tc>
          <w:tcPr>
            <w:tcW w:w="3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benefit</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(23.0)</w:t>
            </w:r>
          </w:p>
        </w:tc>
        <w:tc>
          <w:tcPr>
            <w:tcW w:w="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(45.9)</w:t>
            </w: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3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taxes</w:t>
            </w:r>
          </w:p>
        </w:tc>
        <w:tc>
          <w:tcPr>
            <w:tcW w:w="0" w:type="dxa"/>
            <w:vAlign w:val="bottom"/>
          </w:tcPr>
          <w:p>
            <w:pPr>
              <w:spacing w:after="0"/>
              <w:rPr>
                <w:sz w:val="1"/>
                <w:szCs w:val="1"/>
                <w:color w:val="auto"/>
              </w:rPr>
            </w:pPr>
          </w:p>
        </w:tc>
      </w:tr>
      <w:tr>
        <w:trPr>
          <w:trHeight w:val="223"/>
        </w:trPr>
        <w:tc>
          <w:tcPr>
            <w:tcW w:w="3780" w:type="dxa"/>
            <w:vAlign w:val="bottom"/>
          </w:tcPr>
          <w:p>
            <w:pPr>
              <w:ind w:left="180"/>
              <w:spacing w:after="0"/>
              <w:rPr>
                <w:sz w:val="20"/>
                <w:szCs w:val="20"/>
                <w:color w:val="auto"/>
              </w:rPr>
            </w:pPr>
            <w:r>
              <w:rPr>
                <w:rFonts w:ascii="Arial" w:cs="Arial" w:eastAsia="Arial" w:hAnsi="Arial"/>
                <w:sz w:val="18"/>
                <w:szCs w:val="18"/>
                <w:color w:val="auto"/>
              </w:rPr>
              <w:t>Net of tax</w:t>
            </w:r>
          </w:p>
        </w:tc>
        <w:tc>
          <w:tcPr>
            <w:tcW w:w="220" w:type="dxa"/>
            <w:vAlign w:val="bottom"/>
          </w:tcPr>
          <w:p>
            <w:pPr>
              <w:spacing w:after="0"/>
              <w:rPr>
                <w:sz w:val="19"/>
                <w:szCs w:val="19"/>
                <w:color w:val="auto"/>
              </w:rPr>
            </w:pPr>
          </w:p>
        </w:tc>
        <w:tc>
          <w:tcPr>
            <w:tcW w:w="800" w:type="dxa"/>
            <w:vAlign w:val="bottom"/>
          </w:tcPr>
          <w:p>
            <w:pPr>
              <w:jc w:val="right"/>
              <w:ind w:right="54"/>
              <w:spacing w:after="0"/>
              <w:rPr>
                <w:sz w:val="20"/>
                <w:szCs w:val="20"/>
                <w:color w:val="auto"/>
              </w:rPr>
            </w:pPr>
            <w:r>
              <w:rPr>
                <w:rFonts w:ascii="Arial" w:cs="Arial" w:eastAsia="Arial" w:hAnsi="Arial"/>
                <w:sz w:val="18"/>
                <w:szCs w:val="18"/>
                <w:b w:val="1"/>
                <w:bCs w:val="1"/>
                <w:color w:val="auto"/>
              </w:rPr>
              <w:t>86.6</w:t>
            </w:r>
          </w:p>
        </w:tc>
        <w:tc>
          <w:tcPr>
            <w:tcW w:w="280" w:type="dxa"/>
            <w:vAlign w:val="bottom"/>
          </w:tcPr>
          <w:p>
            <w:pPr>
              <w:spacing w:after="0"/>
              <w:rPr>
                <w:sz w:val="19"/>
                <w:szCs w:val="19"/>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82.1</w:t>
            </w:r>
          </w:p>
        </w:tc>
        <w:tc>
          <w:tcPr>
            <w:tcW w:w="280" w:type="dxa"/>
            <w:vAlign w:val="bottom"/>
          </w:tcPr>
          <w:p>
            <w:pPr>
              <w:spacing w:after="0"/>
              <w:rPr>
                <w:sz w:val="19"/>
                <w:szCs w:val="19"/>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b w:val="1"/>
                <w:bCs w:val="1"/>
                <w:color w:val="auto"/>
              </w:rPr>
              <w:t>172.5</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159.5</w:t>
            </w:r>
          </w:p>
        </w:tc>
        <w:tc>
          <w:tcPr>
            <w:tcW w:w="3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3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net of tax</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3.5</w:t>
            </w: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6.8</w:t>
            </w: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7.3</w:t>
            </w: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32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Other–net, (income) expense</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reclassifications, net of tax</w:t>
            </w: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90.1</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88.9</w:t>
            </w:r>
          </w:p>
        </w:tc>
        <w:tc>
          <w:tcPr>
            <w:tcW w:w="2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179.8</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169.4</w:t>
            </w:r>
          </w:p>
        </w:tc>
        <w:tc>
          <w:tcPr>
            <w:tcW w:w="3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878"/>
        </w:trPr>
        <w:tc>
          <w:tcPr>
            <w:tcW w:w="3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38</w:t>
            </w: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0"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Note 11: Other–Net, (Income) Expense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Other–net, (income) expense consisted of the following:</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00" w:type="dxa"/>
            <w:vAlign w:val="bottom"/>
          </w:tcPr>
          <w:p>
            <w:pPr>
              <w:spacing w:after="0"/>
              <w:rPr>
                <w:sz w:val="16"/>
                <w:szCs w:val="16"/>
                <w:color w:val="auto"/>
              </w:rPr>
            </w:pPr>
          </w:p>
        </w:tc>
        <w:tc>
          <w:tcPr>
            <w:tcW w:w="2260" w:type="dxa"/>
            <w:vAlign w:val="bottom"/>
            <w:tcBorders>
              <w:bottom w:val="single" w:sz="8" w:color="auto"/>
            </w:tcBorders>
            <w:gridSpan w:val="4"/>
          </w:tcPr>
          <w:p>
            <w:pPr>
              <w:jc w:val="right"/>
              <w:ind w:right="33"/>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93"/>
              <w:spacing w:after="0"/>
              <w:rPr>
                <w:sz w:val="20"/>
                <w:szCs w:val="20"/>
                <w:color w:val="auto"/>
              </w:rPr>
            </w:pPr>
            <w:r>
              <w:rPr>
                <w:rFonts w:ascii="Arial" w:cs="Arial" w:eastAsia="Arial" w:hAnsi="Arial"/>
                <w:sz w:val="14"/>
                <w:szCs w:val="14"/>
                <w:b w:val="1"/>
                <w:bCs w:val="1"/>
                <w:color w:val="auto"/>
              </w:rPr>
              <w:t>Six Months Ended June 30,</w:t>
            </w:r>
          </w:p>
        </w:tc>
      </w:tr>
      <w:tr>
        <w:trPr>
          <w:trHeight w:val="209"/>
        </w:trPr>
        <w:tc>
          <w:tcPr>
            <w:tcW w:w="67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2020</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jc w:val="right"/>
              <w:ind w:right="36"/>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86.9</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88.3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174.7</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(5.4)</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(10.9)</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(21.4)</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gains on equity securities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(215.4)</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(576.8)</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(517.0)</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(763.4)</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Retirement benefit plans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(71.1)</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(35.9)</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(144.5)</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(80.5)</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14.5</w:t>
            </w: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84.6</w:t>
            </w: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w:t>
            </w: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148.5</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Other–net, (income) expense</w:t>
            </w:r>
          </w:p>
        </w:tc>
        <w:tc>
          <w:tcPr>
            <w:tcW w:w="2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(190.5)</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(511.6)</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7"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Item 2. Management’s Discussion and Analysis of Results of Operations and Financial Condition</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6"/>
          <w:szCs w:val="16"/>
          <w:b w:val="1"/>
          <w:bCs w:val="1"/>
          <w:color w:val="auto"/>
        </w:rPr>
        <w:t>Tables present dollars in millions, except per-share data)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39" w:lineRule="exact"/>
        <w:rPr>
          <w:sz w:val="20"/>
          <w:szCs w:val="20"/>
          <w:color w:val="auto"/>
        </w:rPr>
      </w:pPr>
    </w:p>
    <w:p>
      <w:pPr>
        <w:spacing w:after="0" w:line="269" w:lineRule="auto"/>
        <w:rPr>
          <w:rFonts w:ascii="Arial" w:cs="Arial" w:eastAsia="Arial" w:hAnsi="Arial"/>
          <w:sz w:val="17"/>
          <w:szCs w:val="17"/>
          <w:color w:val="auto"/>
        </w:rPr>
      </w:pPr>
      <w:r>
        <w:rPr>
          <w:rFonts w:ascii="Arial" w:cs="Arial" w:eastAsia="Arial" w:hAnsi="Arial"/>
          <w:sz w:val="17"/>
          <w:szCs w:val="17"/>
          <w:color w:val="auto"/>
        </w:rPr>
        <w:t xml:space="preserve">Management’s discussion and analysis of results of operations and financial condition is intended to assist the reader in understanding and assessing significant changes and trends related to the results of operations and financial position of our consolidated company. This discussion and analysis should be read in conjunction with the consolidated condensed financial statements and accompanying footnotes in Part I, Item 1 of this Quarterly Report on Form 10-Q. Certain statements in this Part I, Item 2 of this Quarterly Report on Form 10-Q constitute forward-looking statements. Various risks and uncertainties, including those discussed in "Forward-Looking Statements" in this Quarterly Report on Form 10-Q and “Risk Factors” in Part I, Item 1A of our Annual Report on </w:t>
      </w:r>
      <w:hyperlink r:id="rId14">
        <w:r>
          <w:rPr>
            <w:rFonts w:ascii="Arial" w:cs="Arial" w:eastAsia="Arial" w:hAnsi="Arial"/>
            <w:sz w:val="17"/>
            <w:szCs w:val="17"/>
            <w:u w:val="single" w:color="auto"/>
            <w:color w:val="0000FF"/>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year ended December 31, 2020, may cause our actual results, financial position, and cash generated from operations to differ materially from these forward-looking statements.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39"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This section provides an overview of our financial results, recent product and late-stage pipeline developments, and other matters affecting our company and the pharmaceutical industry. Earnings per share (EPS) data are presented on a diluted basis.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Pandemic</w:t>
      </w:r>
    </w:p>
    <w:p>
      <w:pPr>
        <w:spacing w:after="0" w:line="135" w:lineRule="exact"/>
        <w:rPr>
          <w:sz w:val="20"/>
          <w:szCs w:val="20"/>
          <w:color w:val="auto"/>
        </w:rPr>
      </w:pPr>
    </w:p>
    <w:p>
      <w:pPr>
        <w:ind w:right="540"/>
        <w:spacing w:after="0" w:line="256" w:lineRule="auto"/>
        <w:rPr>
          <w:sz w:val="20"/>
          <w:szCs w:val="20"/>
          <w:color w:val="auto"/>
        </w:rPr>
      </w:pPr>
      <w:r>
        <w:rPr>
          <w:rFonts w:ascii="Arial" w:cs="Arial" w:eastAsia="Arial" w:hAnsi="Arial"/>
          <w:sz w:val="18"/>
          <w:szCs w:val="18"/>
          <w:color w:val="auto"/>
        </w:rPr>
        <w:t>In response to the COVID-19 pandemic, we have focused on maintaining a reliable supply of our medicines; reducing the strain on the medical system; developing treatments for COVID-19; protecting the health, safety, and well-being of our employees; supporting our communities; and ensuring affordability of and access to our medicines, particularly insulin.</w:t>
      </w:r>
    </w:p>
    <w:p>
      <w:pPr>
        <w:spacing w:after="0" w:line="9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have experienced negative impacts to our underlying business due to the COVID-19 pandemic, including decreases in new prescriptions as a result of fewer patient visits to physician’s offices to begin or change treatment, changes in payer segment mix, and the use of patient affordability programs in the United States (U.S.) due to increased unemployment. Additionally, we have experienced, and may continue to experience if the COVID-19 pandemic undergoes resurgent or more severe waves, decreased demand as a result of lack of normal access and fewer in-person interactions by patients and our employees with the healthcare system. In certain locations in the U.S. and around the world with COVID-19 outbreaks, we temporarily halted in-person interactions by our employees with healthcare providers and increased virtual interactions. Prescriptions in most of our therapeutic areas have returned to pre-COVID-19 pandemic levels in the U.S., and healthcare systems in most of our major markets have largely resumed normal operations as of June 30, 2021. While a majority of our in-person interactions have resumed, we may decide to halt such activity in the future and, in those cases, expect to resume such interactions as it is safe to do so and in compliance with applicable guidance and requirements. We may experience additional pricing pressures resulting from the financial strain of the COVID-19 pandemic on government-funded healthcare systems around the world.</w:t>
      </w:r>
    </w:p>
    <w:p>
      <w:pPr>
        <w:spacing w:after="0" w:line="10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remain committed to discovering and developing new treatments for the patients we serve. At the beginning of the COVID-19 pandemic, we paused new clinical trial starts and enrollment in new trials in order to reduce the strain on the medical system, and we have resumed this activity in our clinical trials. However, significant delays or unexpected issues, such as higher discontinuation rates or delays accumulating data, affecting the timing, conduct, or regulatory review of our clinical trials, could adversely affect our ability to commercialize some assets in our product pipeline if the COVID-19 pandemic experiences resurgent or more severe waves.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40" w:name="page41"/>
    <w:bookmarkEnd w:id="40"/>
    <w:p>
      <w:pPr>
        <w:spacing w:after="0" w:line="251" w:lineRule="auto"/>
        <w:rPr>
          <w:sz w:val="20"/>
          <w:szCs w:val="20"/>
          <w:color w:val="auto"/>
        </w:rPr>
      </w:pPr>
      <w:r>
        <w:rPr>
          <w:rFonts w:ascii="Arial" w:cs="Arial" w:eastAsia="Arial" w:hAnsi="Arial"/>
          <w:sz w:val="18"/>
          <w:szCs w:val="18"/>
          <w:color w:val="auto"/>
        </w:rPr>
        <w:t xml:space="preserve">Since the start of the pandemic we have worked with a variety of organizations, including governmental agencies, to facilitate access to our COVID-19 therapies in various countries. The U.S. Food and Drug Administration (FDA) granted Emergency Use Authorizations (EUA) for bamlanivimab and bamlanivimab and etesevimab administered together for higher-risk patients who have been recently diagnosed with mild-to-moderate COVID-19 and for baricitinib for treatment with or without remdesivir in hospitalized COVID-19 patients. In April 2021, the FDA subsequently revoked the EUA for bamlanivimab alone. In June 2021, the Office of the Assistant Secretary for Preparedness and Response halted shipment of bamlanivimab and etesevimab administered together in the U.S. This was due to the prevalence of the Gamma and Beta variants in the U.S. at that time and the fact that bamlanivimab and etesevimab administered together do not retain neutralization effects against those variants. </w:t>
      </w:r>
      <w:r>
        <w:rPr>
          <w:rFonts w:ascii="Arial" w:cs="Arial" w:eastAsia="Arial" w:hAnsi="Arial"/>
          <w:sz w:val="18"/>
          <w:szCs w:val="18"/>
          <w:color w:val="212121"/>
        </w:rPr>
        <w:t>The COVID-19 pandemic has involved, and may continue to involve, the spread of variants, including the Delta</w:t>
      </w:r>
      <w:r>
        <w:rPr>
          <w:rFonts w:ascii="Arial" w:cs="Arial" w:eastAsia="Arial" w:hAnsi="Arial"/>
          <w:sz w:val="18"/>
          <w:szCs w:val="18"/>
          <w:color w:val="auto"/>
        </w:rPr>
        <w:t xml:space="preserve"> </w:t>
      </w:r>
      <w:r>
        <w:rPr>
          <w:rFonts w:ascii="Arial" w:cs="Arial" w:eastAsia="Arial" w:hAnsi="Arial"/>
          <w:sz w:val="18"/>
          <w:szCs w:val="18"/>
          <w:color w:val="212121"/>
        </w:rPr>
        <w:t xml:space="preserve">variant which is currently estimated to be the most dominant variant in the U.S. Preclinical </w:t>
      </w:r>
      <w:r>
        <w:rPr>
          <w:rFonts w:ascii="Arial" w:cs="Arial" w:eastAsia="Arial" w:hAnsi="Arial"/>
          <w:sz w:val="18"/>
          <w:szCs w:val="18"/>
          <w:color w:val="000000"/>
        </w:rPr>
        <w:t>data demonstrate that bamlanivimab and</w:t>
      </w:r>
      <w:r>
        <w:rPr>
          <w:rFonts w:ascii="Arial" w:cs="Arial" w:eastAsia="Arial" w:hAnsi="Arial"/>
          <w:sz w:val="18"/>
          <w:szCs w:val="18"/>
          <w:color w:val="212121"/>
        </w:rPr>
        <w:t xml:space="preserve"> </w:t>
      </w:r>
      <w:r>
        <w:rPr>
          <w:rFonts w:ascii="Arial" w:cs="Arial" w:eastAsia="Arial" w:hAnsi="Arial"/>
          <w:sz w:val="18"/>
          <w:szCs w:val="18"/>
          <w:color w:val="000000"/>
        </w:rPr>
        <w:t>etesevimab administered together retain neutralization activity against the variants currently in circulation in many countries, including Delta and Alpha. The European Medicines Agency's (EMA) Committee for Medicinal Products for Human Use (CHMP) issued a positive opinion for bamlanivimab alone and for bamlanivimab and etesevimab administered together for patients that do not require supplemental oxygen and who are at high risk of progressing to severe COVID-19.</w:t>
      </w:r>
    </w:p>
    <w:p>
      <w:pPr>
        <w:spacing w:after="0" w:line="10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have, and will continue to, face unique risks and uncertainties in our development, manufacture, and uptake of potential treatments for COVID-19, including vulnerability to supply chain disruptions, higher manufacturing costs, difficulties in manufacturing appropriate quantities of our therapies, heightened regulatory scrutiny of our manufacturing practices, restrictions on administration that limit widespread and timely access to our therapies, and risks related to handling, return, and/or refund of product after delivery by us. Expedited authorization processes, including our EUA for bamlanivimab and etesevimab administered together, have allowed restricted distribution of products with less than typical safety and efficacy data, and additional data that become available have and may further call into question the safety or effectiveness of our COVID-19 therapies. Additionally, the availability of superior or competitive therapies, or preventative measures, such as vaccines, coupled with the transient nature of pandemics, have and could further negatively impact or eliminate demand for our COVID-19 therapies. Mutations or the spread of other variants of the coronavirus have in some cases reduced the effectiveness of our COVID-19 therapies, and may further render our therapies less effective or ineffective. We may also be required to accept returns of certain bamlanivimab and etesevimab previously supplied together in the U.S. if the relevant EUA is revoked or terminated due to safety and efficacy concerns. In addition, evolving regulatory priorities have intensified governmental scrutiny of our operations, including our compliance with Good Manufacturing Practices (cGMP), quality assurance, and similar regulations relating to our manufacture of COVID-19 therapies and other medicines. Any of these risks could prevent us from recouping our substantial investments in the research, development, and manufacture of our COVID-19 therapies. These risks could also affect other aspects of our business, including potentially resulting in delays or denials in the approval or launch of other products.</w:t>
      </w:r>
    </w:p>
    <w:p>
      <w:pPr>
        <w:spacing w:after="0" w:line="100"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Our ability to continue to operate without significant negative impacts will in part depend on our ability to protect our employees and our supply chain. We have taken steps to protect our employees worldwide, with particular measures in place for those working in our manufacturing sites and distribution facilities. We have been able to largely maintain our normal operations. However, uncertainty resulting from the COVID-19 pandemic could have an adverse impact on our manufacturing operations, global supply chain, and distribution systems, which could impact our ability to produce and distribute our products and the ability of third parties on which we rely to fulfill their obligations to us, and could increase our expenses if the COVID-19 pandemic experiences resurgent or more severe waves.</w:t>
      </w:r>
    </w:p>
    <w:p>
      <w:pPr>
        <w:spacing w:after="0" w:line="100"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 xml:space="preserve">Although the COVID-19 pandemic has affected our operations and demand for our products, it has not negatively impacted our liquidity position. We expect to continue to generate cash flows to meet our short-term liquidity needs and to have access to liquidity via the short-term and long-term debt markets. As part of our response to the COVID-19 pandemic, and at the request of the U.S. and international governments, we invested in large-scale manufacturing of COVID-19 antibodies at risk, in order to ensure rapid access to patients around the world. As the COVID-19 pandemic has continued to evolve during 2021, </w:t>
      </w:r>
      <w:r>
        <w:rPr>
          <w:rFonts w:ascii="Arial" w:cs="Arial" w:eastAsia="Arial" w:hAnsi="Arial"/>
          <w:sz w:val="18"/>
          <w:szCs w:val="18"/>
          <w:color w:val="212121"/>
        </w:rPr>
        <w:t>w</w:t>
      </w:r>
      <w:r>
        <w:rPr>
          <w:rFonts w:ascii="Arial" w:cs="Arial" w:eastAsia="Arial" w:hAnsi="Arial"/>
          <w:sz w:val="18"/>
          <w:szCs w:val="18"/>
          <w:color w:val="auto"/>
        </w:rPr>
        <w:t>e have incurred inventory charges related to our COVID-19 antibodies during the three and six months ended June 30, 2021, primarily due to the combination of changes to current and forecasted demand from the U.S. and international governments, including c</w:t>
      </w:r>
      <w:r>
        <w:rPr>
          <w:rFonts w:ascii="Arial" w:cs="Arial" w:eastAsia="Arial" w:hAnsi="Arial"/>
          <w:sz w:val="18"/>
          <w:szCs w:val="18"/>
          <w:color w:val="212121"/>
        </w:rPr>
        <w:t>hanges to our agreement with the U.S. government, and near-term expiry</w:t>
      </w:r>
      <w:r>
        <w:rPr>
          <w:rFonts w:ascii="Arial" w:cs="Arial" w:eastAsia="Arial" w:hAnsi="Arial"/>
          <w:sz w:val="18"/>
          <w:szCs w:val="18"/>
          <w:color w:val="auto"/>
        </w:rPr>
        <w:t xml:space="preserve"> </w:t>
      </w:r>
      <w:r>
        <w:rPr>
          <w:rFonts w:ascii="Arial" w:cs="Arial" w:eastAsia="Arial" w:hAnsi="Arial"/>
          <w:sz w:val="18"/>
          <w:szCs w:val="18"/>
          <w:color w:val="212121"/>
        </w:rPr>
        <w:t>dates of COVID-19 antibodies</w:t>
      </w:r>
      <w:r>
        <w:rPr>
          <w:rFonts w:ascii="Arial" w:cs="Arial" w:eastAsia="Arial" w:hAnsi="Arial"/>
          <w:sz w:val="18"/>
          <w:szCs w:val="18"/>
          <w:color w:val="000000"/>
        </w:rPr>
        <w:t>. We could experience additional impairments of our assets, including inventory related to our COVID-19</w:t>
      </w:r>
      <w:r>
        <w:rPr>
          <w:rFonts w:ascii="Arial" w:cs="Arial" w:eastAsia="Arial" w:hAnsi="Arial"/>
          <w:sz w:val="18"/>
          <w:szCs w:val="18"/>
          <w:color w:val="212121"/>
        </w:rPr>
        <w:t xml:space="preserve"> </w:t>
      </w:r>
      <w:r>
        <w:rPr>
          <w:rFonts w:ascii="Arial" w:cs="Arial" w:eastAsia="Arial" w:hAnsi="Arial"/>
          <w:sz w:val="18"/>
          <w:szCs w:val="18"/>
          <w:color w:val="000000"/>
        </w:rPr>
        <w:t>antibodies, or significant changes in the fair value of our assets due to the COVID-19 pandemic, including as a result of the factors discussed above.</w:t>
      </w:r>
    </w:p>
    <w:p>
      <w:pPr>
        <w:spacing w:after="0" w:line="103" w:lineRule="exact"/>
        <w:rPr>
          <w:sz w:val="20"/>
          <w:szCs w:val="20"/>
          <w:color w:val="auto"/>
        </w:rPr>
      </w:pPr>
    </w:p>
    <w:p>
      <w:pPr>
        <w:ind w:right="80"/>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See “Risk Factors” in Part I, Item 1A of our Annual Report on </w:t>
      </w:r>
      <w:hyperlink r:id="rId14">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2020 for additional information on risk factors that could impact our results.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i w:val="1"/>
          <w:iCs w:val="1"/>
          <w:color w:val="auto"/>
        </w:rPr>
        <w:t>Financial Results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key operating results: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6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3"/>
          </w:tcPr>
          <w:p>
            <w:pPr>
              <w:jc w:val="right"/>
              <w:ind w:right="312"/>
              <w:spacing w:after="0"/>
              <w:rPr>
                <w:sz w:val="20"/>
                <w:szCs w:val="20"/>
                <w:color w:val="auto"/>
              </w:rPr>
            </w:pPr>
            <w:r>
              <w:rPr>
                <w:rFonts w:ascii="Arial" w:cs="Arial" w:eastAsia="Arial" w:hAnsi="Arial"/>
                <w:sz w:val="14"/>
                <w:szCs w:val="14"/>
                <w:b w:val="1"/>
                <w:bCs w:val="1"/>
                <w:color w:val="auto"/>
              </w:rPr>
              <w:t>Three Months Ended June 30,</w:t>
            </w: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Percent</w:t>
            </w:r>
          </w:p>
        </w:tc>
        <w:tc>
          <w:tcPr>
            <w:tcW w:w="3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3"/>
          </w:tcPr>
          <w:p>
            <w:pPr>
              <w:jc w:val="right"/>
              <w:ind w:right="472"/>
              <w:spacing w:after="0"/>
              <w:rPr>
                <w:sz w:val="20"/>
                <w:szCs w:val="20"/>
                <w:color w:val="auto"/>
              </w:rPr>
            </w:pPr>
            <w:r>
              <w:rPr>
                <w:rFonts w:ascii="Arial" w:cs="Arial" w:eastAsia="Arial" w:hAnsi="Arial"/>
                <w:sz w:val="14"/>
                <w:szCs w:val="14"/>
                <w:b w:val="1"/>
                <w:bCs w:val="1"/>
                <w:color w:val="auto"/>
              </w:rPr>
              <w:t>Six Months Ended June 30,</w:t>
            </w:r>
          </w:p>
        </w:tc>
        <w:tc>
          <w:tcPr>
            <w:tcW w:w="860" w:type="dxa"/>
            <w:vAlign w:val="bottom"/>
            <w:vMerge w:val="restart"/>
          </w:tcPr>
          <w:p>
            <w:pPr>
              <w:jc w:val="center"/>
              <w:ind w:left="1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29"/>
        </w:trPr>
        <w:tc>
          <w:tcPr>
            <w:tcW w:w="3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1"/>
                <w:szCs w:val="11"/>
                <w:color w:val="auto"/>
              </w:rPr>
            </w:pPr>
          </w:p>
        </w:tc>
        <w:tc>
          <w:tcPr>
            <w:tcW w:w="10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9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vMerge w:val="restart"/>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1"/>
                <w:szCs w:val="11"/>
                <w:color w:val="auto"/>
              </w:rPr>
            </w:pPr>
          </w:p>
        </w:tc>
        <w:tc>
          <w:tcPr>
            <w:tcW w:w="114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6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auto"/>
            </w:tcBorders>
          </w:tcPr>
          <w:p>
            <w:pPr>
              <w:jc w:val="center"/>
              <w:ind w:left="1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ind w:right="194"/>
              <w:spacing w:after="0"/>
              <w:rPr>
                <w:sz w:val="20"/>
                <w:szCs w:val="20"/>
                <w:color w:val="auto"/>
              </w:rPr>
            </w:pPr>
            <w:r>
              <w:rPr>
                <w:rFonts w:ascii="Arial" w:cs="Arial" w:eastAsia="Arial" w:hAnsi="Arial"/>
                <w:sz w:val="18"/>
                <w:szCs w:val="18"/>
                <w:b w:val="1"/>
                <w:bCs w:val="1"/>
                <w:color w:val="auto"/>
              </w:rPr>
              <w:t>6,740.1</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5,499.4</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23</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ind w:right="214"/>
              <w:spacing w:after="0"/>
              <w:rPr>
                <w:sz w:val="20"/>
                <w:szCs w:val="20"/>
                <w:color w:val="auto"/>
              </w:rPr>
            </w:pPr>
            <w:r>
              <w:rPr>
                <w:rFonts w:ascii="Arial" w:cs="Arial" w:eastAsia="Arial" w:hAnsi="Arial"/>
                <w:sz w:val="18"/>
                <w:szCs w:val="18"/>
                <w:b w:val="1"/>
                <w:bCs w:val="1"/>
                <w:color w:val="auto"/>
              </w:rPr>
              <w:t>13,545.7</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11,359.2</w:t>
            </w:r>
          </w:p>
        </w:tc>
        <w:tc>
          <w:tcPr>
            <w:tcW w:w="86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9"/>
              </w:rPr>
              <w:t>19</w:t>
            </w:r>
          </w:p>
        </w:tc>
        <w:tc>
          <w:tcPr>
            <w:tcW w:w="0" w:type="dxa"/>
            <w:vAlign w:val="bottom"/>
          </w:tcPr>
          <w:p>
            <w:pPr>
              <w:spacing w:after="0"/>
              <w:rPr>
                <w:sz w:val="1"/>
                <w:szCs w:val="1"/>
                <w:color w:val="auto"/>
              </w:rPr>
            </w:pPr>
          </w:p>
        </w:tc>
      </w:tr>
      <w:tr>
        <w:trPr>
          <w:trHeight w:val="229"/>
        </w:trPr>
        <w:tc>
          <w:tcPr>
            <w:tcW w:w="360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260" w:type="dxa"/>
            <w:vAlign w:val="bottom"/>
          </w:tcPr>
          <w:p>
            <w:pPr>
              <w:spacing w:after="0"/>
              <w:rPr>
                <w:sz w:val="19"/>
                <w:szCs w:val="19"/>
                <w:color w:val="auto"/>
              </w:rPr>
            </w:pPr>
          </w:p>
        </w:tc>
        <w:tc>
          <w:tcPr>
            <w:tcW w:w="1140" w:type="dxa"/>
            <w:vAlign w:val="bottom"/>
          </w:tcPr>
          <w:p>
            <w:pPr>
              <w:jc w:val="right"/>
              <w:ind w:right="194"/>
              <w:spacing w:after="0"/>
              <w:rPr>
                <w:sz w:val="20"/>
                <w:szCs w:val="20"/>
                <w:color w:val="auto"/>
              </w:rPr>
            </w:pPr>
            <w:r>
              <w:rPr>
                <w:rFonts w:ascii="Arial" w:cs="Arial" w:eastAsia="Arial" w:hAnsi="Arial"/>
                <w:sz w:val="18"/>
                <w:szCs w:val="18"/>
                <w:b w:val="1"/>
                <w:bCs w:val="1"/>
                <w:color w:val="auto"/>
              </w:rPr>
              <w:t>4,786.9</w:t>
            </w:r>
          </w:p>
        </w:tc>
        <w:tc>
          <w:tcPr>
            <w:tcW w:w="380" w:type="dxa"/>
            <w:vAlign w:val="bottom"/>
          </w:tcPr>
          <w:p>
            <w:pPr>
              <w:spacing w:after="0"/>
              <w:rPr>
                <w:sz w:val="19"/>
                <w:szCs w:val="19"/>
                <w:color w:val="auto"/>
              </w:rPr>
            </w:pPr>
          </w:p>
        </w:tc>
        <w:tc>
          <w:tcPr>
            <w:tcW w:w="1040" w:type="dxa"/>
            <w:vAlign w:val="bottom"/>
          </w:tcPr>
          <w:p>
            <w:pPr>
              <w:jc w:val="right"/>
              <w:ind w:right="152"/>
              <w:spacing w:after="0"/>
              <w:rPr>
                <w:sz w:val="20"/>
                <w:szCs w:val="20"/>
                <w:color w:val="auto"/>
              </w:rPr>
            </w:pPr>
            <w:r>
              <w:rPr>
                <w:rFonts w:ascii="Arial" w:cs="Arial" w:eastAsia="Arial" w:hAnsi="Arial"/>
                <w:sz w:val="18"/>
                <w:szCs w:val="18"/>
                <w:color w:val="auto"/>
              </w:rPr>
              <w:t>4,277.4</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12</w:t>
            </w:r>
          </w:p>
        </w:tc>
        <w:tc>
          <w:tcPr>
            <w:tcW w:w="300" w:type="dxa"/>
            <w:vAlign w:val="bottom"/>
          </w:tcPr>
          <w:p>
            <w:pPr>
              <w:spacing w:after="0"/>
              <w:rPr>
                <w:sz w:val="19"/>
                <w:szCs w:val="19"/>
                <w:color w:val="auto"/>
              </w:rPr>
            </w:pPr>
          </w:p>
        </w:tc>
        <w:tc>
          <w:tcPr>
            <w:tcW w:w="1200" w:type="dxa"/>
            <w:vAlign w:val="bottom"/>
          </w:tcPr>
          <w:p>
            <w:pPr>
              <w:jc w:val="right"/>
              <w:ind w:right="214"/>
              <w:spacing w:after="0"/>
              <w:rPr>
                <w:sz w:val="20"/>
                <w:szCs w:val="20"/>
                <w:color w:val="auto"/>
              </w:rPr>
            </w:pPr>
            <w:r>
              <w:rPr>
                <w:rFonts w:ascii="Arial" w:cs="Arial" w:eastAsia="Arial" w:hAnsi="Arial"/>
                <w:sz w:val="18"/>
                <w:szCs w:val="18"/>
                <w:b w:val="1"/>
                <w:bCs w:val="1"/>
                <w:color w:val="auto"/>
              </w:rPr>
              <w:t>9,713.9</w:t>
            </w:r>
          </w:p>
        </w:tc>
        <w:tc>
          <w:tcPr>
            <w:tcW w:w="340" w:type="dxa"/>
            <w:vAlign w:val="bottom"/>
          </w:tcPr>
          <w:p>
            <w:pPr>
              <w:spacing w:after="0"/>
              <w:rPr>
                <w:sz w:val="19"/>
                <w:szCs w:val="19"/>
                <w:color w:val="auto"/>
              </w:rPr>
            </w:pP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8,922.1</w:t>
            </w:r>
          </w:p>
        </w:tc>
        <w:tc>
          <w:tcPr>
            <w:tcW w:w="860" w:type="dxa"/>
            <w:vAlign w:val="bottom"/>
          </w:tcPr>
          <w:p>
            <w:pPr>
              <w:jc w:val="center"/>
              <w:ind w:left="34"/>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 as a percent of revenue</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71.0 %</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77.8 %</w:t>
            </w:r>
          </w:p>
        </w:tc>
        <w:tc>
          <w:tcPr>
            <w:tcW w:w="9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71.7 %</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78.5 %</w:t>
            </w: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194"/>
              <w:spacing w:after="0"/>
              <w:rPr>
                <w:sz w:val="20"/>
                <w:szCs w:val="20"/>
                <w:color w:val="auto"/>
              </w:rPr>
            </w:pPr>
            <w:r>
              <w:rPr>
                <w:rFonts w:ascii="Arial" w:cs="Arial" w:eastAsia="Arial" w:hAnsi="Arial"/>
                <w:sz w:val="18"/>
                <w:szCs w:val="18"/>
                <w:b w:val="1"/>
                <w:bCs w:val="1"/>
                <w:color w:val="auto"/>
              </w:rPr>
              <w:t>3,358.5</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52"/>
              <w:spacing w:after="0"/>
              <w:rPr>
                <w:sz w:val="20"/>
                <w:szCs w:val="20"/>
                <w:color w:val="auto"/>
              </w:rPr>
            </w:pPr>
            <w:r>
              <w:rPr>
                <w:rFonts w:ascii="Arial" w:cs="Arial" w:eastAsia="Arial" w:hAnsi="Arial"/>
                <w:sz w:val="18"/>
                <w:szCs w:val="18"/>
                <w:color w:val="auto"/>
              </w:rPr>
              <w:t>2,838.8</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18</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214"/>
              <w:spacing w:after="0"/>
              <w:rPr>
                <w:sz w:val="20"/>
                <w:szCs w:val="20"/>
                <w:color w:val="auto"/>
              </w:rPr>
            </w:pPr>
            <w:r>
              <w:rPr>
                <w:rFonts w:ascii="Arial" w:cs="Arial" w:eastAsia="Arial" w:hAnsi="Arial"/>
                <w:sz w:val="18"/>
                <w:szCs w:val="18"/>
                <w:b w:val="1"/>
                <w:bCs w:val="1"/>
                <w:color w:val="auto"/>
              </w:rPr>
              <w:t>6,619.3</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5,780.5</w:t>
            </w:r>
          </w:p>
        </w:tc>
        <w:tc>
          <w:tcPr>
            <w:tcW w:w="860" w:type="dxa"/>
            <w:vAlign w:val="bottom"/>
          </w:tcPr>
          <w:p>
            <w:pPr>
              <w:jc w:val="center"/>
              <w:ind w:left="14"/>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188"/>
        </w:trPr>
        <w:tc>
          <w:tcPr>
            <w:tcW w:w="36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Acquired in-process research and</w:t>
            </w:r>
          </w:p>
        </w:tc>
        <w:tc>
          <w:tcPr>
            <w:tcW w:w="26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ind w:right="194"/>
              <w:spacing w:after="0"/>
              <w:rPr>
                <w:sz w:val="20"/>
                <w:szCs w:val="20"/>
                <w:color w:val="auto"/>
              </w:rPr>
            </w:pPr>
            <w:r>
              <w:rPr>
                <w:rFonts w:ascii="Arial" w:cs="Arial" w:eastAsia="Arial" w:hAnsi="Arial"/>
                <w:sz w:val="18"/>
                <w:szCs w:val="18"/>
                <w:b w:val="1"/>
                <w:bCs w:val="1"/>
                <w:color w:val="auto"/>
              </w:rPr>
              <w:t>25.0</w:t>
            </w:r>
          </w:p>
        </w:tc>
        <w:tc>
          <w:tcPr>
            <w:tcW w:w="3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0" w:type="dxa"/>
            <w:vAlign w:val="bottom"/>
            <w:vMerge w:val="restart"/>
            <w:shd w:val="clear" w:color="auto" w:fill="CCEEFF"/>
          </w:tcPr>
          <w:p>
            <w:pPr>
              <w:jc w:val="right"/>
              <w:ind w:right="214"/>
              <w:spacing w:after="0"/>
              <w:rPr>
                <w:sz w:val="20"/>
                <w:szCs w:val="20"/>
                <w:color w:val="auto"/>
              </w:rPr>
            </w:pPr>
            <w:r>
              <w:rPr>
                <w:rFonts w:ascii="Arial" w:cs="Arial" w:eastAsia="Arial" w:hAnsi="Arial"/>
                <w:sz w:val="18"/>
                <w:szCs w:val="18"/>
                <w:b w:val="1"/>
                <w:bCs w:val="1"/>
                <w:color w:val="auto"/>
              </w:rPr>
              <w:t>324.3</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development (IPR&amp;D)</w:t>
            </w:r>
          </w:p>
        </w:tc>
        <w:tc>
          <w:tcPr>
            <w:tcW w:w="26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241.8</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(90)</w:t>
            </w:r>
          </w:p>
        </w:tc>
        <w:tc>
          <w:tcPr>
            <w:tcW w:w="3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294.1</w:t>
            </w:r>
          </w:p>
        </w:tc>
        <w:tc>
          <w:tcPr>
            <w:tcW w:w="86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9"/>
              </w:rPr>
              <w:t>10</w:t>
            </w:r>
          </w:p>
        </w:tc>
        <w:tc>
          <w:tcPr>
            <w:tcW w:w="0" w:type="dxa"/>
            <w:vAlign w:val="bottom"/>
          </w:tcPr>
          <w:p>
            <w:pPr>
              <w:spacing w:after="0"/>
              <w:rPr>
                <w:sz w:val="1"/>
                <w:szCs w:val="1"/>
                <w:color w:val="auto"/>
              </w:rPr>
            </w:pPr>
          </w:p>
        </w:tc>
      </w:tr>
      <w:tr>
        <w:trPr>
          <w:trHeight w:val="188"/>
        </w:trPr>
        <w:tc>
          <w:tcPr>
            <w:tcW w:w="3600" w:type="dxa"/>
            <w:vAlign w:val="bottom"/>
          </w:tcPr>
          <w:p>
            <w:pPr>
              <w:ind w:left="20"/>
              <w:spacing w:after="0" w:line="189" w:lineRule="exact"/>
              <w:rPr>
                <w:sz w:val="20"/>
                <w:szCs w:val="20"/>
                <w:color w:val="auto"/>
              </w:rPr>
            </w:pPr>
            <w:r>
              <w:rPr>
                <w:rFonts w:ascii="Arial" w:cs="Arial" w:eastAsia="Arial" w:hAnsi="Arial"/>
                <w:sz w:val="18"/>
                <w:szCs w:val="18"/>
                <w:color w:val="auto"/>
              </w:rPr>
              <w:t>Asset impairment, restructuring, and other</w:t>
            </w:r>
          </w:p>
        </w:tc>
        <w:tc>
          <w:tcPr>
            <w:tcW w:w="260" w:type="dxa"/>
            <w:vAlign w:val="bottom"/>
          </w:tcPr>
          <w:p>
            <w:pPr>
              <w:spacing w:after="0"/>
              <w:rPr>
                <w:sz w:val="16"/>
                <w:szCs w:val="16"/>
                <w:color w:val="auto"/>
              </w:rPr>
            </w:pPr>
          </w:p>
        </w:tc>
        <w:tc>
          <w:tcPr>
            <w:tcW w:w="1140" w:type="dxa"/>
            <w:vAlign w:val="bottom"/>
            <w:vMerge w:val="restart"/>
          </w:tcPr>
          <w:p>
            <w:pPr>
              <w:jc w:val="right"/>
              <w:ind w:right="194"/>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vMerge w:val="restart"/>
          </w:tcPr>
          <w:p>
            <w:pPr>
              <w:jc w:val="right"/>
              <w:ind w:right="214"/>
              <w:spacing w:after="0"/>
              <w:rPr>
                <w:sz w:val="20"/>
                <w:szCs w:val="20"/>
                <w:color w:val="auto"/>
              </w:rPr>
            </w:pPr>
            <w:r>
              <w:rPr>
                <w:rFonts w:ascii="Arial" w:cs="Arial" w:eastAsia="Arial" w:hAnsi="Arial"/>
                <w:sz w:val="18"/>
                <w:szCs w:val="18"/>
                <w:b w:val="1"/>
                <w:bCs w:val="1"/>
                <w:color w:val="auto"/>
              </w:rPr>
              <w:t>211.6</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600" w:type="dxa"/>
            <w:vAlign w:val="bottom"/>
          </w:tcPr>
          <w:p>
            <w:pPr>
              <w:ind w:left="20"/>
              <w:spacing w:after="0"/>
              <w:rPr>
                <w:sz w:val="20"/>
                <w:szCs w:val="20"/>
                <w:color w:val="auto"/>
              </w:rPr>
            </w:pPr>
            <w:r>
              <w:rPr>
                <w:rFonts w:ascii="Arial" w:cs="Arial" w:eastAsia="Arial" w:hAnsi="Arial"/>
                <w:sz w:val="18"/>
                <w:szCs w:val="18"/>
                <w:color w:val="auto"/>
              </w:rPr>
              <w:t>special charges</w:t>
            </w:r>
          </w:p>
        </w:tc>
        <w:tc>
          <w:tcPr>
            <w:tcW w:w="2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NM</w:t>
            </w:r>
          </w:p>
        </w:tc>
        <w:tc>
          <w:tcPr>
            <w:tcW w:w="3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59.9</w:t>
            </w:r>
          </w:p>
        </w:tc>
        <w:tc>
          <w:tcPr>
            <w:tcW w:w="860" w:type="dxa"/>
            <w:vAlign w:val="bottom"/>
          </w:tcPr>
          <w:p>
            <w:pPr>
              <w:jc w:val="center"/>
              <w:ind w:left="14"/>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29"/>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94"/>
              <w:spacing w:after="0"/>
              <w:rPr>
                <w:sz w:val="20"/>
                <w:szCs w:val="20"/>
                <w:color w:val="auto"/>
              </w:rPr>
            </w:pPr>
            <w:r>
              <w:rPr>
                <w:rFonts w:ascii="Arial" w:cs="Arial" w:eastAsia="Arial" w:hAnsi="Arial"/>
                <w:sz w:val="18"/>
                <w:szCs w:val="18"/>
                <w:b w:val="1"/>
                <w:bCs w:val="1"/>
                <w:color w:val="auto"/>
              </w:rPr>
              <w:t>1,390.2</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1,412.0</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14"/>
              <w:spacing w:after="0"/>
              <w:rPr>
                <w:sz w:val="20"/>
                <w:szCs w:val="20"/>
                <w:color w:val="auto"/>
              </w:rPr>
            </w:pPr>
            <w:r>
              <w:rPr>
                <w:rFonts w:ascii="Arial" w:cs="Arial" w:eastAsia="Arial" w:hAnsi="Arial"/>
                <w:sz w:val="18"/>
                <w:szCs w:val="18"/>
                <w:b w:val="1"/>
                <w:bCs w:val="1"/>
                <w:color w:val="auto"/>
              </w:rPr>
              <w:t>2,745.5</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2,868.5</w:t>
            </w:r>
          </w:p>
        </w:tc>
        <w:tc>
          <w:tcPr>
            <w:tcW w:w="860" w:type="dxa"/>
            <w:vAlign w:val="bottom"/>
            <w:shd w:val="clear" w:color="auto" w:fill="CCEEFF"/>
          </w:tcPr>
          <w:p>
            <w:pPr>
              <w:jc w:val="center"/>
              <w:ind w:left="34"/>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39"/>
        </w:trPr>
        <w:tc>
          <w:tcPr>
            <w:tcW w:w="3600" w:type="dxa"/>
            <w:vAlign w:val="bottom"/>
          </w:tcPr>
          <w:p>
            <w:pPr>
              <w:ind w:left="20"/>
              <w:spacing w:after="0"/>
              <w:rPr>
                <w:sz w:val="20"/>
                <w:szCs w:val="20"/>
                <w:color w:val="auto"/>
              </w:rPr>
            </w:pPr>
            <w:r>
              <w:rPr>
                <w:rFonts w:ascii="Arial" w:cs="Arial" w:eastAsia="Arial" w:hAnsi="Arial"/>
                <w:sz w:val="18"/>
                <w:szCs w:val="18"/>
                <w:color w:val="auto"/>
              </w:rPr>
              <w:t>EPS</w:t>
            </w:r>
          </w:p>
        </w:tc>
        <w:tc>
          <w:tcPr>
            <w:tcW w:w="260" w:type="dxa"/>
            <w:vAlign w:val="bottom"/>
          </w:tcPr>
          <w:p>
            <w:pPr>
              <w:spacing w:after="0"/>
              <w:rPr>
                <w:sz w:val="20"/>
                <w:szCs w:val="20"/>
                <w:color w:val="auto"/>
              </w:rPr>
            </w:pPr>
          </w:p>
        </w:tc>
        <w:tc>
          <w:tcPr>
            <w:tcW w:w="1140" w:type="dxa"/>
            <w:vAlign w:val="bottom"/>
          </w:tcPr>
          <w:p>
            <w:pPr>
              <w:jc w:val="right"/>
              <w:ind w:right="194"/>
              <w:spacing w:after="0"/>
              <w:rPr>
                <w:sz w:val="20"/>
                <w:szCs w:val="20"/>
                <w:color w:val="auto"/>
              </w:rPr>
            </w:pPr>
            <w:r>
              <w:rPr>
                <w:rFonts w:ascii="Arial" w:cs="Arial" w:eastAsia="Arial" w:hAnsi="Arial"/>
                <w:sz w:val="18"/>
                <w:szCs w:val="18"/>
                <w:b w:val="1"/>
                <w:bCs w:val="1"/>
                <w:color w:val="auto"/>
              </w:rPr>
              <w:t>1.53</w:t>
            </w:r>
          </w:p>
        </w:tc>
        <w:tc>
          <w:tcPr>
            <w:tcW w:w="380" w:type="dxa"/>
            <w:vAlign w:val="bottom"/>
          </w:tcPr>
          <w:p>
            <w:pPr>
              <w:spacing w:after="0"/>
              <w:rPr>
                <w:sz w:val="20"/>
                <w:szCs w:val="20"/>
                <w:color w:val="auto"/>
              </w:rPr>
            </w:pPr>
          </w:p>
        </w:tc>
        <w:tc>
          <w:tcPr>
            <w:tcW w:w="1040" w:type="dxa"/>
            <w:vAlign w:val="bottom"/>
          </w:tcPr>
          <w:p>
            <w:pPr>
              <w:jc w:val="right"/>
              <w:ind w:right="152"/>
              <w:spacing w:after="0"/>
              <w:rPr>
                <w:sz w:val="20"/>
                <w:szCs w:val="20"/>
                <w:color w:val="auto"/>
              </w:rPr>
            </w:pPr>
            <w:r>
              <w:rPr>
                <w:rFonts w:ascii="Arial" w:cs="Arial" w:eastAsia="Arial" w:hAnsi="Arial"/>
                <w:sz w:val="18"/>
                <w:szCs w:val="18"/>
                <w:color w:val="auto"/>
              </w:rPr>
              <w:t>1.55</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300" w:type="dxa"/>
            <w:vAlign w:val="bottom"/>
          </w:tcPr>
          <w:p>
            <w:pPr>
              <w:spacing w:after="0"/>
              <w:rPr>
                <w:sz w:val="20"/>
                <w:szCs w:val="20"/>
                <w:color w:val="auto"/>
              </w:rPr>
            </w:pPr>
          </w:p>
        </w:tc>
        <w:tc>
          <w:tcPr>
            <w:tcW w:w="1200" w:type="dxa"/>
            <w:vAlign w:val="bottom"/>
          </w:tcPr>
          <w:p>
            <w:pPr>
              <w:jc w:val="right"/>
              <w:ind w:right="214"/>
              <w:spacing w:after="0"/>
              <w:rPr>
                <w:sz w:val="20"/>
                <w:szCs w:val="20"/>
                <w:color w:val="auto"/>
              </w:rPr>
            </w:pPr>
            <w:r>
              <w:rPr>
                <w:rFonts w:ascii="Arial" w:cs="Arial" w:eastAsia="Arial" w:hAnsi="Arial"/>
                <w:sz w:val="18"/>
                <w:szCs w:val="18"/>
                <w:b w:val="1"/>
                <w:bCs w:val="1"/>
                <w:color w:val="auto"/>
              </w:rPr>
              <w:t>3.01</w:t>
            </w:r>
          </w:p>
        </w:tc>
        <w:tc>
          <w:tcPr>
            <w:tcW w:w="340" w:type="dxa"/>
            <w:vAlign w:val="bottom"/>
          </w:tcPr>
          <w:p>
            <w:pPr>
              <w:spacing w:after="0"/>
              <w:rPr>
                <w:sz w:val="20"/>
                <w:szCs w:val="20"/>
                <w:color w:val="auto"/>
              </w:rPr>
            </w:pP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3.15</w:t>
            </w:r>
          </w:p>
        </w:tc>
        <w:tc>
          <w:tcPr>
            <w:tcW w:w="860" w:type="dxa"/>
            <w:vAlign w:val="bottom"/>
          </w:tcPr>
          <w:p>
            <w:pPr>
              <w:jc w:val="center"/>
              <w:ind w:left="34"/>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10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Revenue increased for the three and six months ended June 30, 2021 driven by increased volume and the favorable impact of foreign exchange rates, partially offset by lower realized prices. We estimate that the COVID-19 pandemic negatively impacted revenue for the three months ended June 30, 2020 by approximately $250 million of decreased customer buying that largely offset product stocking that occurred in the first quarter of 2020. Operating expenses, defined as the sum of research and development and marketing, selling, and administrative expenses, increased for the three and six months ended June 30, 2021, primarily due to higher development expenses for late-stage assets and higher research and development expenses for COVID-19 therapies, as well as higher marketing and selling expenses. The increase in marketing and selling expenses for the three and six months ended June 30, 2021 was driven by lower marketing and selling expenses in the same periods in 2020 due to pandemic-related spending reductions. The decrease in net income and EPS for the three and six months ended June 30, 2021 was primarily driven by higher operating expenses, largely offset by higher gross margin.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The following highlighted items also affect comparisons of our financial results for the three and six months ended June 30, 2021 and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Cost of Sales (See Note 5 to the consolidated condensed financial statements)</w:t>
      </w:r>
    </w:p>
    <w:p>
      <w:pPr>
        <w:spacing w:after="0" w:line="131" w:lineRule="exact"/>
        <w:rPr>
          <w:sz w:val="20"/>
          <w:szCs w:val="20"/>
          <w:color w:val="auto"/>
        </w:rPr>
      </w:pPr>
    </w:p>
    <w:p>
      <w:pPr>
        <w:ind w:left="660" w:hanging="328"/>
        <w:spacing w:after="0" w:line="233" w:lineRule="auto"/>
        <w:tabs>
          <w:tab w:leader="none" w:pos="621" w:val="left"/>
        </w:tabs>
        <w:numPr>
          <w:ilvl w:val="0"/>
          <w:numId w:val="14"/>
        </w:numPr>
        <w:rPr>
          <w:rFonts w:ascii="Arial" w:cs="Arial" w:eastAsia="Arial" w:hAnsi="Arial"/>
          <w:sz w:val="19"/>
          <w:szCs w:val="19"/>
          <w:color w:val="auto"/>
        </w:rPr>
      </w:pPr>
      <w:r>
        <w:rPr>
          <w:rFonts w:ascii="Arial" w:cs="Arial" w:eastAsia="Arial" w:hAnsi="Arial"/>
          <w:sz w:val="17"/>
          <w:szCs w:val="17"/>
          <w:color w:val="auto"/>
        </w:rPr>
        <w:t>We recognized inventory impairment charges of $423.0 million and $504.5 million for the three and six months ended June 30, 2021, respectively, for excess inventory related to our COVID-19 antibodies. As part of our response to the COVID-19 pandemic, and at the request of the U.S. and international governments, we invested in large-scale manufacturing of COVID-19 antibodies at risk, in order to ensure rapid access to patients around the world. As the COVID-19 pandemic has continued to evolve during 2021, we incurred excess inventory charges primarily due to the combination of changes to current and forecasted demand from U.S. and international governments</w:t>
      </w:r>
      <w:r>
        <w:rPr>
          <w:rFonts w:ascii="Arial" w:cs="Arial" w:eastAsia="Arial" w:hAnsi="Arial"/>
          <w:sz w:val="17"/>
          <w:szCs w:val="17"/>
          <w:color w:val="212121"/>
        </w:rPr>
        <w:t>, including changes to our agreement with the U.S. government, and near-term expiry dates of COVID-19 antibodies.</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Acquired IPR&amp;D (See Note 3 to the consolidated condensed financial statements)</w:t>
      </w:r>
    </w:p>
    <w:p>
      <w:pPr>
        <w:spacing w:after="0" w:line="117" w:lineRule="exact"/>
        <w:rPr>
          <w:sz w:val="20"/>
          <w:szCs w:val="20"/>
          <w:color w:val="auto"/>
        </w:rPr>
      </w:pPr>
    </w:p>
    <w:p>
      <w:pPr>
        <w:ind w:left="660" w:right="120" w:hanging="328"/>
        <w:spacing w:after="0" w:line="253"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recognized acquired IPR&amp;D charges of $25.0 million and $324.3 million for the three and six months ended June 30, 2021, respectively. The charges for the three months ended June 30, 2021 were related to a business development transaction with MiNA Therapeutics Limited (MiNA). The charges for the six months ended June 30, 2021 also included charges related to business development transactions with Rigel Pharmaceuticals, Inc. (Rigel), Precision BioSciences, Inc. (Precision), Merus N.V. (Merus), and Asahi Kasei Pharma Corporation (Asahi).</w:t>
      </w:r>
    </w:p>
    <w:p>
      <w:pPr>
        <w:spacing w:after="0" w:line="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Asset Impairment, Restructuring, and Other Special Charges (See Note 5 to the consolidated condensed financial statements)</w:t>
      </w:r>
    </w:p>
    <w:p>
      <w:pPr>
        <w:spacing w:after="0" w:line="117" w:lineRule="exact"/>
        <w:rPr>
          <w:sz w:val="20"/>
          <w:szCs w:val="20"/>
          <w:color w:val="auto"/>
        </w:rPr>
      </w:pPr>
    </w:p>
    <w:p>
      <w:pPr>
        <w:ind w:left="660" w:right="20" w:hanging="328"/>
        <w:spacing w:after="0" w:line="229"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recognized charges of $211.6 million for the six months ended June 30, 2021 primarily related to an intangible asset impairment resulting from the sale of the rights to Qbrexza</w:t>
      </w:r>
      <w:r>
        <w:rPr>
          <w:rFonts w:ascii="Arial" w:cs="Arial" w:eastAsia="Arial" w:hAnsi="Arial"/>
          <w:sz w:val="23"/>
          <w:szCs w:val="23"/>
          <w:color w:val="auto"/>
          <w:vertAlign w:val="superscript"/>
        </w:rPr>
        <w:t>®</w:t>
      </w:r>
      <w:r>
        <w:rPr>
          <w:rFonts w:ascii="Arial" w:cs="Arial" w:eastAsia="Arial" w:hAnsi="Arial"/>
          <w:sz w:val="18"/>
          <w:szCs w:val="18"/>
          <w:color w:val="auto"/>
        </w:rPr>
        <w:t>, as well as acquisition and integration costs associated with the acquisition of Prevail Therapeutics Inc. (Prevail).</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Other-Net, (Income) Expense (See Note 6 to the consolidated condensed financial statements)</w:t>
      </w:r>
    </w:p>
    <w:p>
      <w:pPr>
        <w:spacing w:after="0" w:line="117" w:lineRule="exact"/>
        <w:rPr>
          <w:sz w:val="20"/>
          <w:szCs w:val="20"/>
          <w:color w:val="auto"/>
        </w:rPr>
      </w:pPr>
    </w:p>
    <w:p>
      <w:pPr>
        <w:ind w:left="660" w:right="300" w:hanging="328"/>
        <w:spacing w:after="0" w:line="261"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recognized other income of $215.4 million and $517.0 million of net investment gains on equity securities for the three and six months ended June 30, 2021, respectively.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Acquired IPR&amp;D (See Note 3 to the consolidated condensed financial statements)</w:t>
      </w:r>
    </w:p>
    <w:p>
      <w:pPr>
        <w:spacing w:after="0" w:line="117" w:lineRule="exact"/>
        <w:rPr>
          <w:sz w:val="20"/>
          <w:szCs w:val="20"/>
          <w:color w:val="auto"/>
        </w:rPr>
      </w:pPr>
    </w:p>
    <w:p>
      <w:pPr>
        <w:ind w:left="660" w:right="140" w:hanging="328"/>
        <w:spacing w:after="0" w:line="253"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recognized acquired IPR&amp;D charges of $241.8 million and $294.1 million for the three and six months ended June 30, 2020, respectively. The charges for the three months ended June 30, 2020 were related to the acquisition of a pre-clinical stage company, as well as business development transactions with AbCellera Biologics Inc. (AbCellera), Evox Therapeutics Limited (Evox), and Shanghai Junshi Biosciences Co., Ltd. (Junshi Biosciences). The charges for the six months ended June 30, 2020 also included a charge related to a business development transaction with Sitryx Therapeutics Limited (Sitryx).</w:t>
      </w:r>
    </w:p>
    <w:p>
      <w:pPr>
        <w:spacing w:after="0" w:line="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Asset Impairment, Restructuring, and Other Special Charges (See Note 5 to the consolidated condensed financial statements)</w:t>
      </w:r>
    </w:p>
    <w:p>
      <w:pPr>
        <w:spacing w:after="0" w:line="117" w:lineRule="exact"/>
        <w:rPr>
          <w:sz w:val="20"/>
          <w:szCs w:val="20"/>
          <w:color w:val="auto"/>
        </w:rPr>
      </w:pPr>
    </w:p>
    <w:p>
      <w:pPr>
        <w:ind w:left="660" w:right="80" w:hanging="328"/>
        <w:spacing w:after="0" w:line="261"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recognized charges of $59.9 million for the six months ended June 30, 2020 primarily related to acquisition and integration costs associated with the acquisition of Dermira, Inc. (Dermira).</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Other-Net, (Income) Expense (See Note 6 to the consolidated condensed financial statements)</w:t>
      </w:r>
    </w:p>
    <w:p>
      <w:pPr>
        <w:spacing w:after="0" w:line="117" w:lineRule="exact"/>
        <w:rPr>
          <w:sz w:val="20"/>
          <w:szCs w:val="20"/>
          <w:color w:val="auto"/>
        </w:rPr>
      </w:pPr>
    </w:p>
    <w:p>
      <w:pPr>
        <w:ind w:left="660" w:right="30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recognized other income of $576.8 million and $763.4 million of net investment gains on equity securities for the three and six months ended June 30, 2020, respectively.</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i w:val="1"/>
          <w:iCs w:val="1"/>
          <w:color w:val="auto"/>
        </w:rPr>
        <w:t>Late-Stage Pipeline</w:t>
      </w:r>
    </w:p>
    <w:p>
      <w:pPr>
        <w:spacing w:after="0" w:line="13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Our long -term success depends on our ability to continually discover or acquire, develop, and commercialize innovative new medicines. We currently have approximately 45 candidates in clinical development or under regulatory review, and a larger number of projects in the discovery phase.</w:t>
      </w:r>
    </w:p>
    <w:p>
      <w:pPr>
        <w:spacing w:after="0" w:line="9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following new molecular entities (NMEs) are currently in Phase III clinical trials or have been submitted for regulatory review or have received first regulatory approval in the U.S., Europe, or Japan in 2021. In addition, the following table includes certain NMEs currently in Phase I or Phase II clinical trials. The following table reflects the status of these NMEs, including certain other developments since January 1, 2021.</w:t>
      </w:r>
    </w:p>
    <w:p>
      <w:pPr>
        <w:spacing w:after="0" w:line="144"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720" w:type="dxa"/>
            <w:vAlign w:val="bottom"/>
            <w:tcBorders>
              <w:top w:val="single" w:sz="8" w:color="auto"/>
              <w:left w:val="single" w:sz="8" w:color="auto"/>
              <w:bottom w:val="single" w:sz="8" w:color="auto"/>
              <w:right w:val="single" w:sz="8" w:color="auto"/>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Compound</w:t>
            </w:r>
          </w:p>
        </w:tc>
        <w:tc>
          <w:tcPr>
            <w:tcW w:w="182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Indication</w:t>
            </w:r>
          </w:p>
        </w:tc>
        <w:tc>
          <w:tcPr>
            <w:tcW w:w="1560" w:type="dxa"/>
            <w:vAlign w:val="bottom"/>
            <w:tcBorders>
              <w:top w:val="single" w:sz="8" w:color="auto"/>
              <w:bottom w:val="single" w:sz="8" w:color="auto"/>
              <w:right w:val="single" w:sz="8" w:color="auto"/>
            </w:tcBorders>
            <w:shd w:val="clear" w:color="auto" w:fill="D8D8D8"/>
          </w:tcPr>
          <w:p>
            <w:pPr>
              <w:spacing w:after="0"/>
              <w:rPr>
                <w:sz w:val="20"/>
                <w:szCs w:val="20"/>
                <w:color w:val="auto"/>
              </w:rPr>
            </w:pPr>
            <w:r>
              <w:rPr>
                <w:rFonts w:ascii="Arial" w:cs="Arial" w:eastAsia="Arial" w:hAnsi="Arial"/>
                <w:sz w:val="18"/>
                <w:szCs w:val="18"/>
                <w:b w:val="1"/>
                <w:bCs w:val="1"/>
                <w:color w:val="auto"/>
              </w:rPr>
              <w:t>Status</w:t>
            </w:r>
          </w:p>
        </w:tc>
        <w:tc>
          <w:tcPr>
            <w:tcW w:w="6160" w:type="dxa"/>
            <w:vAlign w:val="bottom"/>
            <w:tcBorders>
              <w:top w:val="single" w:sz="8" w:color="auto"/>
              <w:bottom w:val="single" w:sz="8" w:color="auto"/>
              <w:right w:val="single" w:sz="8" w:color="auto"/>
            </w:tcBorders>
            <w:shd w:val="clear" w:color="auto" w:fill="D8D8D8"/>
          </w:tcPr>
          <w:p>
            <w:pPr>
              <w:spacing w:after="0"/>
              <w:rPr>
                <w:sz w:val="20"/>
                <w:szCs w:val="20"/>
                <w:color w:val="auto"/>
              </w:rPr>
            </w:pPr>
            <w:r>
              <w:rPr>
                <w:rFonts w:ascii="Arial" w:cs="Arial" w:eastAsia="Arial" w:hAnsi="Arial"/>
                <w:sz w:val="18"/>
                <w:szCs w:val="18"/>
                <w:b w:val="1"/>
                <w:bCs w:val="1"/>
                <w:color w:val="auto"/>
              </w:rPr>
              <w:t>Developments</w:t>
            </w:r>
          </w:p>
        </w:tc>
        <w:tc>
          <w:tcPr>
            <w:tcW w:w="0" w:type="dxa"/>
            <w:vAlign w:val="bottom"/>
          </w:tcPr>
          <w:p>
            <w:pPr>
              <w:spacing w:after="0"/>
              <w:rPr>
                <w:sz w:val="1"/>
                <w:szCs w:val="1"/>
                <w:color w:val="auto"/>
              </w:rPr>
            </w:pPr>
          </w:p>
        </w:tc>
      </w:tr>
      <w:tr>
        <w:trPr>
          <w:trHeight w:val="223"/>
        </w:trPr>
        <w:tc>
          <w:tcPr>
            <w:tcW w:w="354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COVID-19 Therapies</w:t>
            </w:r>
          </w:p>
        </w:tc>
        <w:tc>
          <w:tcPr>
            <w:tcW w:w="1560" w:type="dxa"/>
            <w:vAlign w:val="bottom"/>
            <w:tcBorders>
              <w:bottom w:val="single" w:sz="8" w:color="auto"/>
            </w:tcBorders>
          </w:tcPr>
          <w:p>
            <w:pPr>
              <w:spacing w:after="0"/>
              <w:rPr>
                <w:sz w:val="19"/>
                <w:szCs w:val="19"/>
                <w:color w:val="auto"/>
              </w:rPr>
            </w:pPr>
          </w:p>
        </w:tc>
        <w:tc>
          <w:tcPr>
            <w:tcW w:w="61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1720" w:type="dxa"/>
            <w:vAlign w:val="bottom"/>
            <w:tcBorders>
              <w:left w:val="single" w:sz="8" w:color="auto"/>
              <w:right w:val="single" w:sz="8" w:color="auto"/>
            </w:tcBorders>
          </w:tcPr>
          <w:p>
            <w:pPr>
              <w:spacing w:after="0"/>
              <w:rPr>
                <w:sz w:val="15"/>
                <w:szCs w:val="15"/>
                <w:color w:val="auto"/>
              </w:rPr>
            </w:pPr>
          </w:p>
        </w:tc>
        <w:tc>
          <w:tcPr>
            <w:tcW w:w="1820" w:type="dxa"/>
            <w:vAlign w:val="bottom"/>
            <w:tcBorders>
              <w:right w:val="single" w:sz="8" w:color="auto"/>
            </w:tcBorders>
          </w:tcPr>
          <w:p>
            <w:pPr>
              <w:spacing w:after="0"/>
              <w:rPr>
                <w:sz w:val="15"/>
                <w:szCs w:val="15"/>
                <w:color w:val="auto"/>
              </w:rPr>
            </w:pPr>
          </w:p>
        </w:tc>
        <w:tc>
          <w:tcPr>
            <w:tcW w:w="1560" w:type="dxa"/>
            <w:vAlign w:val="bottom"/>
            <w:tcBorders>
              <w:right w:val="single" w:sz="8" w:color="auto"/>
            </w:tcBorders>
          </w:tcPr>
          <w:p>
            <w:pPr>
              <w:spacing w:after="0"/>
              <w:rPr>
                <w:sz w:val="15"/>
                <w:szCs w:val="15"/>
                <w:color w:val="auto"/>
              </w:rPr>
            </w:pPr>
          </w:p>
        </w:tc>
        <w:tc>
          <w:tcPr>
            <w:tcW w:w="616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Announced in the first quarter of 2021 that a Phase III trial met the primary</w:t>
            </w:r>
          </w:p>
        </w:tc>
        <w:tc>
          <w:tcPr>
            <w:tcW w:w="0" w:type="dxa"/>
            <w:vAlign w:val="bottom"/>
          </w:tcPr>
          <w:p>
            <w:pPr>
              <w:spacing w:after="0"/>
              <w:rPr>
                <w:sz w:val="1"/>
                <w:szCs w:val="1"/>
                <w:color w:val="auto"/>
              </w:rPr>
            </w:pPr>
          </w:p>
        </w:tc>
      </w:tr>
      <w:tr>
        <w:trPr>
          <w:trHeight w:val="165"/>
        </w:trPr>
        <w:tc>
          <w:tcPr>
            <w:tcW w:w="1720" w:type="dxa"/>
            <w:vAlign w:val="bottom"/>
            <w:tcBorders>
              <w:left w:val="single" w:sz="8" w:color="auto"/>
              <w:right w:val="single" w:sz="8" w:color="auto"/>
            </w:tcBorders>
          </w:tcPr>
          <w:p>
            <w:pPr>
              <w:ind w:left="40"/>
              <w:spacing w:after="0" w:line="165" w:lineRule="exact"/>
              <w:rPr>
                <w:sz w:val="20"/>
                <w:szCs w:val="20"/>
                <w:color w:val="auto"/>
              </w:rPr>
            </w:pPr>
            <w:r>
              <w:rPr>
                <w:rFonts w:ascii="Arial" w:cs="Arial" w:eastAsia="Arial" w:hAnsi="Arial"/>
                <w:sz w:val="18"/>
                <w:szCs w:val="18"/>
                <w:color w:val="auto"/>
              </w:rPr>
              <w:t>Bamlanivimab</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COVID-19</w:t>
            </w:r>
          </w:p>
        </w:tc>
        <w:tc>
          <w:tcPr>
            <w:tcW w:w="1560" w:type="dxa"/>
            <w:vAlign w:val="bottom"/>
            <w:tcBorders>
              <w:right w:val="single" w:sz="8" w:color="auto"/>
            </w:tcBorders>
          </w:tcPr>
          <w:p>
            <w:pPr>
              <w:jc w:val="center"/>
              <w:spacing w:after="0" w:line="165" w:lineRule="exact"/>
              <w:rPr>
                <w:sz w:val="20"/>
                <w:szCs w:val="20"/>
                <w:color w:val="auto"/>
              </w:rPr>
            </w:pPr>
            <w:r>
              <w:rPr>
                <w:rFonts w:ascii="Arial" w:cs="Arial" w:eastAsia="Arial" w:hAnsi="Arial"/>
                <w:sz w:val="18"/>
                <w:szCs w:val="18"/>
                <w:color w:val="auto"/>
                <w:w w:val="99"/>
              </w:rPr>
              <w:t>Emergency Use</w:t>
            </w:r>
          </w:p>
        </w:tc>
        <w:tc>
          <w:tcPr>
            <w:tcW w:w="6160" w:type="dxa"/>
            <w:vAlign w:val="bottom"/>
            <w:tcBorders>
              <w:right w:val="single" w:sz="8" w:color="auto"/>
            </w:tcBorders>
          </w:tcPr>
          <w:p>
            <w:pPr>
              <w:spacing w:after="0" w:line="165" w:lineRule="exact"/>
              <w:rPr>
                <w:sz w:val="20"/>
                <w:szCs w:val="20"/>
                <w:color w:val="auto"/>
              </w:rPr>
            </w:pPr>
            <w:r>
              <w:rPr>
                <w:rFonts w:ascii="Arial" w:cs="Arial" w:eastAsia="Arial" w:hAnsi="Arial"/>
                <w:sz w:val="18"/>
                <w:szCs w:val="18"/>
                <w:color w:val="auto"/>
              </w:rPr>
              <w:t>and all key secondary endpoints. The EMA's CHMP issued a positive</w:t>
            </w:r>
          </w:p>
        </w:tc>
        <w:tc>
          <w:tcPr>
            <w:tcW w:w="0" w:type="dxa"/>
            <w:vAlign w:val="bottom"/>
          </w:tcPr>
          <w:p>
            <w:pPr>
              <w:spacing w:after="0"/>
              <w:rPr>
                <w:sz w:val="1"/>
                <w:szCs w:val="1"/>
                <w:color w:val="auto"/>
              </w:rPr>
            </w:pPr>
          </w:p>
        </w:tc>
      </w:tr>
      <w:tr>
        <w:trPr>
          <w:trHeight w:val="186"/>
        </w:trPr>
        <w:tc>
          <w:tcPr>
            <w:tcW w:w="1720" w:type="dxa"/>
            <w:vAlign w:val="bottom"/>
            <w:tcBorders>
              <w:left w:val="single" w:sz="8" w:color="auto"/>
              <w:right w:val="single" w:sz="8" w:color="auto"/>
            </w:tcBorders>
          </w:tcPr>
          <w:p>
            <w:pPr>
              <w:ind w:left="40"/>
              <w:spacing w:after="0" w:line="186" w:lineRule="exact"/>
              <w:rPr>
                <w:sz w:val="20"/>
                <w:szCs w:val="20"/>
                <w:color w:val="auto"/>
              </w:rPr>
            </w:pPr>
            <w:r>
              <w:rPr>
                <w:rFonts w:ascii="Arial" w:cs="Arial" w:eastAsia="Arial" w:hAnsi="Arial"/>
                <w:sz w:val="18"/>
                <w:szCs w:val="18"/>
                <w:color w:val="auto"/>
              </w:rPr>
              <w:t>administered alone</w:t>
            </w:r>
          </w:p>
        </w:tc>
        <w:tc>
          <w:tcPr>
            <w:tcW w:w="1820" w:type="dxa"/>
            <w:vAlign w:val="bottom"/>
            <w:tcBorders>
              <w:right w:val="single" w:sz="8" w:color="auto"/>
            </w:tcBorders>
            <w:vMerge w:val="continue"/>
          </w:tcPr>
          <w:p>
            <w:pPr>
              <w:spacing w:after="0"/>
              <w:rPr>
                <w:sz w:val="16"/>
                <w:szCs w:val="16"/>
                <w:color w:val="auto"/>
              </w:rPr>
            </w:pPr>
          </w:p>
        </w:tc>
        <w:tc>
          <w:tcPr>
            <w:tcW w:w="156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rPr>
              <w:t>Authorization</w:t>
            </w:r>
            <w:r>
              <w:rPr>
                <w:rFonts w:ascii="Arial" w:cs="Arial" w:eastAsia="Arial" w:hAnsi="Arial"/>
                <w:sz w:val="21"/>
                <w:szCs w:val="21"/>
                <w:color w:val="auto"/>
                <w:vertAlign w:val="superscript"/>
              </w:rPr>
              <w:t>(1)</w:t>
            </w:r>
          </w:p>
        </w:tc>
        <w:tc>
          <w:tcPr>
            <w:tcW w:w="616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rPr>
              <w:t>scientific opinion in the first quarter of 2021. In the second quarter of 2021</w:t>
            </w:r>
          </w:p>
        </w:tc>
        <w:tc>
          <w:tcPr>
            <w:tcW w:w="0" w:type="dxa"/>
            <w:vAlign w:val="bottom"/>
          </w:tcPr>
          <w:p>
            <w:pPr>
              <w:spacing w:after="0"/>
              <w:rPr>
                <w:sz w:val="1"/>
                <w:szCs w:val="1"/>
                <w:color w:val="auto"/>
              </w:rPr>
            </w:pPr>
          </w:p>
        </w:tc>
      </w:tr>
      <w:tr>
        <w:trPr>
          <w:trHeight w:val="217"/>
        </w:trPr>
        <w:tc>
          <w:tcPr>
            <w:tcW w:w="1720" w:type="dxa"/>
            <w:vAlign w:val="bottom"/>
            <w:tcBorders>
              <w:left w:val="single" w:sz="8" w:color="auto"/>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6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the FDA revoked the EUA for bamlanivimab alone in the U.S.</w:t>
            </w:r>
          </w:p>
        </w:tc>
        <w:tc>
          <w:tcPr>
            <w:tcW w:w="0" w:type="dxa"/>
            <w:vAlign w:val="bottom"/>
          </w:tcPr>
          <w:p>
            <w:pPr>
              <w:spacing w:after="0"/>
              <w:rPr>
                <w:sz w:val="1"/>
                <w:szCs w:val="1"/>
                <w:color w:val="auto"/>
              </w:rPr>
            </w:pPr>
          </w:p>
        </w:tc>
      </w:tr>
      <w:tr>
        <w:trPr>
          <w:trHeight w:val="182"/>
        </w:trPr>
        <w:tc>
          <w:tcPr>
            <w:tcW w:w="1720" w:type="dxa"/>
            <w:vAlign w:val="bottom"/>
            <w:tcBorders>
              <w:left w:val="single" w:sz="8" w:color="auto"/>
              <w:right w:val="single" w:sz="8" w:color="auto"/>
            </w:tcBorders>
          </w:tcPr>
          <w:p>
            <w:pPr>
              <w:spacing w:after="0"/>
              <w:rPr>
                <w:sz w:val="15"/>
                <w:szCs w:val="15"/>
                <w:color w:val="auto"/>
              </w:rPr>
            </w:pPr>
          </w:p>
        </w:tc>
        <w:tc>
          <w:tcPr>
            <w:tcW w:w="1820" w:type="dxa"/>
            <w:vAlign w:val="bottom"/>
            <w:tcBorders>
              <w:right w:val="single" w:sz="8" w:color="auto"/>
            </w:tcBorders>
          </w:tcPr>
          <w:p>
            <w:pPr>
              <w:spacing w:after="0"/>
              <w:rPr>
                <w:sz w:val="15"/>
                <w:szCs w:val="15"/>
                <w:color w:val="auto"/>
              </w:rPr>
            </w:pPr>
          </w:p>
        </w:tc>
        <w:tc>
          <w:tcPr>
            <w:tcW w:w="1560" w:type="dxa"/>
            <w:vAlign w:val="bottom"/>
            <w:tcBorders>
              <w:right w:val="single" w:sz="8" w:color="auto"/>
            </w:tcBorders>
          </w:tcPr>
          <w:p>
            <w:pPr>
              <w:spacing w:after="0"/>
              <w:rPr>
                <w:sz w:val="15"/>
                <w:szCs w:val="15"/>
                <w:color w:val="auto"/>
              </w:rPr>
            </w:pPr>
          </w:p>
        </w:tc>
        <w:tc>
          <w:tcPr>
            <w:tcW w:w="616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Announced in the first quarter of 2021 that Phase III trials met the primary</w:t>
            </w:r>
          </w:p>
        </w:tc>
        <w:tc>
          <w:tcPr>
            <w:tcW w:w="0" w:type="dxa"/>
            <w:vAlign w:val="bottom"/>
          </w:tcPr>
          <w:p>
            <w:pPr>
              <w:spacing w:after="0"/>
              <w:rPr>
                <w:sz w:val="1"/>
                <w:szCs w:val="1"/>
                <w:color w:val="auto"/>
              </w:rPr>
            </w:pPr>
          </w:p>
        </w:tc>
      </w:tr>
      <w:tr>
        <w:trPr>
          <w:trHeight w:val="176"/>
        </w:trPr>
        <w:tc>
          <w:tcPr>
            <w:tcW w:w="1720" w:type="dxa"/>
            <w:vAlign w:val="bottom"/>
            <w:tcBorders>
              <w:left w:val="single" w:sz="8" w:color="auto"/>
              <w:right w:val="single" w:sz="8" w:color="auto"/>
            </w:tcBorders>
          </w:tcPr>
          <w:p>
            <w:pPr>
              <w:ind w:left="40"/>
              <w:spacing w:after="0" w:line="176" w:lineRule="exact"/>
              <w:rPr>
                <w:sz w:val="20"/>
                <w:szCs w:val="20"/>
                <w:color w:val="auto"/>
              </w:rPr>
            </w:pPr>
            <w:r>
              <w:rPr>
                <w:rFonts w:ascii="Arial" w:cs="Arial" w:eastAsia="Arial" w:hAnsi="Arial"/>
                <w:sz w:val="18"/>
                <w:szCs w:val="18"/>
                <w:color w:val="auto"/>
              </w:rPr>
              <w:t>Bamlanivimab and</w:t>
            </w:r>
          </w:p>
        </w:tc>
        <w:tc>
          <w:tcPr>
            <w:tcW w:w="1820" w:type="dxa"/>
            <w:vAlign w:val="bottom"/>
            <w:tcBorders>
              <w:right w:val="single" w:sz="8" w:color="auto"/>
            </w:tcBorders>
          </w:tcPr>
          <w:p>
            <w:pPr>
              <w:spacing w:after="0"/>
              <w:rPr>
                <w:sz w:val="15"/>
                <w:szCs w:val="15"/>
                <w:color w:val="auto"/>
              </w:rPr>
            </w:pPr>
          </w:p>
        </w:tc>
        <w:tc>
          <w:tcPr>
            <w:tcW w:w="1560" w:type="dxa"/>
            <w:vAlign w:val="bottom"/>
            <w:tcBorders>
              <w:right w:val="single" w:sz="8" w:color="auto"/>
            </w:tcBorders>
          </w:tcPr>
          <w:p>
            <w:pPr>
              <w:spacing w:after="0"/>
              <w:rPr>
                <w:sz w:val="15"/>
                <w:szCs w:val="15"/>
                <w:color w:val="auto"/>
              </w:rPr>
            </w:pPr>
          </w:p>
        </w:tc>
        <w:tc>
          <w:tcPr>
            <w:tcW w:w="616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and all key secondary endpoints. Additional Phase III trial is ongoing. The</w:t>
            </w:r>
          </w:p>
        </w:tc>
        <w:tc>
          <w:tcPr>
            <w:tcW w:w="0" w:type="dxa"/>
            <w:vAlign w:val="bottom"/>
          </w:tcPr>
          <w:p>
            <w:pPr>
              <w:spacing w:after="0"/>
              <w:rPr>
                <w:sz w:val="1"/>
                <w:szCs w:val="1"/>
                <w:color w:val="auto"/>
              </w:rPr>
            </w:pPr>
          </w:p>
        </w:tc>
      </w:tr>
      <w:tr>
        <w:trPr>
          <w:trHeight w:val="175"/>
        </w:trPr>
        <w:tc>
          <w:tcPr>
            <w:tcW w:w="1720" w:type="dxa"/>
            <w:vAlign w:val="bottom"/>
            <w:tcBorders>
              <w:left w:val="single" w:sz="8" w:color="auto"/>
              <w:right w:val="single" w:sz="8" w:color="auto"/>
            </w:tcBorders>
          </w:tcPr>
          <w:p>
            <w:pPr>
              <w:ind w:left="40"/>
              <w:spacing w:after="0" w:line="176" w:lineRule="exact"/>
              <w:rPr>
                <w:sz w:val="20"/>
                <w:szCs w:val="20"/>
                <w:color w:val="auto"/>
              </w:rPr>
            </w:pPr>
            <w:r>
              <w:rPr>
                <w:rFonts w:ascii="Arial" w:cs="Arial" w:eastAsia="Arial" w:hAnsi="Arial"/>
                <w:sz w:val="18"/>
                <w:szCs w:val="18"/>
                <w:color w:val="auto"/>
              </w:rPr>
              <w:t>etesevimab</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COVID-19</w:t>
            </w:r>
          </w:p>
        </w:tc>
        <w:tc>
          <w:tcPr>
            <w:tcW w:w="156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9"/>
              </w:rPr>
              <w:t>Emergency Use</w:t>
            </w:r>
          </w:p>
        </w:tc>
        <w:tc>
          <w:tcPr>
            <w:tcW w:w="616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FDA granted EUA for higher-risk patients recently diagnosed with mild-to-</w:t>
            </w:r>
          </w:p>
        </w:tc>
        <w:tc>
          <w:tcPr>
            <w:tcW w:w="0" w:type="dxa"/>
            <w:vAlign w:val="bottom"/>
          </w:tcPr>
          <w:p>
            <w:pPr>
              <w:spacing w:after="0"/>
              <w:rPr>
                <w:sz w:val="1"/>
                <w:szCs w:val="1"/>
                <w:color w:val="auto"/>
              </w:rPr>
            </w:pPr>
          </w:p>
        </w:tc>
      </w:tr>
      <w:tr>
        <w:trPr>
          <w:trHeight w:val="122"/>
        </w:trPr>
        <w:tc>
          <w:tcPr>
            <w:tcW w:w="1720" w:type="dxa"/>
            <w:vAlign w:val="bottom"/>
            <w:tcBorders>
              <w:left w:val="single" w:sz="8" w:color="auto"/>
              <w:right w:val="single" w:sz="8" w:color="auto"/>
            </w:tcBorders>
            <w:vMerge w:val="restart"/>
          </w:tcPr>
          <w:p>
            <w:pPr>
              <w:ind w:left="40"/>
              <w:spacing w:after="0" w:line="176" w:lineRule="exact"/>
              <w:rPr>
                <w:sz w:val="20"/>
                <w:szCs w:val="20"/>
                <w:color w:val="auto"/>
              </w:rPr>
            </w:pPr>
            <w:r>
              <w:rPr>
                <w:rFonts w:ascii="Arial" w:cs="Arial" w:eastAsia="Arial" w:hAnsi="Arial"/>
                <w:sz w:val="18"/>
                <w:szCs w:val="18"/>
                <w:color w:val="auto"/>
              </w:rPr>
              <w:t>administered</w:t>
            </w:r>
          </w:p>
        </w:tc>
        <w:tc>
          <w:tcPr>
            <w:tcW w:w="182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restart"/>
          </w:tcPr>
          <w:p>
            <w:pPr>
              <w:jc w:val="center"/>
              <w:spacing w:after="0" w:line="176" w:lineRule="exact"/>
              <w:rPr>
                <w:sz w:val="20"/>
                <w:szCs w:val="20"/>
                <w:color w:val="auto"/>
              </w:rPr>
            </w:pPr>
            <w:r>
              <w:rPr>
                <w:rFonts w:ascii="Arial" w:cs="Arial" w:eastAsia="Arial" w:hAnsi="Arial"/>
                <w:sz w:val="18"/>
                <w:szCs w:val="18"/>
                <w:color w:val="auto"/>
              </w:rPr>
              <w:t>Authorization</w:t>
            </w:r>
          </w:p>
        </w:tc>
        <w:tc>
          <w:tcPr>
            <w:tcW w:w="6160" w:type="dxa"/>
            <w:vAlign w:val="bottom"/>
            <w:tcBorders>
              <w:right w:val="single" w:sz="8" w:color="auto"/>
            </w:tcBorders>
            <w:vMerge w:val="restart"/>
          </w:tcPr>
          <w:p>
            <w:pPr>
              <w:spacing w:after="0" w:line="176" w:lineRule="exact"/>
              <w:rPr>
                <w:sz w:val="20"/>
                <w:szCs w:val="20"/>
                <w:color w:val="auto"/>
              </w:rPr>
            </w:pPr>
            <w:r>
              <w:rPr>
                <w:rFonts w:ascii="Arial" w:cs="Arial" w:eastAsia="Arial" w:hAnsi="Arial"/>
                <w:sz w:val="18"/>
                <w:szCs w:val="18"/>
                <w:color w:val="auto"/>
              </w:rPr>
              <w:t>moderate COVID-19 in the first quarter of 2021. The EMA's CHMP issued a</w:t>
            </w:r>
          </w:p>
        </w:tc>
        <w:tc>
          <w:tcPr>
            <w:tcW w:w="0" w:type="dxa"/>
            <w:vAlign w:val="bottom"/>
          </w:tcPr>
          <w:p>
            <w:pPr>
              <w:spacing w:after="0"/>
              <w:rPr>
                <w:sz w:val="1"/>
                <w:szCs w:val="1"/>
                <w:color w:val="auto"/>
              </w:rPr>
            </w:pPr>
          </w:p>
        </w:tc>
      </w:tr>
      <w:tr>
        <w:trPr>
          <w:trHeight w:val="53"/>
        </w:trPr>
        <w:tc>
          <w:tcPr>
            <w:tcW w:w="1720" w:type="dxa"/>
            <w:vAlign w:val="bottom"/>
            <w:tcBorders>
              <w:left w:val="single" w:sz="8" w:color="auto"/>
              <w:right w:val="single" w:sz="8" w:color="auto"/>
            </w:tcBorders>
            <w:vMerge w:val="continue"/>
          </w:tcPr>
          <w:p>
            <w:pPr>
              <w:spacing w:after="0"/>
              <w:rPr>
                <w:sz w:val="4"/>
                <w:szCs w:val="4"/>
                <w:color w:val="auto"/>
              </w:rPr>
            </w:pPr>
          </w:p>
        </w:tc>
        <w:tc>
          <w:tcPr>
            <w:tcW w:w="1820" w:type="dxa"/>
            <w:vAlign w:val="bottom"/>
            <w:tcBorders>
              <w:right w:val="single" w:sz="8" w:color="auto"/>
            </w:tcBorders>
          </w:tcPr>
          <w:p>
            <w:pPr>
              <w:spacing w:after="0"/>
              <w:rPr>
                <w:sz w:val="4"/>
                <w:szCs w:val="4"/>
                <w:color w:val="auto"/>
              </w:rPr>
            </w:pPr>
          </w:p>
        </w:tc>
        <w:tc>
          <w:tcPr>
            <w:tcW w:w="1560" w:type="dxa"/>
            <w:vAlign w:val="bottom"/>
            <w:tcBorders>
              <w:right w:val="single" w:sz="8" w:color="auto"/>
            </w:tcBorders>
            <w:vMerge w:val="continue"/>
          </w:tcPr>
          <w:p>
            <w:pPr>
              <w:spacing w:after="0"/>
              <w:rPr>
                <w:sz w:val="4"/>
                <w:szCs w:val="4"/>
                <w:color w:val="auto"/>
              </w:rPr>
            </w:pPr>
          </w:p>
        </w:tc>
        <w:tc>
          <w:tcPr>
            <w:tcW w:w="616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1720" w:type="dxa"/>
            <w:vAlign w:val="bottom"/>
            <w:tcBorders>
              <w:left w:val="single" w:sz="8" w:color="auto"/>
              <w:right w:val="single" w:sz="8" w:color="auto"/>
            </w:tcBorders>
          </w:tcPr>
          <w:p>
            <w:pPr>
              <w:ind w:left="40"/>
              <w:spacing w:after="0" w:line="176" w:lineRule="exact"/>
              <w:rPr>
                <w:sz w:val="20"/>
                <w:szCs w:val="20"/>
                <w:color w:val="auto"/>
              </w:rPr>
            </w:pPr>
            <w:r>
              <w:rPr>
                <w:rFonts w:ascii="Arial" w:cs="Arial" w:eastAsia="Arial" w:hAnsi="Arial"/>
                <w:sz w:val="18"/>
                <w:szCs w:val="18"/>
                <w:color w:val="auto"/>
              </w:rPr>
              <w:t>together</w:t>
            </w:r>
          </w:p>
        </w:tc>
        <w:tc>
          <w:tcPr>
            <w:tcW w:w="1820" w:type="dxa"/>
            <w:vAlign w:val="bottom"/>
            <w:tcBorders>
              <w:right w:val="single" w:sz="8" w:color="auto"/>
            </w:tcBorders>
          </w:tcPr>
          <w:p>
            <w:pPr>
              <w:spacing w:after="0"/>
              <w:rPr>
                <w:sz w:val="15"/>
                <w:szCs w:val="15"/>
                <w:color w:val="auto"/>
              </w:rPr>
            </w:pPr>
          </w:p>
        </w:tc>
        <w:tc>
          <w:tcPr>
            <w:tcW w:w="1560" w:type="dxa"/>
            <w:vAlign w:val="bottom"/>
            <w:tcBorders>
              <w:right w:val="single" w:sz="8" w:color="auto"/>
            </w:tcBorders>
          </w:tcPr>
          <w:p>
            <w:pPr>
              <w:spacing w:after="0"/>
              <w:rPr>
                <w:sz w:val="15"/>
                <w:szCs w:val="15"/>
                <w:color w:val="auto"/>
              </w:rPr>
            </w:pPr>
          </w:p>
        </w:tc>
        <w:tc>
          <w:tcPr>
            <w:tcW w:w="616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positive scientific opinion in the first quarter of 2021. Submitted in Europe in</w:t>
            </w:r>
          </w:p>
        </w:tc>
        <w:tc>
          <w:tcPr>
            <w:tcW w:w="0" w:type="dxa"/>
            <w:vAlign w:val="bottom"/>
          </w:tcPr>
          <w:p>
            <w:pPr>
              <w:spacing w:after="0"/>
              <w:rPr>
                <w:sz w:val="1"/>
                <w:szCs w:val="1"/>
                <w:color w:val="auto"/>
              </w:rPr>
            </w:pPr>
          </w:p>
        </w:tc>
      </w:tr>
      <w:tr>
        <w:trPr>
          <w:trHeight w:val="217"/>
        </w:trPr>
        <w:tc>
          <w:tcPr>
            <w:tcW w:w="1720" w:type="dxa"/>
            <w:vAlign w:val="bottom"/>
            <w:tcBorders>
              <w:left w:val="single" w:sz="8" w:color="auto"/>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6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the first quarter of 2021.</w:t>
            </w:r>
          </w:p>
        </w:tc>
        <w:tc>
          <w:tcPr>
            <w:tcW w:w="0" w:type="dxa"/>
            <w:vAlign w:val="bottom"/>
          </w:tcPr>
          <w:p>
            <w:pPr>
              <w:spacing w:after="0"/>
              <w:rPr>
                <w:sz w:val="1"/>
                <w:szCs w:val="1"/>
                <w:color w:val="auto"/>
              </w:rPr>
            </w:pPr>
          </w:p>
        </w:tc>
      </w:tr>
      <w:tr>
        <w:trPr>
          <w:trHeight w:val="182"/>
        </w:trPr>
        <w:tc>
          <w:tcPr>
            <w:tcW w:w="172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Bamlanivimab,</w:t>
            </w:r>
          </w:p>
        </w:tc>
        <w:tc>
          <w:tcPr>
            <w:tcW w:w="1820" w:type="dxa"/>
            <w:vAlign w:val="bottom"/>
            <w:tcBorders>
              <w:right w:val="single" w:sz="8" w:color="auto"/>
            </w:tcBorders>
          </w:tcPr>
          <w:p>
            <w:pPr>
              <w:spacing w:after="0"/>
              <w:rPr>
                <w:sz w:val="15"/>
                <w:szCs w:val="15"/>
                <w:color w:val="auto"/>
              </w:rPr>
            </w:pPr>
          </w:p>
        </w:tc>
        <w:tc>
          <w:tcPr>
            <w:tcW w:w="1560" w:type="dxa"/>
            <w:vAlign w:val="bottom"/>
            <w:tcBorders>
              <w:right w:val="single" w:sz="8" w:color="auto"/>
            </w:tcBorders>
          </w:tcPr>
          <w:p>
            <w:pPr>
              <w:spacing w:after="0"/>
              <w:rPr>
                <w:sz w:val="15"/>
                <w:szCs w:val="15"/>
                <w:color w:val="auto"/>
              </w:rPr>
            </w:pPr>
          </w:p>
        </w:tc>
        <w:tc>
          <w:tcPr>
            <w:tcW w:w="6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20" w:type="dxa"/>
            <w:vAlign w:val="bottom"/>
            <w:tcBorders>
              <w:left w:val="single" w:sz="8" w:color="auto"/>
              <w:right w:val="single" w:sz="8" w:color="auto"/>
            </w:tcBorders>
          </w:tcPr>
          <w:p>
            <w:pPr>
              <w:ind w:left="40"/>
              <w:spacing w:after="0" w:line="176" w:lineRule="exact"/>
              <w:rPr>
                <w:sz w:val="20"/>
                <w:szCs w:val="20"/>
                <w:color w:val="auto"/>
              </w:rPr>
            </w:pPr>
            <w:r>
              <w:rPr>
                <w:rFonts w:ascii="Arial" w:cs="Arial" w:eastAsia="Arial" w:hAnsi="Arial"/>
                <w:sz w:val="18"/>
                <w:szCs w:val="18"/>
                <w:color w:val="auto"/>
              </w:rPr>
              <w:t>etesevimab and</w:t>
            </w:r>
          </w:p>
        </w:tc>
        <w:tc>
          <w:tcPr>
            <w:tcW w:w="1820" w:type="dxa"/>
            <w:vAlign w:val="bottom"/>
            <w:tcBorders>
              <w:right w:val="single" w:sz="8" w:color="auto"/>
            </w:tcBorders>
          </w:tcPr>
          <w:p>
            <w:pPr>
              <w:spacing w:after="0"/>
              <w:rPr>
                <w:sz w:val="15"/>
                <w:szCs w:val="15"/>
                <w:color w:val="auto"/>
              </w:rPr>
            </w:pPr>
          </w:p>
        </w:tc>
        <w:tc>
          <w:tcPr>
            <w:tcW w:w="1560" w:type="dxa"/>
            <w:vAlign w:val="bottom"/>
            <w:tcBorders>
              <w:right w:val="single" w:sz="8" w:color="auto"/>
            </w:tcBorders>
          </w:tcPr>
          <w:p>
            <w:pPr>
              <w:spacing w:after="0"/>
              <w:rPr>
                <w:sz w:val="15"/>
                <w:szCs w:val="15"/>
                <w:color w:val="auto"/>
              </w:rPr>
            </w:pPr>
          </w:p>
        </w:tc>
        <w:tc>
          <w:tcPr>
            <w:tcW w:w="6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20" w:type="dxa"/>
            <w:vAlign w:val="bottom"/>
            <w:tcBorders>
              <w:left w:val="single" w:sz="8" w:color="auto"/>
              <w:right w:val="single" w:sz="8" w:color="auto"/>
            </w:tcBorders>
          </w:tcPr>
          <w:p>
            <w:pPr>
              <w:ind w:left="40"/>
              <w:spacing w:after="0" w:line="176" w:lineRule="exact"/>
              <w:rPr>
                <w:sz w:val="20"/>
                <w:szCs w:val="20"/>
                <w:color w:val="auto"/>
              </w:rPr>
            </w:pPr>
            <w:r>
              <w:rPr>
                <w:rFonts w:ascii="Arial" w:cs="Arial" w:eastAsia="Arial" w:hAnsi="Arial"/>
                <w:sz w:val="18"/>
                <w:szCs w:val="18"/>
                <w:color w:val="auto"/>
              </w:rPr>
              <w:t>bebtelovimab (LY-</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COVID-19</w:t>
            </w: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Phase II</w:t>
            </w:r>
          </w:p>
        </w:tc>
        <w:tc>
          <w:tcPr>
            <w:tcW w:w="61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Phase II trial initiated in the second quarter of 2021.</w:t>
            </w:r>
          </w:p>
        </w:tc>
        <w:tc>
          <w:tcPr>
            <w:tcW w:w="0" w:type="dxa"/>
            <w:vAlign w:val="bottom"/>
          </w:tcPr>
          <w:p>
            <w:pPr>
              <w:spacing w:after="0"/>
              <w:rPr>
                <w:sz w:val="1"/>
                <w:szCs w:val="1"/>
                <w:color w:val="auto"/>
              </w:rPr>
            </w:pPr>
          </w:p>
        </w:tc>
      </w:tr>
      <w:tr>
        <w:trPr>
          <w:trHeight w:val="122"/>
        </w:trPr>
        <w:tc>
          <w:tcPr>
            <w:tcW w:w="1720" w:type="dxa"/>
            <w:vAlign w:val="bottom"/>
            <w:tcBorders>
              <w:left w:val="single" w:sz="8" w:color="auto"/>
              <w:right w:val="single" w:sz="8" w:color="auto"/>
            </w:tcBorders>
            <w:vMerge w:val="restart"/>
          </w:tcPr>
          <w:p>
            <w:pPr>
              <w:ind w:left="40"/>
              <w:spacing w:after="0" w:line="176" w:lineRule="exact"/>
              <w:rPr>
                <w:sz w:val="20"/>
                <w:szCs w:val="20"/>
                <w:color w:val="auto"/>
              </w:rPr>
            </w:pPr>
            <w:r>
              <w:rPr>
                <w:rFonts w:ascii="Arial" w:cs="Arial" w:eastAsia="Arial" w:hAnsi="Arial"/>
                <w:sz w:val="18"/>
                <w:szCs w:val="18"/>
                <w:color w:val="auto"/>
              </w:rPr>
              <w:t>CoV1404)</w:t>
            </w:r>
          </w:p>
        </w:tc>
        <w:tc>
          <w:tcPr>
            <w:tcW w:w="182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61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1720" w:type="dxa"/>
            <w:vAlign w:val="bottom"/>
            <w:tcBorders>
              <w:left w:val="single" w:sz="8" w:color="auto"/>
              <w:right w:val="single" w:sz="8" w:color="auto"/>
            </w:tcBorders>
            <w:vMerge w:val="continue"/>
          </w:tcPr>
          <w:p>
            <w:pPr>
              <w:spacing w:after="0"/>
              <w:rPr>
                <w:sz w:val="4"/>
                <w:szCs w:val="4"/>
                <w:color w:val="auto"/>
              </w:rPr>
            </w:pPr>
          </w:p>
        </w:tc>
        <w:tc>
          <w:tcPr>
            <w:tcW w:w="1820" w:type="dxa"/>
            <w:vAlign w:val="bottom"/>
            <w:tcBorders>
              <w:right w:val="single" w:sz="8" w:color="auto"/>
            </w:tcBorders>
          </w:tcPr>
          <w:p>
            <w:pPr>
              <w:spacing w:after="0"/>
              <w:rPr>
                <w:sz w:val="4"/>
                <w:szCs w:val="4"/>
                <w:color w:val="auto"/>
              </w:rPr>
            </w:pPr>
          </w:p>
        </w:tc>
        <w:tc>
          <w:tcPr>
            <w:tcW w:w="1560" w:type="dxa"/>
            <w:vAlign w:val="bottom"/>
            <w:tcBorders>
              <w:right w:val="single" w:sz="8" w:color="auto"/>
            </w:tcBorders>
          </w:tcPr>
          <w:p>
            <w:pPr>
              <w:spacing w:after="0"/>
              <w:rPr>
                <w:sz w:val="4"/>
                <w:szCs w:val="4"/>
                <w:color w:val="auto"/>
              </w:rPr>
            </w:pPr>
          </w:p>
        </w:tc>
        <w:tc>
          <w:tcPr>
            <w:tcW w:w="61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1720" w:type="dxa"/>
            <w:vAlign w:val="bottom"/>
            <w:tcBorders>
              <w:left w:val="single" w:sz="8" w:color="auto"/>
              <w:right w:val="single" w:sz="8" w:color="auto"/>
            </w:tcBorders>
          </w:tcPr>
          <w:p>
            <w:pPr>
              <w:ind w:left="40"/>
              <w:spacing w:after="0" w:line="176" w:lineRule="exact"/>
              <w:rPr>
                <w:sz w:val="20"/>
                <w:szCs w:val="20"/>
                <w:color w:val="auto"/>
              </w:rPr>
            </w:pPr>
            <w:r>
              <w:rPr>
                <w:rFonts w:ascii="Arial" w:cs="Arial" w:eastAsia="Arial" w:hAnsi="Arial"/>
                <w:sz w:val="18"/>
                <w:szCs w:val="18"/>
                <w:color w:val="auto"/>
              </w:rPr>
              <w:t>administered</w:t>
            </w:r>
          </w:p>
        </w:tc>
        <w:tc>
          <w:tcPr>
            <w:tcW w:w="1820" w:type="dxa"/>
            <w:vAlign w:val="bottom"/>
            <w:tcBorders>
              <w:right w:val="single" w:sz="8" w:color="auto"/>
            </w:tcBorders>
          </w:tcPr>
          <w:p>
            <w:pPr>
              <w:spacing w:after="0"/>
              <w:rPr>
                <w:sz w:val="15"/>
                <w:szCs w:val="15"/>
                <w:color w:val="auto"/>
              </w:rPr>
            </w:pPr>
          </w:p>
        </w:tc>
        <w:tc>
          <w:tcPr>
            <w:tcW w:w="1560" w:type="dxa"/>
            <w:vAlign w:val="bottom"/>
            <w:tcBorders>
              <w:right w:val="single" w:sz="8" w:color="auto"/>
            </w:tcBorders>
          </w:tcPr>
          <w:p>
            <w:pPr>
              <w:spacing w:after="0"/>
              <w:rPr>
                <w:sz w:val="15"/>
                <w:szCs w:val="15"/>
                <w:color w:val="auto"/>
              </w:rPr>
            </w:pPr>
          </w:p>
        </w:tc>
        <w:tc>
          <w:tcPr>
            <w:tcW w:w="6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together</w:t>
            </w:r>
          </w:p>
        </w:tc>
        <w:tc>
          <w:tcPr>
            <w:tcW w:w="182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61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172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VIR-7831 and</w:t>
            </w:r>
          </w:p>
        </w:tc>
        <w:tc>
          <w:tcPr>
            <w:tcW w:w="1820" w:type="dxa"/>
            <w:vAlign w:val="bottom"/>
            <w:tcBorders>
              <w:right w:val="single" w:sz="8" w:color="auto"/>
            </w:tcBorders>
          </w:tcPr>
          <w:p>
            <w:pPr>
              <w:spacing w:after="0"/>
              <w:rPr>
                <w:sz w:val="15"/>
                <w:szCs w:val="15"/>
                <w:color w:val="auto"/>
              </w:rPr>
            </w:pPr>
          </w:p>
        </w:tc>
        <w:tc>
          <w:tcPr>
            <w:tcW w:w="1560" w:type="dxa"/>
            <w:vAlign w:val="bottom"/>
            <w:tcBorders>
              <w:right w:val="single" w:sz="8" w:color="auto"/>
            </w:tcBorders>
          </w:tcPr>
          <w:p>
            <w:pPr>
              <w:spacing w:after="0"/>
              <w:rPr>
                <w:sz w:val="15"/>
                <w:szCs w:val="15"/>
                <w:color w:val="auto"/>
              </w:rPr>
            </w:pPr>
          </w:p>
        </w:tc>
        <w:tc>
          <w:tcPr>
            <w:tcW w:w="6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20" w:type="dxa"/>
            <w:vAlign w:val="bottom"/>
            <w:tcBorders>
              <w:left w:val="single" w:sz="8" w:color="auto"/>
              <w:right w:val="single" w:sz="8" w:color="auto"/>
            </w:tcBorders>
          </w:tcPr>
          <w:p>
            <w:pPr>
              <w:ind w:left="40"/>
              <w:spacing w:after="0" w:line="176" w:lineRule="exact"/>
              <w:rPr>
                <w:sz w:val="20"/>
                <w:szCs w:val="20"/>
                <w:color w:val="auto"/>
              </w:rPr>
            </w:pPr>
            <w:r>
              <w:rPr>
                <w:rFonts w:ascii="Arial" w:cs="Arial" w:eastAsia="Arial" w:hAnsi="Arial"/>
                <w:sz w:val="18"/>
                <w:szCs w:val="18"/>
                <w:color w:val="auto"/>
              </w:rPr>
              <w:t>bamlanivimab</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COVID-19</w:t>
            </w: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Phase II</w:t>
            </w:r>
          </w:p>
        </w:tc>
        <w:tc>
          <w:tcPr>
            <w:tcW w:w="61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Phase II trial initiated in the first quarter of 2021.</w:t>
            </w:r>
          </w:p>
        </w:tc>
        <w:tc>
          <w:tcPr>
            <w:tcW w:w="0" w:type="dxa"/>
            <w:vAlign w:val="bottom"/>
          </w:tcPr>
          <w:p>
            <w:pPr>
              <w:spacing w:after="0"/>
              <w:rPr>
                <w:sz w:val="1"/>
                <w:szCs w:val="1"/>
                <w:color w:val="auto"/>
              </w:rPr>
            </w:pPr>
          </w:p>
        </w:tc>
      </w:tr>
      <w:tr>
        <w:trPr>
          <w:trHeight w:val="122"/>
        </w:trPr>
        <w:tc>
          <w:tcPr>
            <w:tcW w:w="1720" w:type="dxa"/>
            <w:vAlign w:val="bottom"/>
            <w:tcBorders>
              <w:left w:val="single" w:sz="8" w:color="auto"/>
              <w:right w:val="single" w:sz="8" w:color="auto"/>
            </w:tcBorders>
            <w:vMerge w:val="restart"/>
          </w:tcPr>
          <w:p>
            <w:pPr>
              <w:ind w:left="40"/>
              <w:spacing w:after="0" w:line="165" w:lineRule="exact"/>
              <w:rPr>
                <w:sz w:val="20"/>
                <w:szCs w:val="20"/>
                <w:color w:val="auto"/>
              </w:rPr>
            </w:pPr>
            <w:r>
              <w:rPr>
                <w:rFonts w:ascii="Arial" w:cs="Arial" w:eastAsia="Arial" w:hAnsi="Arial"/>
                <w:sz w:val="18"/>
                <w:szCs w:val="18"/>
                <w:color w:val="auto"/>
              </w:rPr>
              <w:t>administered</w:t>
            </w:r>
          </w:p>
        </w:tc>
        <w:tc>
          <w:tcPr>
            <w:tcW w:w="182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61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3"/>
        </w:trPr>
        <w:tc>
          <w:tcPr>
            <w:tcW w:w="1720" w:type="dxa"/>
            <w:vAlign w:val="bottom"/>
            <w:tcBorders>
              <w:left w:val="single" w:sz="8" w:color="auto"/>
              <w:right w:val="single" w:sz="8" w:color="auto"/>
            </w:tcBorders>
            <w:vMerge w:val="continue"/>
          </w:tcPr>
          <w:p>
            <w:pPr>
              <w:spacing w:after="0"/>
              <w:rPr>
                <w:sz w:val="3"/>
                <w:szCs w:val="3"/>
                <w:color w:val="auto"/>
              </w:rPr>
            </w:pPr>
          </w:p>
        </w:tc>
        <w:tc>
          <w:tcPr>
            <w:tcW w:w="1820" w:type="dxa"/>
            <w:vAlign w:val="bottom"/>
            <w:tcBorders>
              <w:right w:val="single" w:sz="8" w:color="auto"/>
            </w:tcBorders>
          </w:tcPr>
          <w:p>
            <w:pPr>
              <w:spacing w:after="0"/>
              <w:rPr>
                <w:sz w:val="3"/>
                <w:szCs w:val="3"/>
                <w:color w:val="auto"/>
              </w:rPr>
            </w:pPr>
          </w:p>
        </w:tc>
        <w:tc>
          <w:tcPr>
            <w:tcW w:w="1560" w:type="dxa"/>
            <w:vAlign w:val="bottom"/>
            <w:tcBorders>
              <w:right w:val="single" w:sz="8" w:color="auto"/>
            </w:tcBorders>
          </w:tcPr>
          <w:p>
            <w:pPr>
              <w:spacing w:after="0"/>
              <w:rPr>
                <w:sz w:val="3"/>
                <w:szCs w:val="3"/>
                <w:color w:val="auto"/>
              </w:rPr>
            </w:pPr>
          </w:p>
        </w:tc>
        <w:tc>
          <w:tcPr>
            <w:tcW w:w="616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1720" w:type="dxa"/>
            <w:vAlign w:val="bottom"/>
            <w:tcBorders>
              <w:left w:val="single" w:sz="8" w:color="auto"/>
              <w:bottom w:val="single" w:sz="8" w:color="auto"/>
              <w:right w:val="single" w:sz="8" w:color="auto"/>
            </w:tcBorders>
          </w:tcPr>
          <w:p>
            <w:pPr>
              <w:ind w:left="40"/>
              <w:spacing w:after="0" w:line="228" w:lineRule="exact"/>
              <w:rPr>
                <w:sz w:val="20"/>
                <w:szCs w:val="20"/>
                <w:color w:val="auto"/>
              </w:rPr>
            </w:pPr>
            <w:r>
              <w:rPr>
                <w:rFonts w:ascii="Arial" w:cs="Arial" w:eastAsia="Arial" w:hAnsi="Arial"/>
                <w:sz w:val="18"/>
                <w:szCs w:val="18"/>
                <w:color w:val="auto"/>
              </w:rPr>
              <w:t>together</w:t>
            </w:r>
            <w:r>
              <w:rPr>
                <w:rFonts w:ascii="Arial" w:cs="Arial" w:eastAsia="Arial" w:hAnsi="Arial"/>
                <w:sz w:val="23"/>
                <w:szCs w:val="23"/>
                <w:color w:val="auto"/>
                <w:vertAlign w:val="superscript"/>
              </w:rPr>
              <w:t>(2)</w:t>
            </w:r>
          </w:p>
        </w:tc>
        <w:tc>
          <w:tcPr>
            <w:tcW w:w="1820" w:type="dxa"/>
            <w:vAlign w:val="bottom"/>
            <w:tcBorders>
              <w:bottom w:val="single" w:sz="8" w:color="auto"/>
              <w:right w:val="single" w:sz="8" w:color="auto"/>
            </w:tcBorders>
          </w:tcPr>
          <w:p>
            <w:pPr>
              <w:spacing w:after="0"/>
              <w:rPr>
                <w:sz w:val="19"/>
                <w:szCs w:val="19"/>
                <w:color w:val="auto"/>
              </w:rPr>
            </w:pPr>
          </w:p>
        </w:tc>
        <w:tc>
          <w:tcPr>
            <w:tcW w:w="1560" w:type="dxa"/>
            <w:vAlign w:val="bottom"/>
            <w:tcBorders>
              <w:bottom w:val="single" w:sz="8" w:color="auto"/>
              <w:right w:val="single" w:sz="8" w:color="auto"/>
            </w:tcBorders>
          </w:tcPr>
          <w:p>
            <w:pPr>
              <w:spacing w:after="0"/>
              <w:rPr>
                <w:sz w:val="19"/>
                <w:szCs w:val="19"/>
                <w:color w:val="auto"/>
              </w:rPr>
            </w:pPr>
          </w:p>
        </w:tc>
        <w:tc>
          <w:tcPr>
            <w:tcW w:w="61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844"/>
        </w:trPr>
        <w:tc>
          <w:tcPr>
            <w:tcW w:w="17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160" w:type="dxa"/>
            <w:vAlign w:val="bottom"/>
          </w:tcPr>
          <w:p>
            <w:pPr>
              <w:ind w:left="4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6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052" w:right="319" w:bottom="1440" w:gutter="0" w:footer="0" w:header="0"/>
        </w:sectPr>
      </w:pPr>
    </w:p>
    <w:bookmarkStart w:id="44" w:name="page45"/>
    <w:bookmarkEnd w:id="44"/>
    <w:tbl>
      <w:tblPr>
        <w:tblLayout w:type="fixed"/>
        <w:tblInd w:w="10" w:type="dxa"/>
        <w:tblCellMar>
          <w:top w:w="0" w:type="dxa"/>
          <w:left w:w="0" w:type="dxa"/>
          <w:bottom w:w="0" w:type="dxa"/>
          <w:right w:w="0" w:type="dxa"/>
        </w:tblCellMar>
      </w:tblPr>
      <w:tr>
        <w:trPr>
          <w:trHeight w:val="243"/>
        </w:trPr>
        <w:tc>
          <w:tcPr>
            <w:tcW w:w="1720" w:type="dxa"/>
            <w:vAlign w:val="bottom"/>
            <w:tcBorders>
              <w:top w:val="single" w:sz="8" w:color="auto"/>
              <w:left w:val="single" w:sz="8" w:color="auto"/>
              <w:bottom w:val="single" w:sz="8" w:color="auto"/>
              <w:right w:val="single" w:sz="8" w:color="auto"/>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Compound</w:t>
            </w:r>
          </w:p>
        </w:tc>
        <w:tc>
          <w:tcPr>
            <w:tcW w:w="182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Indication</w:t>
            </w:r>
          </w:p>
        </w:tc>
        <w:tc>
          <w:tcPr>
            <w:tcW w:w="1560" w:type="dxa"/>
            <w:vAlign w:val="bottom"/>
            <w:tcBorders>
              <w:top w:val="single" w:sz="8" w:color="auto"/>
              <w:bottom w:val="single" w:sz="8" w:color="auto"/>
              <w:right w:val="single" w:sz="8" w:color="auto"/>
            </w:tcBorders>
            <w:shd w:val="clear" w:color="auto" w:fill="D8D8D8"/>
          </w:tcPr>
          <w:p>
            <w:pPr>
              <w:spacing w:after="0"/>
              <w:rPr>
                <w:sz w:val="20"/>
                <w:szCs w:val="20"/>
                <w:color w:val="auto"/>
              </w:rPr>
            </w:pPr>
            <w:r>
              <w:rPr>
                <w:rFonts w:ascii="Arial" w:cs="Arial" w:eastAsia="Arial" w:hAnsi="Arial"/>
                <w:sz w:val="18"/>
                <w:szCs w:val="18"/>
                <w:b w:val="1"/>
                <w:bCs w:val="1"/>
                <w:color w:val="auto"/>
              </w:rPr>
              <w:t>Status</w:t>
            </w:r>
          </w:p>
        </w:tc>
        <w:tc>
          <w:tcPr>
            <w:tcW w:w="6160" w:type="dxa"/>
            <w:vAlign w:val="bottom"/>
            <w:tcBorders>
              <w:top w:val="single" w:sz="8" w:color="auto"/>
              <w:bottom w:val="single" w:sz="8" w:color="auto"/>
              <w:right w:val="single" w:sz="8" w:color="auto"/>
            </w:tcBorders>
            <w:shd w:val="clear" w:color="auto" w:fill="D8D8D8"/>
          </w:tcPr>
          <w:p>
            <w:pPr>
              <w:spacing w:after="0"/>
              <w:rPr>
                <w:sz w:val="20"/>
                <w:szCs w:val="20"/>
                <w:color w:val="auto"/>
              </w:rPr>
            </w:pPr>
            <w:r>
              <w:rPr>
                <w:rFonts w:ascii="Arial" w:cs="Arial" w:eastAsia="Arial" w:hAnsi="Arial"/>
                <w:sz w:val="18"/>
                <w:szCs w:val="18"/>
                <w:b w:val="1"/>
                <w:bCs w:val="1"/>
                <w:color w:val="auto"/>
              </w:rPr>
              <w:t>Developments</w:t>
            </w:r>
          </w:p>
        </w:tc>
        <w:tc>
          <w:tcPr>
            <w:tcW w:w="0" w:type="dxa"/>
            <w:vAlign w:val="bottom"/>
          </w:tcPr>
          <w:p>
            <w:pPr>
              <w:spacing w:after="0"/>
              <w:rPr>
                <w:sz w:val="1"/>
                <w:szCs w:val="1"/>
                <w:color w:val="auto"/>
              </w:rPr>
            </w:pPr>
          </w:p>
        </w:tc>
      </w:tr>
      <w:tr>
        <w:trPr>
          <w:trHeight w:val="223"/>
        </w:trPr>
        <w:tc>
          <w:tcPr>
            <w:tcW w:w="17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Endocrinology</w:t>
            </w:r>
          </w:p>
        </w:tc>
        <w:tc>
          <w:tcPr>
            <w:tcW w:w="18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61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720" w:type="dxa"/>
            <w:vAlign w:val="bottom"/>
            <w:tcBorders>
              <w:left w:val="single" w:sz="8" w:color="auto"/>
              <w:right w:val="single" w:sz="8" w:color="auto"/>
            </w:tcBorders>
          </w:tcPr>
          <w:p>
            <w:pPr>
              <w:spacing w:after="0"/>
              <w:rPr>
                <w:sz w:val="16"/>
                <w:szCs w:val="16"/>
                <w:color w:val="auto"/>
              </w:rPr>
            </w:pPr>
          </w:p>
        </w:tc>
        <w:tc>
          <w:tcPr>
            <w:tcW w:w="182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Heart failure with</w:t>
            </w:r>
          </w:p>
        </w:tc>
        <w:tc>
          <w:tcPr>
            <w:tcW w:w="1560" w:type="dxa"/>
            <w:vAlign w:val="bottom"/>
            <w:tcBorders>
              <w:right w:val="single" w:sz="8" w:color="auto"/>
            </w:tcBorders>
          </w:tcPr>
          <w:p>
            <w:pPr>
              <w:spacing w:after="0"/>
              <w:rPr>
                <w:sz w:val="16"/>
                <w:szCs w:val="16"/>
                <w:color w:val="auto"/>
              </w:rPr>
            </w:pPr>
          </w:p>
        </w:tc>
        <w:tc>
          <w:tcPr>
            <w:tcW w:w="61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720" w:type="dxa"/>
            <w:vAlign w:val="bottom"/>
            <w:tcBorders>
              <w:left w:val="single" w:sz="8" w:color="auto"/>
              <w:right w:val="single" w:sz="8" w:color="auto"/>
            </w:tcBorders>
          </w:tcPr>
          <w:p>
            <w:pPr>
              <w:spacing w:after="0"/>
              <w:rPr>
                <w:sz w:val="15"/>
                <w:szCs w:val="15"/>
                <w:color w:val="auto"/>
              </w:rPr>
            </w:pPr>
          </w:p>
        </w:tc>
        <w:tc>
          <w:tcPr>
            <w:tcW w:w="182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preserved ejection</w:t>
            </w:r>
          </w:p>
        </w:tc>
        <w:tc>
          <w:tcPr>
            <w:tcW w:w="1560" w:type="dxa"/>
            <w:vAlign w:val="bottom"/>
            <w:tcBorders>
              <w:right w:val="single" w:sz="8" w:color="auto"/>
            </w:tcBorders>
          </w:tcPr>
          <w:p>
            <w:pPr>
              <w:spacing w:after="0"/>
              <w:rPr>
                <w:sz w:val="15"/>
                <w:szCs w:val="15"/>
                <w:color w:val="auto"/>
              </w:rPr>
            </w:pPr>
          </w:p>
        </w:tc>
        <w:tc>
          <w:tcPr>
            <w:tcW w:w="616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Phase III trial initiated in the second quarter of 2021.</w:t>
            </w:r>
          </w:p>
        </w:tc>
        <w:tc>
          <w:tcPr>
            <w:tcW w:w="0" w:type="dxa"/>
            <w:vAlign w:val="bottom"/>
          </w:tcPr>
          <w:p>
            <w:pPr>
              <w:spacing w:after="0"/>
              <w:rPr>
                <w:sz w:val="1"/>
                <w:szCs w:val="1"/>
                <w:color w:val="auto"/>
              </w:rPr>
            </w:pPr>
          </w:p>
        </w:tc>
      </w:tr>
      <w:tr>
        <w:trPr>
          <w:trHeight w:val="217"/>
        </w:trPr>
        <w:tc>
          <w:tcPr>
            <w:tcW w:w="1720" w:type="dxa"/>
            <w:vAlign w:val="bottom"/>
            <w:tcBorders>
              <w:left w:val="single" w:sz="8" w:color="auto"/>
              <w:right w:val="single" w:sz="8" w:color="auto"/>
            </w:tcBorders>
          </w:tcPr>
          <w:p>
            <w:pPr>
              <w:spacing w:after="0"/>
              <w:rPr>
                <w:sz w:val="18"/>
                <w:szCs w:val="18"/>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fraction</w:t>
            </w:r>
          </w:p>
        </w:tc>
        <w:tc>
          <w:tcPr>
            <w:tcW w:w="1560" w:type="dxa"/>
            <w:vAlign w:val="bottom"/>
            <w:tcBorders>
              <w:right w:val="single" w:sz="8" w:color="auto"/>
            </w:tcBorders>
          </w:tcPr>
          <w:p>
            <w:pPr>
              <w:spacing w:after="0"/>
              <w:rPr>
                <w:sz w:val="18"/>
                <w:szCs w:val="18"/>
                <w:color w:val="auto"/>
              </w:rPr>
            </w:pPr>
          </w:p>
        </w:tc>
        <w:tc>
          <w:tcPr>
            <w:tcW w:w="6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720" w:type="dxa"/>
            <w:vAlign w:val="bottom"/>
            <w:tcBorders>
              <w:left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560" w:type="dxa"/>
            <w:vAlign w:val="bottom"/>
            <w:tcBorders>
              <w:right w:val="single" w:sz="8" w:color="auto"/>
            </w:tcBorders>
          </w:tcPr>
          <w:p>
            <w:pPr>
              <w:spacing w:after="0"/>
              <w:rPr>
                <w:sz w:val="2"/>
                <w:szCs w:val="2"/>
                <w:color w:val="auto"/>
              </w:rPr>
            </w:pPr>
          </w:p>
        </w:tc>
        <w:tc>
          <w:tcPr>
            <w:tcW w:w="6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720" w:type="dxa"/>
            <w:vAlign w:val="bottom"/>
            <w:tcBorders>
              <w:left w:val="single" w:sz="8" w:color="auto"/>
              <w:right w:val="single" w:sz="8" w:color="auto"/>
            </w:tcBorders>
          </w:tcPr>
          <w:p>
            <w:pPr>
              <w:spacing w:after="0"/>
              <w:rPr>
                <w:sz w:val="21"/>
                <w:szCs w:val="21"/>
                <w:color w:val="auto"/>
              </w:rPr>
            </w:pPr>
          </w:p>
        </w:tc>
        <w:tc>
          <w:tcPr>
            <w:tcW w:w="1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Obesity</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Phase III</w:t>
            </w:r>
          </w:p>
        </w:tc>
        <w:tc>
          <w:tcPr>
            <w:tcW w:w="6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III trials are ongoing.</w:t>
            </w:r>
          </w:p>
        </w:tc>
        <w:tc>
          <w:tcPr>
            <w:tcW w:w="0" w:type="dxa"/>
            <w:vAlign w:val="bottom"/>
          </w:tcPr>
          <w:p>
            <w:pPr>
              <w:spacing w:after="0"/>
              <w:rPr>
                <w:sz w:val="1"/>
                <w:szCs w:val="1"/>
                <w:color w:val="auto"/>
              </w:rPr>
            </w:pPr>
          </w:p>
        </w:tc>
      </w:tr>
      <w:tr>
        <w:trPr>
          <w:trHeight w:val="243"/>
        </w:trPr>
        <w:tc>
          <w:tcPr>
            <w:tcW w:w="1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Tirzepatide</w:t>
            </w:r>
          </w:p>
        </w:tc>
        <w:tc>
          <w:tcPr>
            <w:tcW w:w="1820" w:type="dxa"/>
            <w:vAlign w:val="bottom"/>
            <w:tcBorders>
              <w:right w:val="single" w:sz="8" w:color="auto"/>
            </w:tcBorders>
          </w:tcPr>
          <w:p>
            <w:pPr>
              <w:spacing w:after="0"/>
              <w:rPr>
                <w:sz w:val="21"/>
                <w:szCs w:val="21"/>
                <w:color w:val="auto"/>
              </w:rPr>
            </w:pPr>
          </w:p>
        </w:tc>
        <w:tc>
          <w:tcPr>
            <w:tcW w:w="1560" w:type="dxa"/>
            <w:vAlign w:val="bottom"/>
            <w:tcBorders>
              <w:right w:val="single" w:sz="8" w:color="auto"/>
            </w:tcBorders>
          </w:tcPr>
          <w:p>
            <w:pPr>
              <w:spacing w:after="0"/>
              <w:rPr>
                <w:sz w:val="21"/>
                <w:szCs w:val="21"/>
                <w:color w:val="auto"/>
              </w:rPr>
            </w:pPr>
          </w:p>
        </w:tc>
        <w:tc>
          <w:tcPr>
            <w:tcW w:w="6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Announced in the first and second quarters of 2021 that Phase III trials met</w:t>
            </w:r>
          </w:p>
        </w:tc>
        <w:tc>
          <w:tcPr>
            <w:tcW w:w="0" w:type="dxa"/>
            <w:vAlign w:val="bottom"/>
          </w:tcPr>
          <w:p>
            <w:pPr>
              <w:spacing w:after="0"/>
              <w:rPr>
                <w:sz w:val="1"/>
                <w:szCs w:val="1"/>
                <w:color w:val="auto"/>
              </w:rPr>
            </w:pPr>
          </w:p>
        </w:tc>
      </w:tr>
      <w:tr>
        <w:trPr>
          <w:trHeight w:val="134"/>
        </w:trPr>
        <w:tc>
          <w:tcPr>
            <w:tcW w:w="1720" w:type="dxa"/>
            <w:vAlign w:val="bottom"/>
            <w:tcBorders>
              <w:left w:val="single" w:sz="8" w:color="auto"/>
              <w:right w:val="single" w:sz="8" w:color="auto"/>
            </w:tcBorders>
          </w:tcPr>
          <w:p>
            <w:pPr>
              <w:spacing w:after="0"/>
              <w:rPr>
                <w:sz w:val="11"/>
                <w:szCs w:val="11"/>
                <w:color w:val="auto"/>
              </w:rPr>
            </w:pP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Type 2 diabetes</w:t>
            </w:r>
          </w:p>
        </w:tc>
        <w:tc>
          <w:tcPr>
            <w:tcW w:w="1560" w:type="dxa"/>
            <w:vAlign w:val="bottom"/>
            <w:tcBorders>
              <w:right w:val="single" w:sz="8" w:color="auto"/>
            </w:tcBorders>
          </w:tcPr>
          <w:p>
            <w:pPr>
              <w:spacing w:after="0"/>
              <w:rPr>
                <w:sz w:val="11"/>
                <w:szCs w:val="11"/>
                <w:color w:val="auto"/>
              </w:rPr>
            </w:pPr>
          </w:p>
        </w:tc>
        <w:tc>
          <w:tcPr>
            <w:tcW w:w="6160" w:type="dxa"/>
            <w:vAlign w:val="bottom"/>
            <w:tcBorders>
              <w:right w:val="single" w:sz="8" w:color="auto"/>
            </w:tcBorders>
          </w:tcPr>
          <w:p>
            <w:pPr>
              <w:spacing w:after="0" w:line="134" w:lineRule="exact"/>
              <w:rPr>
                <w:sz w:val="20"/>
                <w:szCs w:val="20"/>
                <w:color w:val="auto"/>
              </w:rPr>
            </w:pPr>
            <w:r>
              <w:rPr>
                <w:rFonts w:ascii="Arial" w:cs="Arial" w:eastAsia="Arial" w:hAnsi="Arial"/>
                <w:sz w:val="15"/>
                <w:szCs w:val="15"/>
                <w:color w:val="auto"/>
              </w:rPr>
              <w:t>the primary and key secondary endpoints. We intend to submit to regulatory</w:t>
            </w:r>
          </w:p>
        </w:tc>
        <w:tc>
          <w:tcPr>
            <w:tcW w:w="0" w:type="dxa"/>
            <w:vAlign w:val="bottom"/>
          </w:tcPr>
          <w:p>
            <w:pPr>
              <w:spacing w:after="0"/>
              <w:rPr>
                <w:sz w:val="1"/>
                <w:szCs w:val="1"/>
                <w:color w:val="auto"/>
              </w:rPr>
            </w:pPr>
          </w:p>
        </w:tc>
      </w:tr>
      <w:tr>
        <w:trPr>
          <w:trHeight w:val="136"/>
        </w:trPr>
        <w:tc>
          <w:tcPr>
            <w:tcW w:w="1720" w:type="dxa"/>
            <w:vAlign w:val="bottom"/>
            <w:tcBorders>
              <w:left w:val="single" w:sz="8" w:color="auto"/>
              <w:right w:val="single" w:sz="8" w:color="auto"/>
            </w:tcBorders>
          </w:tcPr>
          <w:p>
            <w:pPr>
              <w:spacing w:after="0"/>
              <w:rPr>
                <w:sz w:val="11"/>
                <w:szCs w:val="11"/>
                <w:color w:val="auto"/>
              </w:rPr>
            </w:pPr>
          </w:p>
        </w:tc>
        <w:tc>
          <w:tcPr>
            <w:tcW w:w="1820" w:type="dxa"/>
            <w:vAlign w:val="bottom"/>
            <w:tcBorders>
              <w:right w:val="single" w:sz="8" w:color="auto"/>
            </w:tcBorders>
            <w:vMerge w:val="continue"/>
          </w:tcPr>
          <w:p>
            <w:pPr>
              <w:spacing w:after="0"/>
              <w:rPr>
                <w:sz w:val="11"/>
                <w:szCs w:val="11"/>
                <w:color w:val="auto"/>
              </w:rPr>
            </w:pPr>
          </w:p>
        </w:tc>
        <w:tc>
          <w:tcPr>
            <w:tcW w:w="1560" w:type="dxa"/>
            <w:vAlign w:val="bottom"/>
            <w:tcBorders>
              <w:right w:val="single" w:sz="8" w:color="auto"/>
            </w:tcBorders>
          </w:tcPr>
          <w:p>
            <w:pPr>
              <w:spacing w:after="0"/>
              <w:rPr>
                <w:sz w:val="11"/>
                <w:szCs w:val="11"/>
                <w:color w:val="auto"/>
              </w:rPr>
            </w:pPr>
          </w:p>
        </w:tc>
        <w:tc>
          <w:tcPr>
            <w:tcW w:w="6160" w:type="dxa"/>
            <w:vAlign w:val="bottom"/>
            <w:tcBorders>
              <w:right w:val="single" w:sz="8" w:color="auto"/>
            </w:tcBorders>
            <w:vMerge w:val="restart"/>
          </w:tcPr>
          <w:p>
            <w:pPr>
              <w:spacing w:after="0" w:line="176" w:lineRule="exact"/>
              <w:rPr>
                <w:sz w:val="20"/>
                <w:szCs w:val="20"/>
                <w:color w:val="auto"/>
              </w:rPr>
            </w:pPr>
            <w:r>
              <w:rPr>
                <w:rFonts w:ascii="Arial" w:cs="Arial" w:eastAsia="Arial" w:hAnsi="Arial"/>
                <w:sz w:val="18"/>
                <w:szCs w:val="18"/>
                <w:color w:val="auto"/>
              </w:rPr>
              <w:t>authorities for approval by the end of 2021. Additional Phase III trials are</w:t>
            </w:r>
          </w:p>
        </w:tc>
        <w:tc>
          <w:tcPr>
            <w:tcW w:w="0" w:type="dxa"/>
            <w:vAlign w:val="bottom"/>
          </w:tcPr>
          <w:p>
            <w:pPr>
              <w:spacing w:after="0"/>
              <w:rPr>
                <w:sz w:val="1"/>
                <w:szCs w:val="1"/>
                <w:color w:val="auto"/>
              </w:rPr>
            </w:pPr>
          </w:p>
        </w:tc>
      </w:tr>
      <w:tr>
        <w:trPr>
          <w:trHeight w:val="40"/>
        </w:trPr>
        <w:tc>
          <w:tcPr>
            <w:tcW w:w="1720" w:type="dxa"/>
            <w:vAlign w:val="bottom"/>
            <w:tcBorders>
              <w:left w:val="single" w:sz="8" w:color="auto"/>
              <w:right w:val="single" w:sz="8" w:color="auto"/>
            </w:tcBorders>
          </w:tcPr>
          <w:p>
            <w:pPr>
              <w:spacing w:after="0"/>
              <w:rPr>
                <w:sz w:val="3"/>
                <w:szCs w:val="3"/>
                <w:color w:val="auto"/>
              </w:rPr>
            </w:pPr>
          </w:p>
        </w:tc>
        <w:tc>
          <w:tcPr>
            <w:tcW w:w="1820" w:type="dxa"/>
            <w:vAlign w:val="bottom"/>
            <w:tcBorders>
              <w:right w:val="single" w:sz="8" w:color="auto"/>
            </w:tcBorders>
          </w:tcPr>
          <w:p>
            <w:pPr>
              <w:spacing w:after="0"/>
              <w:rPr>
                <w:sz w:val="3"/>
                <w:szCs w:val="3"/>
                <w:color w:val="auto"/>
              </w:rPr>
            </w:pPr>
          </w:p>
        </w:tc>
        <w:tc>
          <w:tcPr>
            <w:tcW w:w="1560" w:type="dxa"/>
            <w:vAlign w:val="bottom"/>
            <w:tcBorders>
              <w:right w:val="single" w:sz="8" w:color="auto"/>
            </w:tcBorders>
          </w:tcPr>
          <w:p>
            <w:pPr>
              <w:spacing w:after="0"/>
              <w:rPr>
                <w:sz w:val="3"/>
                <w:szCs w:val="3"/>
                <w:color w:val="auto"/>
              </w:rPr>
            </w:pPr>
          </w:p>
        </w:tc>
        <w:tc>
          <w:tcPr>
            <w:tcW w:w="6160" w:type="dxa"/>
            <w:vAlign w:val="bottom"/>
            <w:tcBorders>
              <w:right w:val="single" w:sz="8" w:color="auto"/>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7"/>
        </w:trPr>
        <w:tc>
          <w:tcPr>
            <w:tcW w:w="1720" w:type="dxa"/>
            <w:vAlign w:val="bottom"/>
            <w:tcBorders>
              <w:left w:val="single" w:sz="8" w:color="auto"/>
              <w:right w:val="single" w:sz="8" w:color="auto"/>
            </w:tcBorders>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6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ongoing.</w:t>
            </w:r>
          </w:p>
        </w:tc>
        <w:tc>
          <w:tcPr>
            <w:tcW w:w="0" w:type="dxa"/>
            <w:vAlign w:val="bottom"/>
          </w:tcPr>
          <w:p>
            <w:pPr>
              <w:spacing w:after="0"/>
              <w:rPr>
                <w:sz w:val="1"/>
                <w:szCs w:val="1"/>
                <w:color w:val="auto"/>
              </w:rPr>
            </w:pPr>
          </w:p>
        </w:tc>
      </w:tr>
      <w:tr>
        <w:trPr>
          <w:trHeight w:val="27"/>
        </w:trPr>
        <w:tc>
          <w:tcPr>
            <w:tcW w:w="1720" w:type="dxa"/>
            <w:vAlign w:val="bottom"/>
            <w:tcBorders>
              <w:left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6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720" w:type="dxa"/>
            <w:vAlign w:val="bottom"/>
            <w:tcBorders>
              <w:left w:val="single" w:sz="8" w:color="auto"/>
              <w:right w:val="single" w:sz="8" w:color="auto"/>
            </w:tcBorders>
          </w:tcPr>
          <w:p>
            <w:pPr>
              <w:spacing w:after="0"/>
              <w:rPr>
                <w:sz w:val="18"/>
                <w:szCs w:val="18"/>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Nonalcoholic</w:t>
            </w: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Phase II</w:t>
            </w:r>
          </w:p>
        </w:tc>
        <w:tc>
          <w:tcPr>
            <w:tcW w:w="61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Phase II trial is ongoing.</w:t>
            </w:r>
          </w:p>
        </w:tc>
        <w:tc>
          <w:tcPr>
            <w:tcW w:w="0" w:type="dxa"/>
            <w:vAlign w:val="bottom"/>
          </w:tcPr>
          <w:p>
            <w:pPr>
              <w:spacing w:after="0"/>
              <w:rPr>
                <w:sz w:val="1"/>
                <w:szCs w:val="1"/>
                <w:color w:val="auto"/>
              </w:rPr>
            </w:pPr>
          </w:p>
        </w:tc>
      </w:tr>
      <w:tr>
        <w:trPr>
          <w:trHeight w:val="136"/>
        </w:trPr>
        <w:tc>
          <w:tcPr>
            <w:tcW w:w="1720" w:type="dxa"/>
            <w:vAlign w:val="bottom"/>
            <w:tcBorders>
              <w:left w:val="single" w:sz="8" w:color="auto"/>
              <w:right w:val="single" w:sz="8" w:color="auto"/>
            </w:tcBorders>
          </w:tcPr>
          <w:p>
            <w:pPr>
              <w:spacing w:after="0"/>
              <w:rPr>
                <w:sz w:val="11"/>
                <w:szCs w:val="11"/>
                <w:color w:val="auto"/>
              </w:rPr>
            </w:pP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steatohepatitis</w:t>
            </w:r>
          </w:p>
        </w:tc>
        <w:tc>
          <w:tcPr>
            <w:tcW w:w="1560" w:type="dxa"/>
            <w:vAlign w:val="bottom"/>
            <w:tcBorders>
              <w:right w:val="single" w:sz="8" w:color="auto"/>
            </w:tcBorders>
            <w:vMerge w:val="continue"/>
          </w:tcPr>
          <w:p>
            <w:pPr>
              <w:spacing w:after="0"/>
              <w:rPr>
                <w:sz w:val="11"/>
                <w:szCs w:val="11"/>
                <w:color w:val="auto"/>
              </w:rPr>
            </w:pPr>
          </w:p>
        </w:tc>
        <w:tc>
          <w:tcPr>
            <w:tcW w:w="61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720" w:type="dxa"/>
            <w:vAlign w:val="bottom"/>
            <w:tcBorders>
              <w:left w:val="single" w:sz="8" w:color="auto"/>
              <w:right w:val="single" w:sz="8" w:color="auto"/>
            </w:tcBorders>
          </w:tcPr>
          <w:p>
            <w:pPr>
              <w:spacing w:after="0"/>
              <w:rPr>
                <w:sz w:val="7"/>
                <w:szCs w:val="7"/>
                <w:color w:val="auto"/>
              </w:rPr>
            </w:pPr>
          </w:p>
        </w:tc>
        <w:tc>
          <w:tcPr>
            <w:tcW w:w="1820" w:type="dxa"/>
            <w:vAlign w:val="bottom"/>
            <w:tcBorders>
              <w:right w:val="single" w:sz="8" w:color="auto"/>
            </w:tcBorders>
            <w:vMerge w:val="continue"/>
          </w:tcPr>
          <w:p>
            <w:pPr>
              <w:spacing w:after="0"/>
              <w:rPr>
                <w:sz w:val="7"/>
                <w:szCs w:val="7"/>
                <w:color w:val="auto"/>
              </w:rPr>
            </w:pPr>
          </w:p>
        </w:tc>
        <w:tc>
          <w:tcPr>
            <w:tcW w:w="1560" w:type="dxa"/>
            <w:vAlign w:val="bottom"/>
            <w:tcBorders>
              <w:right w:val="single" w:sz="8" w:color="auto"/>
            </w:tcBorders>
          </w:tcPr>
          <w:p>
            <w:pPr>
              <w:spacing w:after="0"/>
              <w:rPr>
                <w:sz w:val="7"/>
                <w:szCs w:val="7"/>
                <w:color w:val="auto"/>
              </w:rPr>
            </w:pPr>
          </w:p>
        </w:tc>
        <w:tc>
          <w:tcPr>
            <w:tcW w:w="61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1720" w:type="dxa"/>
            <w:vAlign w:val="bottom"/>
            <w:tcBorders>
              <w:left w:val="single" w:sz="8" w:color="auto"/>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560" w:type="dxa"/>
            <w:vAlign w:val="bottom"/>
            <w:tcBorders>
              <w:bottom w:val="single" w:sz="8" w:color="auto"/>
              <w:right w:val="single" w:sz="8" w:color="auto"/>
            </w:tcBorders>
          </w:tcPr>
          <w:p>
            <w:pPr>
              <w:spacing w:after="0"/>
              <w:rPr>
                <w:sz w:val="3"/>
                <w:szCs w:val="3"/>
                <w:color w:val="auto"/>
              </w:rPr>
            </w:pPr>
          </w:p>
        </w:tc>
        <w:tc>
          <w:tcPr>
            <w:tcW w:w="61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17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Basal Insulin-Fc</w:t>
            </w:r>
          </w:p>
        </w:tc>
        <w:tc>
          <w:tcPr>
            <w:tcW w:w="182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Type 1 and 2</w:t>
            </w: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Phase II</w:t>
            </w:r>
          </w:p>
        </w:tc>
        <w:tc>
          <w:tcPr>
            <w:tcW w:w="61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Phase II trials are ongoing.</w:t>
            </w:r>
          </w:p>
        </w:tc>
        <w:tc>
          <w:tcPr>
            <w:tcW w:w="0" w:type="dxa"/>
            <w:vAlign w:val="bottom"/>
          </w:tcPr>
          <w:p>
            <w:pPr>
              <w:spacing w:after="0"/>
              <w:rPr>
                <w:sz w:val="1"/>
                <w:szCs w:val="1"/>
                <w:color w:val="auto"/>
              </w:rPr>
            </w:pPr>
          </w:p>
        </w:tc>
      </w:tr>
      <w:tr>
        <w:trPr>
          <w:trHeight w:val="122"/>
        </w:trPr>
        <w:tc>
          <w:tcPr>
            <w:tcW w:w="1720" w:type="dxa"/>
            <w:vAlign w:val="bottom"/>
            <w:tcBorders>
              <w:left w:val="single" w:sz="8" w:color="auto"/>
              <w:right w:val="single" w:sz="8" w:color="auto"/>
            </w:tcBorders>
            <w:vMerge w:val="continue"/>
          </w:tcPr>
          <w:p>
            <w:pPr>
              <w:spacing w:after="0"/>
              <w:rPr>
                <w:sz w:val="10"/>
                <w:szCs w:val="10"/>
                <w:color w:val="auto"/>
              </w:rPr>
            </w:pP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diabetes</w:t>
            </w:r>
          </w:p>
        </w:tc>
        <w:tc>
          <w:tcPr>
            <w:tcW w:w="1560" w:type="dxa"/>
            <w:vAlign w:val="bottom"/>
            <w:tcBorders>
              <w:right w:val="single" w:sz="8" w:color="auto"/>
            </w:tcBorders>
            <w:vMerge w:val="continue"/>
          </w:tcPr>
          <w:p>
            <w:pPr>
              <w:spacing w:after="0"/>
              <w:rPr>
                <w:sz w:val="10"/>
                <w:szCs w:val="10"/>
                <w:color w:val="auto"/>
              </w:rPr>
            </w:pPr>
          </w:p>
        </w:tc>
        <w:tc>
          <w:tcPr>
            <w:tcW w:w="61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720" w:type="dxa"/>
            <w:vAlign w:val="bottom"/>
            <w:tcBorders>
              <w:left w:val="single" w:sz="8" w:color="auto"/>
              <w:bottom w:val="single" w:sz="8" w:color="auto"/>
              <w:right w:val="single" w:sz="8" w:color="auto"/>
            </w:tcBorders>
          </w:tcPr>
          <w:p>
            <w:pPr>
              <w:spacing w:after="0"/>
              <w:rPr>
                <w:sz w:val="8"/>
                <w:szCs w:val="8"/>
                <w:color w:val="auto"/>
              </w:rPr>
            </w:pPr>
          </w:p>
        </w:tc>
        <w:tc>
          <w:tcPr>
            <w:tcW w:w="1820" w:type="dxa"/>
            <w:vAlign w:val="bottom"/>
            <w:tcBorders>
              <w:bottom w:val="single" w:sz="8" w:color="auto"/>
              <w:right w:val="single" w:sz="8" w:color="auto"/>
            </w:tcBorders>
            <w:vMerge w:val="continue"/>
          </w:tcPr>
          <w:p>
            <w:pPr>
              <w:spacing w:after="0"/>
              <w:rPr>
                <w:sz w:val="8"/>
                <w:szCs w:val="8"/>
                <w:color w:val="auto"/>
              </w:rPr>
            </w:pPr>
          </w:p>
        </w:tc>
        <w:tc>
          <w:tcPr>
            <w:tcW w:w="1560" w:type="dxa"/>
            <w:vAlign w:val="bottom"/>
            <w:tcBorders>
              <w:bottom w:val="single" w:sz="8" w:color="auto"/>
              <w:right w:val="single" w:sz="8" w:color="auto"/>
            </w:tcBorders>
          </w:tcPr>
          <w:p>
            <w:pPr>
              <w:spacing w:after="0"/>
              <w:rPr>
                <w:sz w:val="8"/>
                <w:szCs w:val="8"/>
                <w:color w:val="auto"/>
              </w:rPr>
            </w:pPr>
          </w:p>
        </w:tc>
        <w:tc>
          <w:tcPr>
            <w:tcW w:w="61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17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GGG Tri-Agonist</w:t>
            </w:r>
          </w:p>
        </w:tc>
        <w:tc>
          <w:tcPr>
            <w:tcW w:w="1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Obesity</w:t>
            </w: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Phase II</w:t>
            </w:r>
          </w:p>
        </w:tc>
        <w:tc>
          <w:tcPr>
            <w:tcW w:w="61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Phase II trials initiated in the second quarter of 2021.</w:t>
            </w:r>
          </w:p>
        </w:tc>
        <w:tc>
          <w:tcPr>
            <w:tcW w:w="0" w:type="dxa"/>
            <w:vAlign w:val="bottom"/>
          </w:tcPr>
          <w:p>
            <w:pPr>
              <w:spacing w:after="0"/>
              <w:rPr>
                <w:sz w:val="1"/>
                <w:szCs w:val="1"/>
                <w:color w:val="auto"/>
              </w:rPr>
            </w:pPr>
          </w:p>
        </w:tc>
      </w:tr>
      <w:tr>
        <w:trPr>
          <w:trHeight w:val="108"/>
        </w:trPr>
        <w:tc>
          <w:tcPr>
            <w:tcW w:w="1720" w:type="dxa"/>
            <w:vAlign w:val="bottom"/>
            <w:tcBorders>
              <w:left w:val="single" w:sz="8" w:color="auto"/>
              <w:right w:val="single" w:sz="8" w:color="auto"/>
            </w:tcBorders>
            <w:vMerge w:val="continue"/>
          </w:tcPr>
          <w:p>
            <w:pPr>
              <w:spacing w:after="0"/>
              <w:rPr>
                <w:sz w:val="9"/>
                <w:szCs w:val="9"/>
                <w:color w:val="auto"/>
              </w:rPr>
            </w:pP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Type 2 diabetes</w:t>
            </w:r>
          </w:p>
        </w:tc>
        <w:tc>
          <w:tcPr>
            <w:tcW w:w="1560" w:type="dxa"/>
            <w:vAlign w:val="bottom"/>
            <w:tcBorders>
              <w:right w:val="single" w:sz="8" w:color="auto"/>
            </w:tcBorders>
            <w:vMerge w:val="continue"/>
          </w:tcPr>
          <w:p>
            <w:pPr>
              <w:spacing w:after="0"/>
              <w:rPr>
                <w:sz w:val="9"/>
                <w:szCs w:val="9"/>
                <w:color w:val="auto"/>
              </w:rPr>
            </w:pPr>
          </w:p>
        </w:tc>
        <w:tc>
          <w:tcPr>
            <w:tcW w:w="61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720" w:type="dxa"/>
            <w:vAlign w:val="bottom"/>
            <w:tcBorders>
              <w:left w:val="single" w:sz="8" w:color="auto"/>
              <w:bottom w:val="single" w:sz="8" w:color="auto"/>
              <w:right w:val="single" w:sz="8" w:color="auto"/>
            </w:tcBorders>
          </w:tcPr>
          <w:p>
            <w:pPr>
              <w:spacing w:after="0"/>
              <w:rPr>
                <w:sz w:val="12"/>
                <w:szCs w:val="12"/>
                <w:color w:val="auto"/>
              </w:rPr>
            </w:pPr>
          </w:p>
        </w:tc>
        <w:tc>
          <w:tcPr>
            <w:tcW w:w="1820" w:type="dxa"/>
            <w:vAlign w:val="bottom"/>
            <w:tcBorders>
              <w:bottom w:val="single" w:sz="8" w:color="auto"/>
              <w:right w:val="single" w:sz="8" w:color="auto"/>
            </w:tcBorders>
            <w:vMerge w:val="continue"/>
          </w:tcPr>
          <w:p>
            <w:pPr>
              <w:spacing w:after="0"/>
              <w:rPr>
                <w:sz w:val="12"/>
                <w:szCs w:val="12"/>
                <w:color w:val="auto"/>
              </w:rPr>
            </w:pPr>
          </w:p>
        </w:tc>
        <w:tc>
          <w:tcPr>
            <w:tcW w:w="1560" w:type="dxa"/>
            <w:vAlign w:val="bottom"/>
            <w:tcBorders>
              <w:bottom w:val="single" w:sz="8" w:color="auto"/>
              <w:right w:val="single" w:sz="8" w:color="auto"/>
            </w:tcBorders>
          </w:tcPr>
          <w:p>
            <w:pPr>
              <w:spacing w:after="0"/>
              <w:rPr>
                <w:sz w:val="12"/>
                <w:szCs w:val="12"/>
                <w:color w:val="auto"/>
              </w:rPr>
            </w:pPr>
          </w:p>
        </w:tc>
        <w:tc>
          <w:tcPr>
            <w:tcW w:w="61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17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Immunology</w:t>
            </w:r>
          </w:p>
        </w:tc>
        <w:tc>
          <w:tcPr>
            <w:tcW w:w="18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61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Borders>
              <w:left w:val="single" w:sz="8" w:color="auto"/>
              <w:bottom w:val="single" w:sz="8" w:color="auto"/>
              <w:right w:val="single" w:sz="8" w:color="auto"/>
            </w:tcBorders>
          </w:tcPr>
          <w:p>
            <w:pPr>
              <w:ind w:left="40"/>
              <w:spacing w:after="0" w:line="223" w:lineRule="exact"/>
              <w:rPr>
                <w:sz w:val="20"/>
                <w:szCs w:val="20"/>
                <w:color w:val="auto"/>
              </w:rPr>
            </w:pPr>
            <w:r>
              <w:rPr>
                <w:rFonts w:ascii="Arial" w:cs="Arial" w:eastAsia="Arial" w:hAnsi="Arial"/>
                <w:sz w:val="18"/>
                <w:szCs w:val="18"/>
                <w:color w:val="auto"/>
              </w:rPr>
              <w:t>Lebrikizumab</w:t>
            </w:r>
            <w:r>
              <w:rPr>
                <w:rFonts w:ascii="Arial" w:cs="Arial" w:eastAsia="Arial" w:hAnsi="Arial"/>
                <w:sz w:val="23"/>
                <w:szCs w:val="23"/>
                <w:color w:val="auto"/>
                <w:vertAlign w:val="superscript"/>
              </w:rPr>
              <w:t>(3)</w:t>
            </w:r>
          </w:p>
        </w:tc>
        <w:tc>
          <w:tcPr>
            <w:tcW w:w="1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Atopic dermatitis</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Phase III</w:t>
            </w:r>
          </w:p>
        </w:tc>
        <w:tc>
          <w:tcPr>
            <w:tcW w:w="61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18"/>
                <w:szCs w:val="18"/>
                <w:color w:val="auto"/>
              </w:rPr>
              <w:t>Granted FDA Fast Track designation</w:t>
            </w:r>
            <w:r>
              <w:rPr>
                <w:rFonts w:ascii="Arial" w:cs="Arial" w:eastAsia="Arial" w:hAnsi="Arial"/>
                <w:sz w:val="23"/>
                <w:szCs w:val="23"/>
                <w:color w:val="auto"/>
                <w:vertAlign w:val="superscript"/>
              </w:rPr>
              <w:t>(4)</w:t>
            </w:r>
            <w:r>
              <w:rPr>
                <w:rFonts w:ascii="Arial" w:cs="Arial" w:eastAsia="Arial" w:hAnsi="Arial"/>
                <w:sz w:val="18"/>
                <w:szCs w:val="18"/>
                <w:color w:val="auto"/>
              </w:rPr>
              <w:t>. Phase III trials are ongoing.</w:t>
            </w:r>
          </w:p>
        </w:tc>
        <w:tc>
          <w:tcPr>
            <w:tcW w:w="0" w:type="dxa"/>
            <w:vAlign w:val="bottom"/>
          </w:tcPr>
          <w:p>
            <w:pPr>
              <w:spacing w:after="0"/>
              <w:rPr>
                <w:sz w:val="1"/>
                <w:szCs w:val="1"/>
                <w:color w:val="auto"/>
              </w:rPr>
            </w:pPr>
          </w:p>
        </w:tc>
      </w:tr>
      <w:tr>
        <w:trPr>
          <w:trHeight w:val="243"/>
        </w:trPr>
        <w:tc>
          <w:tcPr>
            <w:tcW w:w="1720" w:type="dxa"/>
            <w:vAlign w:val="bottom"/>
            <w:tcBorders>
              <w:left w:val="single" w:sz="8" w:color="auto"/>
              <w:right w:val="single" w:sz="8" w:color="auto"/>
            </w:tcBorders>
          </w:tcPr>
          <w:p>
            <w:pPr>
              <w:spacing w:after="0"/>
              <w:rPr>
                <w:sz w:val="21"/>
                <w:szCs w:val="21"/>
                <w:color w:val="auto"/>
              </w:rPr>
            </w:pPr>
          </w:p>
        </w:tc>
        <w:tc>
          <w:tcPr>
            <w:tcW w:w="1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Crohn's disease</w:t>
            </w:r>
          </w:p>
        </w:tc>
        <w:tc>
          <w:tcPr>
            <w:tcW w:w="1560" w:type="dxa"/>
            <w:vAlign w:val="bottom"/>
            <w:tcBorders>
              <w:right w:val="single" w:sz="8" w:color="auto"/>
            </w:tcBorders>
          </w:tcPr>
          <w:p>
            <w:pPr>
              <w:spacing w:after="0"/>
              <w:rPr>
                <w:sz w:val="21"/>
                <w:szCs w:val="21"/>
                <w:color w:val="auto"/>
              </w:rPr>
            </w:pPr>
          </w:p>
        </w:tc>
        <w:tc>
          <w:tcPr>
            <w:tcW w:w="6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III trials are ongoing.</w:t>
            </w:r>
          </w:p>
        </w:tc>
        <w:tc>
          <w:tcPr>
            <w:tcW w:w="0" w:type="dxa"/>
            <w:vAlign w:val="bottom"/>
          </w:tcPr>
          <w:p>
            <w:pPr>
              <w:spacing w:after="0"/>
              <w:rPr>
                <w:sz w:val="1"/>
                <w:szCs w:val="1"/>
                <w:color w:val="auto"/>
              </w:rPr>
            </w:pPr>
          </w:p>
        </w:tc>
      </w:tr>
      <w:tr>
        <w:trPr>
          <w:trHeight w:val="296"/>
        </w:trPr>
        <w:tc>
          <w:tcPr>
            <w:tcW w:w="17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Mirikizumab</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Ulcerative colitis</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Phase III</w:t>
            </w:r>
          </w:p>
        </w:tc>
        <w:tc>
          <w:tcPr>
            <w:tcW w:w="6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Announced in the first quarter of 2021 that a Phase III trial met the primary</w:t>
            </w:r>
          </w:p>
        </w:tc>
        <w:tc>
          <w:tcPr>
            <w:tcW w:w="0" w:type="dxa"/>
            <w:vAlign w:val="bottom"/>
          </w:tcPr>
          <w:p>
            <w:pPr>
              <w:spacing w:after="0"/>
              <w:rPr>
                <w:sz w:val="1"/>
                <w:szCs w:val="1"/>
                <w:color w:val="auto"/>
              </w:rPr>
            </w:pPr>
          </w:p>
        </w:tc>
      </w:tr>
      <w:tr>
        <w:trPr>
          <w:trHeight w:val="122"/>
        </w:trPr>
        <w:tc>
          <w:tcPr>
            <w:tcW w:w="1720" w:type="dxa"/>
            <w:vAlign w:val="bottom"/>
            <w:tcBorders>
              <w:left w:val="single" w:sz="8" w:color="auto"/>
              <w:right w:val="single" w:sz="8" w:color="auto"/>
            </w:tcBorders>
            <w:vMerge w:val="continue"/>
          </w:tcPr>
          <w:p>
            <w:pPr>
              <w:spacing w:after="0"/>
              <w:rPr>
                <w:sz w:val="10"/>
                <w:szCs w:val="10"/>
                <w:color w:val="auto"/>
              </w:rPr>
            </w:pPr>
          </w:p>
        </w:tc>
        <w:tc>
          <w:tcPr>
            <w:tcW w:w="182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tcPr>
          <w:p>
            <w:pPr>
              <w:spacing w:after="0"/>
              <w:rPr>
                <w:sz w:val="10"/>
                <w:szCs w:val="10"/>
                <w:color w:val="auto"/>
              </w:rPr>
            </w:pPr>
          </w:p>
        </w:tc>
        <w:tc>
          <w:tcPr>
            <w:tcW w:w="61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and key secondary endpoints. Additional Phase III trials are ongoing.</w:t>
            </w:r>
          </w:p>
        </w:tc>
        <w:tc>
          <w:tcPr>
            <w:tcW w:w="0" w:type="dxa"/>
            <w:vAlign w:val="bottom"/>
          </w:tcPr>
          <w:p>
            <w:pPr>
              <w:spacing w:after="0"/>
              <w:rPr>
                <w:sz w:val="1"/>
                <w:szCs w:val="1"/>
                <w:color w:val="auto"/>
              </w:rPr>
            </w:pPr>
          </w:p>
        </w:tc>
      </w:tr>
      <w:tr>
        <w:trPr>
          <w:trHeight w:val="95"/>
        </w:trPr>
        <w:tc>
          <w:tcPr>
            <w:tcW w:w="1720" w:type="dxa"/>
            <w:vAlign w:val="bottom"/>
            <w:tcBorders>
              <w:left w:val="single" w:sz="8" w:color="auto"/>
              <w:right w:val="single" w:sz="8" w:color="auto"/>
            </w:tcBorders>
            <w:vMerge w:val="continue"/>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1560" w:type="dxa"/>
            <w:vAlign w:val="bottom"/>
            <w:tcBorders>
              <w:right w:val="single" w:sz="8" w:color="auto"/>
            </w:tcBorders>
          </w:tcPr>
          <w:p>
            <w:pPr>
              <w:spacing w:after="0"/>
              <w:rPr>
                <w:sz w:val="8"/>
                <w:szCs w:val="8"/>
                <w:color w:val="auto"/>
              </w:rPr>
            </w:pPr>
          </w:p>
        </w:tc>
        <w:tc>
          <w:tcPr>
            <w:tcW w:w="61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720" w:type="dxa"/>
            <w:vAlign w:val="bottom"/>
            <w:tcBorders>
              <w:left w:val="single" w:sz="8" w:color="auto"/>
              <w:right w:val="single" w:sz="8" w:color="auto"/>
            </w:tcBorders>
          </w:tcPr>
          <w:p>
            <w:pPr>
              <w:spacing w:after="0"/>
              <w:rPr>
                <w:sz w:val="9"/>
                <w:szCs w:val="9"/>
                <w:color w:val="auto"/>
              </w:rPr>
            </w:pPr>
          </w:p>
        </w:tc>
        <w:tc>
          <w:tcPr>
            <w:tcW w:w="182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61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1720" w:type="dxa"/>
            <w:vAlign w:val="bottom"/>
            <w:tcBorders>
              <w:left w:val="single" w:sz="8" w:color="auto"/>
              <w:right w:val="single" w:sz="8" w:color="auto"/>
            </w:tcBorders>
          </w:tcPr>
          <w:p>
            <w:pPr>
              <w:spacing w:after="0"/>
              <w:rPr>
                <w:sz w:val="15"/>
                <w:szCs w:val="15"/>
                <w:color w:val="auto"/>
              </w:rPr>
            </w:pP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Psoriasis</w:t>
            </w:r>
          </w:p>
        </w:tc>
        <w:tc>
          <w:tcPr>
            <w:tcW w:w="156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Not pursuing</w:t>
            </w:r>
          </w:p>
        </w:tc>
        <w:tc>
          <w:tcPr>
            <w:tcW w:w="616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Announced in the second quarter of 2021 that we do not plan to pursue</w:t>
            </w:r>
          </w:p>
        </w:tc>
        <w:tc>
          <w:tcPr>
            <w:tcW w:w="0" w:type="dxa"/>
            <w:vAlign w:val="bottom"/>
          </w:tcPr>
          <w:p>
            <w:pPr>
              <w:spacing w:after="0"/>
              <w:rPr>
                <w:sz w:val="1"/>
                <w:szCs w:val="1"/>
                <w:color w:val="auto"/>
              </w:rPr>
            </w:pPr>
          </w:p>
        </w:tc>
      </w:tr>
      <w:tr>
        <w:trPr>
          <w:trHeight w:val="136"/>
        </w:trPr>
        <w:tc>
          <w:tcPr>
            <w:tcW w:w="1720" w:type="dxa"/>
            <w:vAlign w:val="bottom"/>
            <w:tcBorders>
              <w:left w:val="single" w:sz="8" w:color="auto"/>
              <w:right w:val="single" w:sz="8" w:color="auto"/>
            </w:tcBorders>
          </w:tcPr>
          <w:p>
            <w:pPr>
              <w:spacing w:after="0"/>
              <w:rPr>
                <w:sz w:val="11"/>
                <w:szCs w:val="11"/>
                <w:color w:val="auto"/>
              </w:rPr>
            </w:pPr>
          </w:p>
        </w:tc>
        <w:tc>
          <w:tcPr>
            <w:tcW w:w="1820" w:type="dxa"/>
            <w:vAlign w:val="bottom"/>
            <w:tcBorders>
              <w:right w:val="single" w:sz="8" w:color="auto"/>
            </w:tcBorders>
            <w:vMerge w:val="continue"/>
          </w:tcPr>
          <w:p>
            <w:pPr>
              <w:spacing w:after="0"/>
              <w:rPr>
                <w:sz w:val="11"/>
                <w:szCs w:val="11"/>
                <w:color w:val="auto"/>
              </w:rPr>
            </w:pP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submission</w:t>
            </w:r>
          </w:p>
        </w:tc>
        <w:tc>
          <w:tcPr>
            <w:tcW w:w="61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submission.</w:t>
            </w:r>
          </w:p>
        </w:tc>
        <w:tc>
          <w:tcPr>
            <w:tcW w:w="0" w:type="dxa"/>
            <w:vAlign w:val="bottom"/>
          </w:tcPr>
          <w:p>
            <w:pPr>
              <w:spacing w:after="0"/>
              <w:rPr>
                <w:sz w:val="1"/>
                <w:szCs w:val="1"/>
                <w:color w:val="auto"/>
              </w:rPr>
            </w:pPr>
          </w:p>
        </w:tc>
      </w:tr>
      <w:tr>
        <w:trPr>
          <w:trHeight w:val="88"/>
        </w:trPr>
        <w:tc>
          <w:tcPr>
            <w:tcW w:w="1720" w:type="dxa"/>
            <w:vAlign w:val="bottom"/>
            <w:tcBorders>
              <w:left w:val="single" w:sz="8" w:color="auto"/>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560" w:type="dxa"/>
            <w:vAlign w:val="bottom"/>
            <w:tcBorders>
              <w:bottom w:val="single" w:sz="8" w:color="auto"/>
              <w:right w:val="single" w:sz="8" w:color="auto"/>
            </w:tcBorders>
            <w:vMerge w:val="continue"/>
          </w:tcPr>
          <w:p>
            <w:pPr>
              <w:spacing w:after="0"/>
              <w:rPr>
                <w:sz w:val="7"/>
                <w:szCs w:val="7"/>
                <w:color w:val="auto"/>
              </w:rPr>
            </w:pPr>
          </w:p>
        </w:tc>
        <w:tc>
          <w:tcPr>
            <w:tcW w:w="616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1720" w:type="dxa"/>
            <w:vAlign w:val="bottom"/>
            <w:tcBorders>
              <w:left w:val="single" w:sz="8" w:color="auto"/>
              <w:right w:val="single" w:sz="8" w:color="auto"/>
            </w:tcBorders>
          </w:tcPr>
          <w:p>
            <w:pPr>
              <w:ind w:left="40"/>
              <w:spacing w:after="0" w:line="189" w:lineRule="exact"/>
              <w:rPr>
                <w:sz w:val="20"/>
                <w:szCs w:val="20"/>
                <w:color w:val="auto"/>
              </w:rPr>
            </w:pPr>
            <w:r>
              <w:rPr>
                <w:rFonts w:ascii="Arial" w:cs="Arial" w:eastAsia="Arial" w:hAnsi="Arial"/>
                <w:sz w:val="18"/>
                <w:szCs w:val="18"/>
                <w:color w:val="auto"/>
              </w:rPr>
              <w:t>CXCR1/2 Ligands</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Hidradenitis</w:t>
            </w:r>
          </w:p>
        </w:tc>
        <w:tc>
          <w:tcPr>
            <w:tcW w:w="1560" w:type="dxa"/>
            <w:vAlign w:val="bottom"/>
            <w:tcBorders>
              <w:right w:val="single" w:sz="8" w:color="auto"/>
            </w:tcBorders>
          </w:tcPr>
          <w:p>
            <w:pPr>
              <w:spacing w:after="0"/>
              <w:rPr>
                <w:sz w:val="16"/>
                <w:szCs w:val="16"/>
                <w:color w:val="auto"/>
              </w:rPr>
            </w:pPr>
          </w:p>
        </w:tc>
        <w:tc>
          <w:tcPr>
            <w:tcW w:w="61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1720" w:type="dxa"/>
            <w:vAlign w:val="bottom"/>
            <w:tcBorders>
              <w:left w:val="single" w:sz="8" w:color="auto"/>
              <w:right w:val="single" w:sz="8" w:color="auto"/>
            </w:tcBorders>
            <w:vMerge w:val="restart"/>
          </w:tcPr>
          <w:p>
            <w:pPr>
              <w:ind w:left="40"/>
              <w:spacing w:after="0" w:line="176" w:lineRule="exact"/>
              <w:rPr>
                <w:sz w:val="20"/>
                <w:szCs w:val="20"/>
                <w:color w:val="auto"/>
              </w:rPr>
            </w:pPr>
            <w:r>
              <w:rPr>
                <w:rFonts w:ascii="Arial" w:cs="Arial" w:eastAsia="Arial" w:hAnsi="Arial"/>
                <w:sz w:val="18"/>
                <w:szCs w:val="18"/>
                <w:color w:val="auto"/>
              </w:rPr>
              <w:t>Monoclonal</w:t>
            </w:r>
          </w:p>
        </w:tc>
        <w:tc>
          <w:tcPr>
            <w:tcW w:w="1820" w:type="dxa"/>
            <w:vAlign w:val="bottom"/>
            <w:tcBorders>
              <w:right w:val="single" w:sz="8" w:color="auto"/>
            </w:tcBorders>
            <w:vMerge w:val="continue"/>
          </w:tcPr>
          <w:p>
            <w:pPr>
              <w:spacing w:after="0"/>
              <w:rPr>
                <w:sz w:val="7"/>
                <w:szCs w:val="7"/>
                <w:color w:val="auto"/>
              </w:rPr>
            </w:pPr>
          </w:p>
        </w:tc>
        <w:tc>
          <w:tcPr>
            <w:tcW w:w="1560" w:type="dxa"/>
            <w:vAlign w:val="bottom"/>
            <w:tcBorders>
              <w:right w:val="single" w:sz="8" w:color="auto"/>
            </w:tcBorders>
            <w:vMerge w:val="restart"/>
          </w:tcPr>
          <w:p>
            <w:pPr>
              <w:jc w:val="center"/>
              <w:spacing w:after="0" w:line="176" w:lineRule="exact"/>
              <w:rPr>
                <w:sz w:val="20"/>
                <w:szCs w:val="20"/>
                <w:color w:val="auto"/>
              </w:rPr>
            </w:pPr>
            <w:r>
              <w:rPr>
                <w:rFonts w:ascii="Arial" w:cs="Arial" w:eastAsia="Arial" w:hAnsi="Arial"/>
                <w:sz w:val="18"/>
                <w:szCs w:val="18"/>
                <w:color w:val="auto"/>
                <w:w w:val="99"/>
              </w:rPr>
              <w:t>Phase II</w:t>
            </w:r>
          </w:p>
        </w:tc>
        <w:tc>
          <w:tcPr>
            <w:tcW w:w="6160" w:type="dxa"/>
            <w:vAlign w:val="bottom"/>
            <w:tcBorders>
              <w:right w:val="single" w:sz="8" w:color="auto"/>
            </w:tcBorders>
            <w:vMerge w:val="restart"/>
          </w:tcPr>
          <w:p>
            <w:pPr>
              <w:spacing w:after="0" w:line="176" w:lineRule="exact"/>
              <w:rPr>
                <w:sz w:val="20"/>
                <w:szCs w:val="20"/>
                <w:color w:val="auto"/>
              </w:rPr>
            </w:pPr>
            <w:r>
              <w:rPr>
                <w:rFonts w:ascii="Arial" w:cs="Arial" w:eastAsia="Arial" w:hAnsi="Arial"/>
                <w:sz w:val="18"/>
                <w:szCs w:val="18"/>
                <w:color w:val="auto"/>
              </w:rPr>
              <w:t>Phase II trial is ongoing.</w:t>
            </w:r>
          </w:p>
        </w:tc>
        <w:tc>
          <w:tcPr>
            <w:tcW w:w="0" w:type="dxa"/>
            <w:vAlign w:val="bottom"/>
          </w:tcPr>
          <w:p>
            <w:pPr>
              <w:spacing w:after="0"/>
              <w:rPr>
                <w:sz w:val="1"/>
                <w:szCs w:val="1"/>
                <w:color w:val="auto"/>
              </w:rPr>
            </w:pPr>
          </w:p>
        </w:tc>
      </w:tr>
      <w:tr>
        <w:trPr>
          <w:trHeight w:val="95"/>
        </w:trPr>
        <w:tc>
          <w:tcPr>
            <w:tcW w:w="1720" w:type="dxa"/>
            <w:vAlign w:val="bottom"/>
            <w:tcBorders>
              <w:left w:val="single" w:sz="8" w:color="auto"/>
              <w:right w:val="single" w:sz="8" w:color="auto"/>
            </w:tcBorders>
            <w:vMerge w:val="continue"/>
          </w:tcPr>
          <w:p>
            <w:pPr>
              <w:spacing w:after="0"/>
              <w:rPr>
                <w:sz w:val="8"/>
                <w:szCs w:val="8"/>
                <w:color w:val="auto"/>
              </w:rPr>
            </w:pP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suppurativa</w:t>
            </w:r>
          </w:p>
        </w:tc>
        <w:tc>
          <w:tcPr>
            <w:tcW w:w="1560" w:type="dxa"/>
            <w:vAlign w:val="bottom"/>
            <w:tcBorders>
              <w:right w:val="single" w:sz="8" w:color="auto"/>
            </w:tcBorders>
            <w:vMerge w:val="continue"/>
          </w:tcPr>
          <w:p>
            <w:pPr>
              <w:spacing w:after="0"/>
              <w:rPr>
                <w:sz w:val="8"/>
                <w:szCs w:val="8"/>
                <w:color w:val="auto"/>
              </w:rPr>
            </w:pPr>
          </w:p>
        </w:tc>
        <w:tc>
          <w:tcPr>
            <w:tcW w:w="61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7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Antibody</w:t>
            </w:r>
          </w:p>
        </w:tc>
        <w:tc>
          <w:tcPr>
            <w:tcW w:w="182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tcPr>
          <w:p>
            <w:pPr>
              <w:spacing w:after="0"/>
              <w:rPr>
                <w:sz w:val="10"/>
                <w:szCs w:val="10"/>
                <w:color w:val="auto"/>
              </w:rPr>
            </w:pPr>
          </w:p>
        </w:tc>
        <w:tc>
          <w:tcPr>
            <w:tcW w:w="61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72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1820" w:type="dxa"/>
            <w:vAlign w:val="bottom"/>
            <w:tcBorders>
              <w:bottom w:val="single" w:sz="8" w:color="auto"/>
              <w:right w:val="single" w:sz="8" w:color="auto"/>
            </w:tcBorders>
          </w:tcPr>
          <w:p>
            <w:pPr>
              <w:spacing w:after="0"/>
              <w:rPr>
                <w:sz w:val="8"/>
                <w:szCs w:val="8"/>
                <w:color w:val="auto"/>
              </w:rPr>
            </w:pPr>
          </w:p>
        </w:tc>
        <w:tc>
          <w:tcPr>
            <w:tcW w:w="1560" w:type="dxa"/>
            <w:vAlign w:val="bottom"/>
            <w:tcBorders>
              <w:bottom w:val="single" w:sz="8" w:color="auto"/>
              <w:right w:val="single" w:sz="8" w:color="auto"/>
            </w:tcBorders>
          </w:tcPr>
          <w:p>
            <w:pPr>
              <w:spacing w:after="0"/>
              <w:rPr>
                <w:sz w:val="8"/>
                <w:szCs w:val="8"/>
                <w:color w:val="auto"/>
              </w:rPr>
            </w:pPr>
          </w:p>
        </w:tc>
        <w:tc>
          <w:tcPr>
            <w:tcW w:w="61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1720" w:type="dxa"/>
            <w:vAlign w:val="bottom"/>
            <w:tcBorders>
              <w:left w:val="single" w:sz="8" w:color="auto"/>
              <w:right w:val="single" w:sz="8" w:color="auto"/>
            </w:tcBorders>
          </w:tcPr>
          <w:p>
            <w:pPr>
              <w:spacing w:after="0"/>
              <w:rPr>
                <w:sz w:val="15"/>
                <w:szCs w:val="15"/>
                <w:color w:val="auto"/>
              </w:rPr>
            </w:pPr>
          </w:p>
        </w:tc>
        <w:tc>
          <w:tcPr>
            <w:tcW w:w="182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Systemic lupus</w:t>
            </w:r>
          </w:p>
        </w:tc>
        <w:tc>
          <w:tcPr>
            <w:tcW w:w="1560" w:type="dxa"/>
            <w:vAlign w:val="bottom"/>
            <w:tcBorders>
              <w:right w:val="single" w:sz="8" w:color="auto"/>
            </w:tcBorders>
          </w:tcPr>
          <w:p>
            <w:pPr>
              <w:spacing w:after="0"/>
              <w:rPr>
                <w:sz w:val="15"/>
                <w:szCs w:val="15"/>
                <w:color w:val="auto"/>
              </w:rPr>
            </w:pPr>
          </w:p>
        </w:tc>
        <w:tc>
          <w:tcPr>
            <w:tcW w:w="61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Phase II trial is ongoing.</w:t>
            </w:r>
          </w:p>
        </w:tc>
        <w:tc>
          <w:tcPr>
            <w:tcW w:w="0" w:type="dxa"/>
            <w:vAlign w:val="bottom"/>
          </w:tcPr>
          <w:p>
            <w:pPr>
              <w:spacing w:after="0"/>
              <w:rPr>
                <w:sz w:val="1"/>
                <w:szCs w:val="1"/>
                <w:color w:val="auto"/>
              </w:rPr>
            </w:pPr>
          </w:p>
        </w:tc>
      </w:tr>
      <w:tr>
        <w:trPr>
          <w:trHeight w:val="136"/>
        </w:trPr>
        <w:tc>
          <w:tcPr>
            <w:tcW w:w="17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IL-2 Conjugate</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erythematosus</w:t>
            </w: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Phase II</w:t>
            </w:r>
          </w:p>
        </w:tc>
        <w:tc>
          <w:tcPr>
            <w:tcW w:w="61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720" w:type="dxa"/>
            <w:vAlign w:val="bottom"/>
            <w:tcBorders>
              <w:left w:val="single" w:sz="8" w:color="auto"/>
              <w:right w:val="single" w:sz="8" w:color="auto"/>
            </w:tcBorders>
            <w:vMerge w:val="continue"/>
          </w:tcPr>
          <w:p>
            <w:pPr>
              <w:spacing w:after="0"/>
              <w:rPr>
                <w:sz w:val="8"/>
                <w:szCs w:val="8"/>
                <w:color w:val="auto"/>
              </w:rPr>
            </w:pPr>
          </w:p>
        </w:tc>
        <w:tc>
          <w:tcPr>
            <w:tcW w:w="1820" w:type="dxa"/>
            <w:vAlign w:val="bottom"/>
            <w:tcBorders>
              <w:bottom w:val="single" w:sz="8" w:color="auto"/>
              <w:right w:val="single" w:sz="8" w:color="auto"/>
            </w:tcBorders>
            <w:vMerge w:val="continue"/>
          </w:tcPr>
          <w:p>
            <w:pPr>
              <w:spacing w:after="0"/>
              <w:rPr>
                <w:sz w:val="8"/>
                <w:szCs w:val="8"/>
                <w:color w:val="auto"/>
              </w:rPr>
            </w:pPr>
          </w:p>
        </w:tc>
        <w:tc>
          <w:tcPr>
            <w:tcW w:w="1560" w:type="dxa"/>
            <w:vAlign w:val="bottom"/>
            <w:tcBorders>
              <w:right w:val="single" w:sz="8" w:color="auto"/>
            </w:tcBorders>
            <w:vMerge w:val="continue"/>
          </w:tcPr>
          <w:p>
            <w:pPr>
              <w:spacing w:after="0"/>
              <w:rPr>
                <w:sz w:val="8"/>
                <w:szCs w:val="8"/>
                <w:color w:val="auto"/>
              </w:rPr>
            </w:pPr>
          </w:p>
        </w:tc>
        <w:tc>
          <w:tcPr>
            <w:tcW w:w="61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1720" w:type="dxa"/>
            <w:vAlign w:val="bottom"/>
            <w:tcBorders>
              <w:left w:val="single" w:sz="8" w:color="auto"/>
              <w:right w:val="single" w:sz="8" w:color="auto"/>
            </w:tcBorders>
          </w:tcPr>
          <w:p>
            <w:pPr>
              <w:spacing w:after="0"/>
              <w:rPr>
                <w:sz w:val="21"/>
                <w:szCs w:val="21"/>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Ulcerative colitis</w:t>
            </w:r>
          </w:p>
        </w:tc>
        <w:tc>
          <w:tcPr>
            <w:tcW w:w="1560" w:type="dxa"/>
            <w:vAlign w:val="bottom"/>
            <w:tcBorders>
              <w:right w:val="single" w:sz="8" w:color="auto"/>
            </w:tcBorders>
          </w:tcPr>
          <w:p>
            <w:pPr>
              <w:spacing w:after="0"/>
              <w:rPr>
                <w:sz w:val="21"/>
                <w:szCs w:val="21"/>
                <w:color w:val="auto"/>
              </w:rPr>
            </w:pPr>
          </w:p>
        </w:tc>
        <w:tc>
          <w:tcPr>
            <w:tcW w:w="6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Phase II trial initiated in the second quarter of 2021.</w:t>
            </w:r>
          </w:p>
        </w:tc>
        <w:tc>
          <w:tcPr>
            <w:tcW w:w="0" w:type="dxa"/>
            <w:vAlign w:val="bottom"/>
          </w:tcPr>
          <w:p>
            <w:pPr>
              <w:spacing w:after="0"/>
              <w:rPr>
                <w:sz w:val="1"/>
                <w:szCs w:val="1"/>
                <w:color w:val="auto"/>
              </w:rPr>
            </w:pPr>
          </w:p>
        </w:tc>
      </w:tr>
      <w:tr>
        <w:trPr>
          <w:trHeight w:val="40"/>
        </w:trPr>
        <w:tc>
          <w:tcPr>
            <w:tcW w:w="1720" w:type="dxa"/>
            <w:vAlign w:val="bottom"/>
            <w:tcBorders>
              <w:left w:val="single" w:sz="8" w:color="auto"/>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560" w:type="dxa"/>
            <w:vAlign w:val="bottom"/>
            <w:tcBorders>
              <w:bottom w:val="single" w:sz="8" w:color="auto"/>
              <w:right w:val="single" w:sz="8" w:color="auto"/>
            </w:tcBorders>
          </w:tcPr>
          <w:p>
            <w:pPr>
              <w:spacing w:after="0"/>
              <w:rPr>
                <w:sz w:val="3"/>
                <w:szCs w:val="3"/>
                <w:color w:val="auto"/>
              </w:rPr>
            </w:pPr>
          </w:p>
        </w:tc>
        <w:tc>
          <w:tcPr>
            <w:tcW w:w="61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PD-1 MAB Agonist</w:t>
            </w:r>
          </w:p>
        </w:tc>
        <w:tc>
          <w:tcPr>
            <w:tcW w:w="1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Rheumatoid arthritis</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Phase II</w:t>
            </w:r>
          </w:p>
        </w:tc>
        <w:tc>
          <w:tcPr>
            <w:tcW w:w="6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II trial initiated in the first quarter of 2021.</w:t>
            </w:r>
          </w:p>
        </w:tc>
        <w:tc>
          <w:tcPr>
            <w:tcW w:w="0" w:type="dxa"/>
            <w:vAlign w:val="bottom"/>
          </w:tcPr>
          <w:p>
            <w:pPr>
              <w:spacing w:after="0"/>
              <w:rPr>
                <w:sz w:val="1"/>
                <w:szCs w:val="1"/>
                <w:color w:val="auto"/>
              </w:rPr>
            </w:pPr>
          </w:p>
        </w:tc>
      </w:tr>
      <w:tr>
        <w:trPr>
          <w:trHeight w:val="223"/>
        </w:trPr>
        <w:tc>
          <w:tcPr>
            <w:tcW w:w="17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Neuroscience</w:t>
            </w:r>
          </w:p>
        </w:tc>
        <w:tc>
          <w:tcPr>
            <w:tcW w:w="18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61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30"/>
        </w:trPr>
        <w:tc>
          <w:tcPr>
            <w:tcW w:w="1720" w:type="dxa"/>
            <w:vAlign w:val="bottom"/>
            <w:tcBorders>
              <w:left w:val="single" w:sz="8" w:color="auto"/>
              <w:right w:val="single" w:sz="8" w:color="auto"/>
            </w:tcBorders>
          </w:tcPr>
          <w:p>
            <w:pPr>
              <w:spacing w:after="0"/>
              <w:rPr>
                <w:sz w:val="24"/>
                <w:szCs w:val="24"/>
                <w:color w:val="auto"/>
              </w:rPr>
            </w:pPr>
          </w:p>
        </w:tc>
        <w:tc>
          <w:tcPr>
            <w:tcW w:w="1820" w:type="dxa"/>
            <w:vAlign w:val="bottom"/>
            <w:tcBorders>
              <w:right w:val="single" w:sz="8" w:color="auto"/>
            </w:tcBorders>
          </w:tcPr>
          <w:p>
            <w:pPr>
              <w:spacing w:after="0"/>
              <w:rPr>
                <w:sz w:val="24"/>
                <w:szCs w:val="24"/>
                <w:color w:val="auto"/>
              </w:rPr>
            </w:pPr>
          </w:p>
        </w:tc>
        <w:tc>
          <w:tcPr>
            <w:tcW w:w="1560" w:type="dxa"/>
            <w:vAlign w:val="bottom"/>
            <w:tcBorders>
              <w:right w:val="single" w:sz="8" w:color="auto"/>
            </w:tcBorders>
          </w:tcPr>
          <w:p>
            <w:pPr>
              <w:spacing w:after="0"/>
              <w:rPr>
                <w:sz w:val="24"/>
                <w:szCs w:val="24"/>
                <w:color w:val="auto"/>
              </w:rPr>
            </w:pPr>
          </w:p>
        </w:tc>
        <w:tc>
          <w:tcPr>
            <w:tcW w:w="6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 the first quarter of 2021 an Advisory Committee to the FDA concluded that</w:t>
            </w:r>
          </w:p>
        </w:tc>
        <w:tc>
          <w:tcPr>
            <w:tcW w:w="0" w:type="dxa"/>
            <w:vAlign w:val="bottom"/>
          </w:tcPr>
          <w:p>
            <w:pPr>
              <w:spacing w:after="0"/>
              <w:rPr>
                <w:sz w:val="1"/>
                <w:szCs w:val="1"/>
                <w:color w:val="auto"/>
              </w:rPr>
            </w:pPr>
          </w:p>
        </w:tc>
      </w:tr>
      <w:tr>
        <w:trPr>
          <w:trHeight w:val="175"/>
        </w:trPr>
        <w:tc>
          <w:tcPr>
            <w:tcW w:w="1720" w:type="dxa"/>
            <w:vAlign w:val="bottom"/>
            <w:tcBorders>
              <w:left w:val="single" w:sz="8" w:color="auto"/>
              <w:right w:val="single" w:sz="8" w:color="auto"/>
            </w:tcBorders>
          </w:tcPr>
          <w:p>
            <w:pPr>
              <w:spacing w:after="0"/>
              <w:rPr>
                <w:sz w:val="15"/>
                <w:szCs w:val="15"/>
                <w:color w:val="auto"/>
              </w:rPr>
            </w:pP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Osteoarthritis pain</w:t>
            </w: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Submitted</w:t>
            </w:r>
          </w:p>
        </w:tc>
        <w:tc>
          <w:tcPr>
            <w:tcW w:w="616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the proposed risk evaluation and mitigation strategy will not ensure that the</w:t>
            </w:r>
          </w:p>
        </w:tc>
        <w:tc>
          <w:tcPr>
            <w:tcW w:w="0" w:type="dxa"/>
            <w:vAlign w:val="bottom"/>
          </w:tcPr>
          <w:p>
            <w:pPr>
              <w:spacing w:after="0"/>
              <w:rPr>
                <w:sz w:val="1"/>
                <w:szCs w:val="1"/>
                <w:color w:val="auto"/>
              </w:rPr>
            </w:pPr>
          </w:p>
        </w:tc>
      </w:tr>
      <w:tr>
        <w:trPr>
          <w:trHeight w:val="122"/>
        </w:trPr>
        <w:tc>
          <w:tcPr>
            <w:tcW w:w="17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Tanezumab</w:t>
            </w:r>
            <w:r>
              <w:rPr>
                <w:rFonts w:ascii="Arial" w:cs="Arial" w:eastAsia="Arial" w:hAnsi="Arial"/>
                <w:sz w:val="23"/>
                <w:szCs w:val="23"/>
                <w:color w:val="auto"/>
                <w:vertAlign w:val="superscript"/>
              </w:rPr>
              <w:t>(5)</w:t>
            </w:r>
          </w:p>
        </w:tc>
        <w:tc>
          <w:tcPr>
            <w:tcW w:w="182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6160" w:type="dxa"/>
            <w:vAlign w:val="bottom"/>
            <w:tcBorders>
              <w:right w:val="single" w:sz="8" w:color="auto"/>
            </w:tcBorders>
            <w:vMerge w:val="restart"/>
          </w:tcPr>
          <w:p>
            <w:pPr>
              <w:spacing w:after="0" w:line="176" w:lineRule="exact"/>
              <w:rPr>
                <w:sz w:val="20"/>
                <w:szCs w:val="20"/>
                <w:color w:val="auto"/>
              </w:rPr>
            </w:pPr>
            <w:r>
              <w:rPr>
                <w:rFonts w:ascii="Arial" w:cs="Arial" w:eastAsia="Arial" w:hAnsi="Arial"/>
                <w:sz w:val="18"/>
                <w:szCs w:val="18"/>
                <w:color w:val="auto"/>
              </w:rPr>
              <w:t>benefits outweigh the risks. In collaboration with Pfizer, we plan to continue</w:t>
            </w:r>
          </w:p>
        </w:tc>
        <w:tc>
          <w:tcPr>
            <w:tcW w:w="0" w:type="dxa"/>
            <w:vAlign w:val="bottom"/>
          </w:tcPr>
          <w:p>
            <w:pPr>
              <w:spacing w:after="0"/>
              <w:rPr>
                <w:sz w:val="1"/>
                <w:szCs w:val="1"/>
                <w:color w:val="auto"/>
              </w:rPr>
            </w:pPr>
          </w:p>
        </w:tc>
      </w:tr>
      <w:tr>
        <w:trPr>
          <w:trHeight w:val="53"/>
        </w:trPr>
        <w:tc>
          <w:tcPr>
            <w:tcW w:w="1720" w:type="dxa"/>
            <w:vAlign w:val="bottom"/>
            <w:tcBorders>
              <w:left w:val="single" w:sz="8" w:color="auto"/>
              <w:right w:val="single" w:sz="8" w:color="auto"/>
            </w:tcBorders>
            <w:vMerge w:val="continue"/>
          </w:tcPr>
          <w:p>
            <w:pPr>
              <w:spacing w:after="0"/>
              <w:rPr>
                <w:sz w:val="4"/>
                <w:szCs w:val="4"/>
                <w:color w:val="auto"/>
              </w:rPr>
            </w:pPr>
          </w:p>
        </w:tc>
        <w:tc>
          <w:tcPr>
            <w:tcW w:w="1820" w:type="dxa"/>
            <w:vAlign w:val="bottom"/>
            <w:tcBorders>
              <w:right w:val="single" w:sz="8" w:color="auto"/>
            </w:tcBorders>
          </w:tcPr>
          <w:p>
            <w:pPr>
              <w:spacing w:after="0"/>
              <w:rPr>
                <w:sz w:val="4"/>
                <w:szCs w:val="4"/>
                <w:color w:val="auto"/>
              </w:rPr>
            </w:pPr>
          </w:p>
        </w:tc>
        <w:tc>
          <w:tcPr>
            <w:tcW w:w="1560" w:type="dxa"/>
            <w:vAlign w:val="bottom"/>
            <w:tcBorders>
              <w:right w:val="single" w:sz="8" w:color="auto"/>
            </w:tcBorders>
          </w:tcPr>
          <w:p>
            <w:pPr>
              <w:spacing w:after="0"/>
              <w:rPr>
                <w:sz w:val="4"/>
                <w:szCs w:val="4"/>
                <w:color w:val="auto"/>
              </w:rPr>
            </w:pPr>
          </w:p>
        </w:tc>
        <w:tc>
          <w:tcPr>
            <w:tcW w:w="616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720" w:type="dxa"/>
            <w:vAlign w:val="bottom"/>
            <w:tcBorders>
              <w:left w:val="single" w:sz="8" w:color="auto"/>
              <w:right w:val="single" w:sz="8" w:color="auto"/>
            </w:tcBorders>
            <w:vMerge w:val="continue"/>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c>
          <w:tcPr>
            <w:tcW w:w="6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to work with the FDA as it continues to review the submission.</w:t>
            </w:r>
          </w:p>
        </w:tc>
        <w:tc>
          <w:tcPr>
            <w:tcW w:w="0" w:type="dxa"/>
            <w:vAlign w:val="bottom"/>
          </w:tcPr>
          <w:p>
            <w:pPr>
              <w:spacing w:after="0"/>
              <w:rPr>
                <w:sz w:val="1"/>
                <w:szCs w:val="1"/>
                <w:color w:val="auto"/>
              </w:rPr>
            </w:pPr>
          </w:p>
        </w:tc>
      </w:tr>
      <w:tr>
        <w:trPr>
          <w:trHeight w:val="131"/>
        </w:trPr>
        <w:tc>
          <w:tcPr>
            <w:tcW w:w="1720" w:type="dxa"/>
            <w:vAlign w:val="bottom"/>
            <w:tcBorders>
              <w:left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c>
          <w:tcPr>
            <w:tcW w:w="1560" w:type="dxa"/>
            <w:vAlign w:val="bottom"/>
            <w:tcBorders>
              <w:bottom w:val="single" w:sz="8" w:color="auto"/>
              <w:right w:val="single" w:sz="8" w:color="auto"/>
            </w:tcBorders>
          </w:tcPr>
          <w:p>
            <w:pPr>
              <w:spacing w:after="0"/>
              <w:rPr>
                <w:sz w:val="11"/>
                <w:szCs w:val="11"/>
                <w:color w:val="auto"/>
              </w:rPr>
            </w:pPr>
          </w:p>
        </w:tc>
        <w:tc>
          <w:tcPr>
            <w:tcW w:w="61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720" w:type="dxa"/>
            <w:vAlign w:val="bottom"/>
            <w:tcBorders>
              <w:left w:val="single" w:sz="8" w:color="auto"/>
              <w:right w:val="single" w:sz="8" w:color="auto"/>
            </w:tcBorders>
          </w:tcPr>
          <w:p>
            <w:pPr>
              <w:spacing w:after="0"/>
              <w:rPr>
                <w:sz w:val="15"/>
                <w:szCs w:val="15"/>
                <w:color w:val="auto"/>
              </w:rPr>
            </w:pP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Cancer pain</w:t>
            </w: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Phase III</w:t>
            </w:r>
          </w:p>
        </w:tc>
        <w:tc>
          <w:tcPr>
            <w:tcW w:w="616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In collaboration with Pfizer, announced in July 2021 that a Phase III trial met</w:t>
            </w:r>
          </w:p>
        </w:tc>
        <w:tc>
          <w:tcPr>
            <w:tcW w:w="0" w:type="dxa"/>
            <w:vAlign w:val="bottom"/>
          </w:tcPr>
          <w:p>
            <w:pPr>
              <w:spacing w:after="0"/>
              <w:rPr>
                <w:sz w:val="1"/>
                <w:szCs w:val="1"/>
                <w:color w:val="auto"/>
              </w:rPr>
            </w:pPr>
          </w:p>
        </w:tc>
      </w:tr>
      <w:tr>
        <w:trPr>
          <w:trHeight w:val="136"/>
        </w:trPr>
        <w:tc>
          <w:tcPr>
            <w:tcW w:w="1720" w:type="dxa"/>
            <w:vAlign w:val="bottom"/>
            <w:tcBorders>
              <w:left w:val="single" w:sz="8" w:color="auto"/>
              <w:right w:val="single" w:sz="8" w:color="auto"/>
            </w:tcBorders>
          </w:tcPr>
          <w:p>
            <w:pPr>
              <w:spacing w:after="0"/>
              <w:rPr>
                <w:sz w:val="11"/>
                <w:szCs w:val="11"/>
                <w:color w:val="auto"/>
              </w:rPr>
            </w:pPr>
          </w:p>
        </w:tc>
        <w:tc>
          <w:tcPr>
            <w:tcW w:w="1820" w:type="dxa"/>
            <w:vAlign w:val="bottom"/>
            <w:tcBorders>
              <w:right w:val="single" w:sz="8" w:color="auto"/>
            </w:tcBorders>
            <w:vMerge w:val="continue"/>
          </w:tcPr>
          <w:p>
            <w:pPr>
              <w:spacing w:after="0"/>
              <w:rPr>
                <w:sz w:val="11"/>
                <w:szCs w:val="11"/>
                <w:color w:val="auto"/>
              </w:rPr>
            </w:pPr>
          </w:p>
        </w:tc>
        <w:tc>
          <w:tcPr>
            <w:tcW w:w="1560" w:type="dxa"/>
            <w:vAlign w:val="bottom"/>
            <w:tcBorders>
              <w:right w:val="single" w:sz="8" w:color="auto"/>
            </w:tcBorders>
            <w:vMerge w:val="continue"/>
          </w:tcPr>
          <w:p>
            <w:pPr>
              <w:spacing w:after="0"/>
              <w:rPr>
                <w:sz w:val="11"/>
                <w:szCs w:val="11"/>
                <w:color w:val="auto"/>
              </w:rPr>
            </w:pPr>
          </w:p>
        </w:tc>
        <w:tc>
          <w:tcPr>
            <w:tcW w:w="61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the primary endpoint.</w:t>
            </w:r>
          </w:p>
        </w:tc>
        <w:tc>
          <w:tcPr>
            <w:tcW w:w="0" w:type="dxa"/>
            <w:vAlign w:val="bottom"/>
          </w:tcPr>
          <w:p>
            <w:pPr>
              <w:spacing w:after="0"/>
              <w:rPr>
                <w:sz w:val="1"/>
                <w:szCs w:val="1"/>
                <w:color w:val="auto"/>
              </w:rPr>
            </w:pPr>
          </w:p>
        </w:tc>
      </w:tr>
      <w:tr>
        <w:trPr>
          <w:trHeight w:val="88"/>
        </w:trPr>
        <w:tc>
          <w:tcPr>
            <w:tcW w:w="1720" w:type="dxa"/>
            <w:vAlign w:val="bottom"/>
            <w:tcBorders>
              <w:left w:val="single" w:sz="8" w:color="auto"/>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560" w:type="dxa"/>
            <w:vAlign w:val="bottom"/>
            <w:tcBorders>
              <w:bottom w:val="single" w:sz="8" w:color="auto"/>
              <w:right w:val="single" w:sz="8" w:color="auto"/>
            </w:tcBorders>
          </w:tcPr>
          <w:p>
            <w:pPr>
              <w:spacing w:after="0"/>
              <w:rPr>
                <w:sz w:val="7"/>
                <w:szCs w:val="7"/>
                <w:color w:val="auto"/>
              </w:rPr>
            </w:pPr>
          </w:p>
        </w:tc>
        <w:tc>
          <w:tcPr>
            <w:tcW w:w="616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1720" w:type="dxa"/>
            <w:vAlign w:val="bottom"/>
            <w:tcBorders>
              <w:left w:val="single" w:sz="8" w:color="auto"/>
              <w:right w:val="single" w:sz="8" w:color="auto"/>
            </w:tcBorders>
          </w:tcPr>
          <w:p>
            <w:pPr>
              <w:spacing w:after="0"/>
              <w:rPr>
                <w:sz w:val="16"/>
                <w:szCs w:val="16"/>
                <w:color w:val="auto"/>
              </w:rPr>
            </w:pPr>
          </w:p>
        </w:tc>
        <w:tc>
          <w:tcPr>
            <w:tcW w:w="182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6160" w:type="dxa"/>
            <w:vAlign w:val="bottom"/>
            <w:tcBorders>
              <w:right w:val="single" w:sz="8" w:color="auto"/>
            </w:tcBorders>
          </w:tcPr>
          <w:p>
            <w:pPr>
              <w:spacing w:after="0" w:line="189" w:lineRule="exact"/>
              <w:rPr>
                <w:sz w:val="20"/>
                <w:szCs w:val="20"/>
                <w:color w:val="auto"/>
              </w:rPr>
            </w:pPr>
            <w:r>
              <w:rPr>
                <w:rFonts w:ascii="Arial" w:cs="Arial" w:eastAsia="Arial" w:hAnsi="Arial"/>
                <w:sz w:val="18"/>
                <w:szCs w:val="18"/>
                <w:color w:val="auto"/>
              </w:rPr>
              <w:t>Announced in the first quarter of 2021 that a Phase II trial met the primary</w:t>
            </w:r>
          </w:p>
        </w:tc>
        <w:tc>
          <w:tcPr>
            <w:tcW w:w="0" w:type="dxa"/>
            <w:vAlign w:val="bottom"/>
          </w:tcPr>
          <w:p>
            <w:pPr>
              <w:spacing w:after="0"/>
              <w:rPr>
                <w:sz w:val="1"/>
                <w:szCs w:val="1"/>
                <w:color w:val="auto"/>
              </w:rPr>
            </w:pPr>
          </w:p>
        </w:tc>
      </w:tr>
      <w:tr>
        <w:trPr>
          <w:trHeight w:val="165"/>
        </w:trPr>
        <w:tc>
          <w:tcPr>
            <w:tcW w:w="1720" w:type="dxa"/>
            <w:vAlign w:val="bottom"/>
            <w:tcBorders>
              <w:left w:val="single" w:sz="8" w:color="auto"/>
              <w:right w:val="single" w:sz="8" w:color="auto"/>
            </w:tcBorders>
          </w:tcPr>
          <w:p>
            <w:pPr>
              <w:spacing w:after="0"/>
              <w:rPr>
                <w:sz w:val="14"/>
                <w:szCs w:val="14"/>
                <w:color w:val="auto"/>
              </w:rPr>
            </w:pP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Early Alzheimer’s</w:t>
            </w:r>
          </w:p>
        </w:tc>
        <w:tc>
          <w:tcPr>
            <w:tcW w:w="1560" w:type="dxa"/>
            <w:vAlign w:val="bottom"/>
            <w:tcBorders>
              <w:right w:val="single" w:sz="8" w:color="auto"/>
            </w:tcBorders>
          </w:tcPr>
          <w:p>
            <w:pPr>
              <w:spacing w:after="0"/>
              <w:rPr>
                <w:sz w:val="14"/>
                <w:szCs w:val="14"/>
                <w:color w:val="auto"/>
              </w:rPr>
            </w:pPr>
          </w:p>
        </w:tc>
        <w:tc>
          <w:tcPr>
            <w:tcW w:w="6160" w:type="dxa"/>
            <w:vAlign w:val="bottom"/>
            <w:tcBorders>
              <w:right w:val="single" w:sz="8" w:color="auto"/>
            </w:tcBorders>
          </w:tcPr>
          <w:p>
            <w:pPr>
              <w:spacing w:after="0" w:line="165" w:lineRule="exact"/>
              <w:rPr>
                <w:sz w:val="20"/>
                <w:szCs w:val="20"/>
                <w:color w:val="auto"/>
              </w:rPr>
            </w:pPr>
            <w:r>
              <w:rPr>
                <w:rFonts w:ascii="Arial" w:cs="Arial" w:eastAsia="Arial" w:hAnsi="Arial"/>
                <w:sz w:val="18"/>
                <w:szCs w:val="18"/>
                <w:color w:val="auto"/>
              </w:rPr>
              <w:t>endpoint and that we expanded a Phase II trial to become a Phase III trial.</w:t>
            </w:r>
          </w:p>
        </w:tc>
        <w:tc>
          <w:tcPr>
            <w:tcW w:w="0" w:type="dxa"/>
            <w:vAlign w:val="bottom"/>
          </w:tcPr>
          <w:p>
            <w:pPr>
              <w:spacing w:after="0"/>
              <w:rPr>
                <w:sz w:val="1"/>
                <w:szCs w:val="1"/>
                <w:color w:val="auto"/>
              </w:rPr>
            </w:pPr>
          </w:p>
        </w:tc>
      </w:tr>
      <w:tr>
        <w:trPr>
          <w:trHeight w:val="173"/>
        </w:trPr>
        <w:tc>
          <w:tcPr>
            <w:tcW w:w="1720" w:type="dxa"/>
            <w:vAlign w:val="bottom"/>
            <w:tcBorders>
              <w:left w:val="single" w:sz="8" w:color="auto"/>
              <w:right w:val="single" w:sz="8" w:color="auto"/>
            </w:tcBorders>
          </w:tcPr>
          <w:p>
            <w:pPr>
              <w:ind w:left="40"/>
              <w:spacing w:after="0" w:line="173" w:lineRule="exact"/>
              <w:rPr>
                <w:sz w:val="20"/>
                <w:szCs w:val="20"/>
                <w:color w:val="auto"/>
              </w:rPr>
            </w:pPr>
            <w:r>
              <w:rPr>
                <w:rFonts w:ascii="Arial" w:cs="Arial" w:eastAsia="Arial" w:hAnsi="Arial"/>
                <w:sz w:val="18"/>
                <w:szCs w:val="18"/>
                <w:color w:val="auto"/>
              </w:rPr>
              <w:t>Donanemab</w:t>
            </w:r>
          </w:p>
        </w:tc>
        <w:tc>
          <w:tcPr>
            <w:tcW w:w="1820" w:type="dxa"/>
            <w:vAlign w:val="bottom"/>
            <w:tcBorders>
              <w:right w:val="single" w:sz="8" w:color="auto"/>
            </w:tcBorders>
            <w:vMerge w:val="continue"/>
          </w:tcPr>
          <w:p>
            <w:pPr>
              <w:spacing w:after="0"/>
              <w:rPr>
                <w:sz w:val="15"/>
                <w:szCs w:val="15"/>
                <w:color w:val="auto"/>
              </w:rPr>
            </w:pPr>
          </w:p>
        </w:tc>
        <w:tc>
          <w:tcPr>
            <w:tcW w:w="1560" w:type="dxa"/>
            <w:vAlign w:val="bottom"/>
            <w:tcBorders>
              <w:right w:val="single" w:sz="8" w:color="auto"/>
            </w:tcBorders>
          </w:tcPr>
          <w:p>
            <w:pPr>
              <w:jc w:val="center"/>
              <w:spacing w:after="0" w:line="173" w:lineRule="exact"/>
              <w:rPr>
                <w:sz w:val="20"/>
                <w:szCs w:val="20"/>
                <w:color w:val="auto"/>
              </w:rPr>
            </w:pPr>
            <w:r>
              <w:rPr>
                <w:rFonts w:ascii="Arial" w:cs="Arial" w:eastAsia="Arial" w:hAnsi="Arial"/>
                <w:sz w:val="18"/>
                <w:szCs w:val="18"/>
                <w:color w:val="auto"/>
                <w:w w:val="98"/>
              </w:rPr>
              <w:t>Phase III</w:t>
            </w:r>
          </w:p>
        </w:tc>
        <w:tc>
          <w:tcPr>
            <w:tcW w:w="6160" w:type="dxa"/>
            <w:vAlign w:val="bottom"/>
            <w:tcBorders>
              <w:right w:val="single" w:sz="8" w:color="auto"/>
            </w:tcBorders>
          </w:tcPr>
          <w:p>
            <w:pPr>
              <w:spacing w:after="0" w:line="173" w:lineRule="exact"/>
              <w:rPr>
                <w:sz w:val="20"/>
                <w:szCs w:val="20"/>
                <w:color w:val="auto"/>
              </w:rPr>
            </w:pPr>
            <w:r>
              <w:rPr>
                <w:rFonts w:ascii="Arial" w:cs="Arial" w:eastAsia="Arial" w:hAnsi="Arial"/>
                <w:sz w:val="16"/>
                <w:szCs w:val="16"/>
                <w:color w:val="auto"/>
              </w:rPr>
              <w:t>Granted FDA Breakthrough Therapy designation</w:t>
            </w:r>
            <w:r>
              <w:rPr>
                <w:rFonts w:ascii="Arial" w:cs="Arial" w:eastAsia="Arial" w:hAnsi="Arial"/>
                <w:sz w:val="20"/>
                <w:szCs w:val="20"/>
                <w:color w:val="auto"/>
                <w:vertAlign w:val="superscript"/>
              </w:rPr>
              <w:t>(6)</w:t>
            </w:r>
            <w:r>
              <w:rPr>
                <w:rFonts w:ascii="Arial" w:cs="Arial" w:eastAsia="Arial" w:hAnsi="Arial"/>
                <w:sz w:val="16"/>
                <w:szCs w:val="16"/>
                <w:color w:val="auto"/>
              </w:rPr>
              <w:t xml:space="preserve"> in the second quarter of</w:t>
            </w:r>
          </w:p>
        </w:tc>
        <w:tc>
          <w:tcPr>
            <w:tcW w:w="0" w:type="dxa"/>
            <w:vAlign w:val="bottom"/>
          </w:tcPr>
          <w:p>
            <w:pPr>
              <w:spacing w:after="0"/>
              <w:rPr>
                <w:sz w:val="1"/>
                <w:szCs w:val="1"/>
                <w:color w:val="auto"/>
              </w:rPr>
            </w:pPr>
          </w:p>
        </w:tc>
      </w:tr>
      <w:tr>
        <w:trPr>
          <w:trHeight w:val="188"/>
        </w:trPr>
        <w:tc>
          <w:tcPr>
            <w:tcW w:w="1720" w:type="dxa"/>
            <w:vAlign w:val="bottom"/>
            <w:tcBorders>
              <w:left w:val="single" w:sz="8" w:color="auto"/>
              <w:right w:val="single" w:sz="8" w:color="auto"/>
            </w:tcBorders>
          </w:tcPr>
          <w:p>
            <w:pPr>
              <w:spacing w:after="0"/>
              <w:rPr>
                <w:sz w:val="16"/>
                <w:szCs w:val="16"/>
                <w:color w:val="auto"/>
              </w:rPr>
            </w:pPr>
          </w:p>
        </w:tc>
        <w:tc>
          <w:tcPr>
            <w:tcW w:w="182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disease</w:t>
            </w:r>
          </w:p>
        </w:tc>
        <w:tc>
          <w:tcPr>
            <w:tcW w:w="1560" w:type="dxa"/>
            <w:vAlign w:val="bottom"/>
            <w:tcBorders>
              <w:right w:val="single" w:sz="8" w:color="auto"/>
            </w:tcBorders>
          </w:tcPr>
          <w:p>
            <w:pPr>
              <w:spacing w:after="0"/>
              <w:rPr>
                <w:sz w:val="16"/>
                <w:szCs w:val="16"/>
                <w:color w:val="auto"/>
              </w:rPr>
            </w:pPr>
          </w:p>
        </w:tc>
        <w:tc>
          <w:tcPr>
            <w:tcW w:w="6160" w:type="dxa"/>
            <w:vAlign w:val="bottom"/>
            <w:tcBorders>
              <w:right w:val="single" w:sz="8" w:color="auto"/>
            </w:tcBorders>
          </w:tcPr>
          <w:p>
            <w:pPr>
              <w:spacing w:after="0" w:line="189" w:lineRule="exact"/>
              <w:rPr>
                <w:sz w:val="20"/>
                <w:szCs w:val="20"/>
                <w:color w:val="auto"/>
              </w:rPr>
            </w:pPr>
            <w:r>
              <w:rPr>
                <w:rFonts w:ascii="Arial" w:cs="Arial" w:eastAsia="Arial" w:hAnsi="Arial"/>
                <w:sz w:val="18"/>
                <w:szCs w:val="18"/>
                <w:color w:val="auto"/>
              </w:rPr>
              <w:t>2021. We intend to submit to the FDA under the accelerated approval</w:t>
            </w:r>
          </w:p>
        </w:tc>
        <w:tc>
          <w:tcPr>
            <w:tcW w:w="0" w:type="dxa"/>
            <w:vAlign w:val="bottom"/>
          </w:tcPr>
          <w:p>
            <w:pPr>
              <w:spacing w:after="0"/>
              <w:rPr>
                <w:sz w:val="1"/>
                <w:szCs w:val="1"/>
                <w:color w:val="auto"/>
              </w:rPr>
            </w:pPr>
          </w:p>
        </w:tc>
      </w:tr>
      <w:tr>
        <w:trPr>
          <w:trHeight w:val="217"/>
        </w:trPr>
        <w:tc>
          <w:tcPr>
            <w:tcW w:w="1720" w:type="dxa"/>
            <w:vAlign w:val="bottom"/>
            <w:tcBorders>
              <w:left w:val="single" w:sz="8" w:color="auto"/>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6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pathway by the end of 2021.</w:t>
            </w:r>
          </w:p>
        </w:tc>
        <w:tc>
          <w:tcPr>
            <w:tcW w:w="0" w:type="dxa"/>
            <w:vAlign w:val="bottom"/>
          </w:tcPr>
          <w:p>
            <w:pPr>
              <w:spacing w:after="0"/>
              <w:rPr>
                <w:sz w:val="1"/>
                <w:szCs w:val="1"/>
                <w:color w:val="auto"/>
              </w:rPr>
            </w:pPr>
          </w:p>
        </w:tc>
      </w:tr>
      <w:tr>
        <w:trPr>
          <w:trHeight w:val="182"/>
        </w:trPr>
        <w:tc>
          <w:tcPr>
            <w:tcW w:w="17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Solanezumab</w:t>
            </w:r>
          </w:p>
        </w:tc>
        <w:tc>
          <w:tcPr>
            <w:tcW w:w="182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Preclinical</w:t>
            </w: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Phase III</w:t>
            </w:r>
          </w:p>
        </w:tc>
        <w:tc>
          <w:tcPr>
            <w:tcW w:w="61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Phase III trial is ongoing.</w:t>
            </w:r>
          </w:p>
        </w:tc>
        <w:tc>
          <w:tcPr>
            <w:tcW w:w="0" w:type="dxa"/>
            <w:vAlign w:val="bottom"/>
          </w:tcPr>
          <w:p>
            <w:pPr>
              <w:spacing w:after="0"/>
              <w:rPr>
                <w:sz w:val="1"/>
                <w:szCs w:val="1"/>
                <w:color w:val="auto"/>
              </w:rPr>
            </w:pPr>
          </w:p>
        </w:tc>
      </w:tr>
      <w:tr>
        <w:trPr>
          <w:trHeight w:val="122"/>
        </w:trPr>
        <w:tc>
          <w:tcPr>
            <w:tcW w:w="1720" w:type="dxa"/>
            <w:vAlign w:val="bottom"/>
            <w:tcBorders>
              <w:left w:val="single" w:sz="8" w:color="auto"/>
              <w:right w:val="single" w:sz="8" w:color="auto"/>
            </w:tcBorders>
            <w:vMerge w:val="continue"/>
          </w:tcPr>
          <w:p>
            <w:pPr>
              <w:spacing w:after="0"/>
              <w:rPr>
                <w:sz w:val="10"/>
                <w:szCs w:val="10"/>
                <w:color w:val="auto"/>
              </w:rPr>
            </w:pP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Alzheimer's disease</w:t>
            </w:r>
          </w:p>
        </w:tc>
        <w:tc>
          <w:tcPr>
            <w:tcW w:w="1560" w:type="dxa"/>
            <w:vAlign w:val="bottom"/>
            <w:tcBorders>
              <w:right w:val="single" w:sz="8" w:color="auto"/>
            </w:tcBorders>
            <w:vMerge w:val="continue"/>
          </w:tcPr>
          <w:p>
            <w:pPr>
              <w:spacing w:after="0"/>
              <w:rPr>
                <w:sz w:val="10"/>
                <w:szCs w:val="10"/>
                <w:color w:val="auto"/>
              </w:rPr>
            </w:pPr>
          </w:p>
        </w:tc>
        <w:tc>
          <w:tcPr>
            <w:tcW w:w="61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720" w:type="dxa"/>
            <w:vAlign w:val="bottom"/>
            <w:tcBorders>
              <w:left w:val="single" w:sz="8" w:color="auto"/>
              <w:bottom w:val="single" w:sz="8" w:color="auto"/>
              <w:right w:val="single" w:sz="8" w:color="auto"/>
            </w:tcBorders>
          </w:tcPr>
          <w:p>
            <w:pPr>
              <w:spacing w:after="0"/>
              <w:rPr>
                <w:sz w:val="8"/>
                <w:szCs w:val="8"/>
                <w:color w:val="auto"/>
              </w:rPr>
            </w:pPr>
          </w:p>
        </w:tc>
        <w:tc>
          <w:tcPr>
            <w:tcW w:w="1820" w:type="dxa"/>
            <w:vAlign w:val="bottom"/>
            <w:tcBorders>
              <w:bottom w:val="single" w:sz="8" w:color="auto"/>
              <w:right w:val="single" w:sz="8" w:color="auto"/>
            </w:tcBorders>
            <w:vMerge w:val="continue"/>
          </w:tcPr>
          <w:p>
            <w:pPr>
              <w:spacing w:after="0"/>
              <w:rPr>
                <w:sz w:val="8"/>
                <w:szCs w:val="8"/>
                <w:color w:val="auto"/>
              </w:rPr>
            </w:pPr>
          </w:p>
        </w:tc>
        <w:tc>
          <w:tcPr>
            <w:tcW w:w="1560" w:type="dxa"/>
            <w:vAlign w:val="bottom"/>
            <w:tcBorders>
              <w:bottom w:val="single" w:sz="8" w:color="auto"/>
              <w:right w:val="single" w:sz="8" w:color="auto"/>
            </w:tcBorders>
          </w:tcPr>
          <w:p>
            <w:pPr>
              <w:spacing w:after="0"/>
              <w:rPr>
                <w:sz w:val="8"/>
                <w:szCs w:val="8"/>
                <w:color w:val="auto"/>
              </w:rPr>
            </w:pPr>
          </w:p>
        </w:tc>
        <w:tc>
          <w:tcPr>
            <w:tcW w:w="61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172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Epiregulin/TGFα</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Chronic pain</w:t>
            </w: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Phase II</w:t>
            </w:r>
          </w:p>
        </w:tc>
        <w:tc>
          <w:tcPr>
            <w:tcW w:w="61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Phase II trials are ongoing.</w:t>
            </w:r>
          </w:p>
        </w:tc>
        <w:tc>
          <w:tcPr>
            <w:tcW w:w="0" w:type="dxa"/>
            <w:vAlign w:val="bottom"/>
          </w:tcPr>
          <w:p>
            <w:pPr>
              <w:spacing w:after="0"/>
              <w:rPr>
                <w:sz w:val="1"/>
                <w:szCs w:val="1"/>
                <w:color w:val="auto"/>
              </w:rPr>
            </w:pPr>
          </w:p>
        </w:tc>
      </w:tr>
      <w:tr>
        <w:trPr>
          <w:trHeight w:val="122"/>
        </w:trPr>
        <w:tc>
          <w:tcPr>
            <w:tcW w:w="17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MAB</w:t>
            </w:r>
          </w:p>
        </w:tc>
        <w:tc>
          <w:tcPr>
            <w:tcW w:w="182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61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72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1820" w:type="dxa"/>
            <w:vAlign w:val="bottom"/>
            <w:tcBorders>
              <w:bottom w:val="single" w:sz="8" w:color="auto"/>
              <w:right w:val="single" w:sz="8" w:color="auto"/>
            </w:tcBorders>
          </w:tcPr>
          <w:p>
            <w:pPr>
              <w:spacing w:after="0"/>
              <w:rPr>
                <w:sz w:val="8"/>
                <w:szCs w:val="8"/>
                <w:color w:val="auto"/>
              </w:rPr>
            </w:pPr>
          </w:p>
        </w:tc>
        <w:tc>
          <w:tcPr>
            <w:tcW w:w="1560" w:type="dxa"/>
            <w:vAlign w:val="bottom"/>
            <w:tcBorders>
              <w:bottom w:val="single" w:sz="8" w:color="auto"/>
              <w:right w:val="single" w:sz="8" w:color="auto"/>
            </w:tcBorders>
          </w:tcPr>
          <w:p>
            <w:pPr>
              <w:spacing w:after="0"/>
              <w:rPr>
                <w:sz w:val="8"/>
                <w:szCs w:val="8"/>
                <w:color w:val="auto"/>
              </w:rPr>
            </w:pPr>
          </w:p>
        </w:tc>
        <w:tc>
          <w:tcPr>
            <w:tcW w:w="61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57"/>
        </w:trPr>
        <w:tc>
          <w:tcPr>
            <w:tcW w:w="17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160" w:type="dxa"/>
            <w:vAlign w:val="bottom"/>
          </w:tcPr>
          <w:p>
            <w:pPr>
              <w:ind w:left="4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6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024" w:right="319" w:bottom="1440" w:gutter="0" w:footer="0" w:header="0"/>
        </w:sectPr>
      </w:pPr>
    </w:p>
    <w:bookmarkStart w:id="45" w:name="page46"/>
    <w:bookmarkEnd w:id="45"/>
    <w:tbl>
      <w:tblPr>
        <w:tblLayout w:type="fixed"/>
        <w:tblInd w:w="10" w:type="dxa"/>
        <w:tblCellMar>
          <w:top w:w="0" w:type="dxa"/>
          <w:left w:w="0" w:type="dxa"/>
          <w:bottom w:w="0" w:type="dxa"/>
          <w:right w:w="0" w:type="dxa"/>
        </w:tblCellMar>
      </w:tblPr>
      <w:tr>
        <w:trPr>
          <w:trHeight w:val="243"/>
        </w:trPr>
        <w:tc>
          <w:tcPr>
            <w:tcW w:w="1720" w:type="dxa"/>
            <w:vAlign w:val="bottom"/>
            <w:tcBorders>
              <w:top w:val="single" w:sz="8" w:color="auto"/>
              <w:left w:val="single" w:sz="8" w:color="auto"/>
              <w:bottom w:val="single" w:sz="8" w:color="auto"/>
              <w:right w:val="single" w:sz="8" w:color="auto"/>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Compound</w:t>
            </w:r>
          </w:p>
        </w:tc>
        <w:tc>
          <w:tcPr>
            <w:tcW w:w="180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Indication</w:t>
            </w:r>
          </w:p>
        </w:tc>
        <w:tc>
          <w:tcPr>
            <w:tcW w:w="1580" w:type="dxa"/>
            <w:vAlign w:val="bottom"/>
            <w:tcBorders>
              <w:top w:val="single" w:sz="8" w:color="auto"/>
              <w:bottom w:val="single" w:sz="8" w:color="auto"/>
              <w:right w:val="single" w:sz="8" w:color="auto"/>
            </w:tcBorders>
            <w:shd w:val="clear" w:color="auto" w:fill="D8D8D8"/>
          </w:tcPr>
          <w:p>
            <w:pPr>
              <w:jc w:val="right"/>
              <w:ind w:right="933"/>
              <w:spacing w:after="0"/>
              <w:rPr>
                <w:sz w:val="20"/>
                <w:szCs w:val="20"/>
                <w:color w:val="auto"/>
              </w:rPr>
            </w:pPr>
            <w:r>
              <w:rPr>
                <w:rFonts w:ascii="Arial" w:cs="Arial" w:eastAsia="Arial" w:hAnsi="Arial"/>
                <w:sz w:val="18"/>
                <w:szCs w:val="18"/>
                <w:b w:val="1"/>
                <w:bCs w:val="1"/>
                <w:color w:val="auto"/>
                <w:w w:val="98"/>
              </w:rPr>
              <w:t>Status</w:t>
            </w:r>
          </w:p>
        </w:tc>
        <w:tc>
          <w:tcPr>
            <w:tcW w:w="6160" w:type="dxa"/>
            <w:vAlign w:val="bottom"/>
            <w:tcBorders>
              <w:top w:val="single" w:sz="8" w:color="auto"/>
              <w:bottom w:val="single" w:sz="8" w:color="auto"/>
              <w:right w:val="single" w:sz="8" w:color="auto"/>
            </w:tcBorders>
            <w:shd w:val="clear" w:color="auto" w:fill="D8D8D8"/>
          </w:tcPr>
          <w:p>
            <w:pPr>
              <w:spacing w:after="0"/>
              <w:rPr>
                <w:sz w:val="20"/>
                <w:szCs w:val="20"/>
                <w:color w:val="auto"/>
              </w:rPr>
            </w:pPr>
            <w:r>
              <w:rPr>
                <w:rFonts w:ascii="Arial" w:cs="Arial" w:eastAsia="Arial" w:hAnsi="Arial"/>
                <w:sz w:val="18"/>
                <w:szCs w:val="18"/>
                <w:b w:val="1"/>
                <w:bCs w:val="1"/>
                <w:color w:val="auto"/>
              </w:rPr>
              <w:t>Developments</w:t>
            </w:r>
          </w:p>
        </w:tc>
        <w:tc>
          <w:tcPr>
            <w:tcW w:w="0" w:type="dxa"/>
            <w:vAlign w:val="bottom"/>
          </w:tcPr>
          <w:p>
            <w:pPr>
              <w:spacing w:after="0"/>
              <w:rPr>
                <w:sz w:val="1"/>
                <w:szCs w:val="1"/>
                <w:color w:val="auto"/>
              </w:rPr>
            </w:pPr>
          </w:p>
        </w:tc>
      </w:tr>
      <w:tr>
        <w:trPr>
          <w:trHeight w:val="290"/>
        </w:trPr>
        <w:tc>
          <w:tcPr>
            <w:tcW w:w="1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GBA1 Gene</w:t>
            </w:r>
          </w:p>
        </w:tc>
        <w:tc>
          <w:tcPr>
            <w:tcW w:w="18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Parkinson's disease</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Phase II</w:t>
            </w:r>
          </w:p>
        </w:tc>
        <w:tc>
          <w:tcPr>
            <w:tcW w:w="6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17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Therapy (PR001)</w:t>
            </w:r>
          </w:p>
        </w:tc>
        <w:tc>
          <w:tcPr>
            <w:tcW w:w="1800" w:type="dxa"/>
            <w:vAlign w:val="bottom"/>
            <w:tcBorders>
              <w:right w:val="single" w:sz="8" w:color="auto"/>
            </w:tcBorders>
            <w:vMerge w:val="continue"/>
          </w:tcPr>
          <w:p>
            <w:pPr>
              <w:spacing w:after="0"/>
              <w:rPr>
                <w:sz w:val="10"/>
                <w:szCs w:val="10"/>
                <w:color w:val="auto"/>
              </w:rPr>
            </w:pPr>
          </w:p>
        </w:tc>
        <w:tc>
          <w:tcPr>
            <w:tcW w:w="1580" w:type="dxa"/>
            <w:vAlign w:val="bottom"/>
            <w:tcBorders>
              <w:right w:val="single" w:sz="8" w:color="auto"/>
            </w:tcBorders>
            <w:vMerge w:val="continue"/>
          </w:tcPr>
          <w:p>
            <w:pPr>
              <w:spacing w:after="0"/>
              <w:rPr>
                <w:sz w:val="10"/>
                <w:szCs w:val="10"/>
                <w:color w:val="auto"/>
              </w:rPr>
            </w:pPr>
          </w:p>
        </w:tc>
        <w:tc>
          <w:tcPr>
            <w:tcW w:w="61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720" w:type="dxa"/>
            <w:vAlign w:val="bottom"/>
            <w:tcBorders>
              <w:left w:val="single" w:sz="8" w:color="auto"/>
              <w:right w:val="single" w:sz="8" w:color="auto"/>
            </w:tcBorders>
            <w:vMerge w:val="continue"/>
          </w:tcPr>
          <w:p>
            <w:pPr>
              <w:spacing w:after="0"/>
              <w:rPr>
                <w:sz w:val="8"/>
                <w:szCs w:val="8"/>
                <w:color w:val="auto"/>
              </w:rPr>
            </w:pPr>
          </w:p>
        </w:tc>
        <w:tc>
          <w:tcPr>
            <w:tcW w:w="180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6160" w:type="dxa"/>
            <w:vAlign w:val="bottom"/>
            <w:tcBorders>
              <w:right w:val="single" w:sz="8" w:color="auto"/>
            </w:tcBorders>
            <w:vMerge w:val="restart"/>
          </w:tcPr>
          <w:p>
            <w:pPr>
              <w:spacing w:after="0" w:line="178" w:lineRule="exact"/>
              <w:rPr>
                <w:sz w:val="20"/>
                <w:szCs w:val="20"/>
                <w:color w:val="auto"/>
              </w:rPr>
            </w:pPr>
            <w:r>
              <w:rPr>
                <w:rFonts w:ascii="Arial" w:cs="Arial" w:eastAsia="Arial" w:hAnsi="Arial"/>
                <w:sz w:val="18"/>
                <w:szCs w:val="18"/>
                <w:color w:val="auto"/>
              </w:rPr>
              <w:t>Acquired in the Prevail acquisition in the first quarter of 2021. Granted FDA</w:t>
            </w:r>
          </w:p>
        </w:tc>
        <w:tc>
          <w:tcPr>
            <w:tcW w:w="0" w:type="dxa"/>
            <w:vAlign w:val="bottom"/>
          </w:tcPr>
          <w:p>
            <w:pPr>
              <w:spacing w:after="0"/>
              <w:rPr>
                <w:sz w:val="1"/>
                <w:szCs w:val="1"/>
                <w:color w:val="auto"/>
              </w:rPr>
            </w:pPr>
          </w:p>
        </w:tc>
      </w:tr>
      <w:tr>
        <w:trPr>
          <w:trHeight w:val="83"/>
        </w:trPr>
        <w:tc>
          <w:tcPr>
            <w:tcW w:w="1720" w:type="dxa"/>
            <w:vAlign w:val="bottom"/>
            <w:tcBorders>
              <w:left w:val="single" w:sz="8" w:color="auto"/>
              <w:right w:val="single" w:sz="8" w:color="auto"/>
            </w:tcBorders>
          </w:tcPr>
          <w:p>
            <w:pPr>
              <w:spacing w:after="0"/>
              <w:rPr>
                <w:sz w:val="7"/>
                <w:szCs w:val="7"/>
                <w:color w:val="auto"/>
              </w:rPr>
            </w:pPr>
          </w:p>
        </w:tc>
        <w:tc>
          <w:tcPr>
            <w:tcW w:w="1800" w:type="dxa"/>
            <w:vAlign w:val="bottom"/>
            <w:tcBorders>
              <w:right w:val="single" w:sz="8" w:color="auto"/>
            </w:tcBorders>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61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
        </w:trPr>
        <w:tc>
          <w:tcPr>
            <w:tcW w:w="172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61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Fast Track designation</w:t>
            </w:r>
            <w:r>
              <w:rPr>
                <w:rFonts w:ascii="Arial" w:cs="Arial" w:eastAsia="Arial" w:hAnsi="Arial"/>
                <w:sz w:val="23"/>
                <w:szCs w:val="23"/>
                <w:color w:val="auto"/>
                <w:vertAlign w:val="superscript"/>
              </w:rPr>
              <w:t>(4)</w:t>
            </w:r>
            <w:r>
              <w:rPr>
                <w:rFonts w:ascii="Arial" w:cs="Arial" w:eastAsia="Arial" w:hAnsi="Arial"/>
                <w:sz w:val="18"/>
                <w:szCs w:val="18"/>
                <w:color w:val="auto"/>
              </w:rPr>
              <w:t>. Phase II trials are ongoing.</w:t>
            </w:r>
          </w:p>
        </w:tc>
        <w:tc>
          <w:tcPr>
            <w:tcW w:w="0" w:type="dxa"/>
            <w:vAlign w:val="bottom"/>
          </w:tcPr>
          <w:p>
            <w:pPr>
              <w:spacing w:after="0"/>
              <w:rPr>
                <w:sz w:val="1"/>
                <w:szCs w:val="1"/>
                <w:color w:val="auto"/>
              </w:rPr>
            </w:pPr>
          </w:p>
        </w:tc>
      </w:tr>
      <w:tr>
        <w:trPr>
          <w:trHeight w:val="254"/>
        </w:trPr>
        <w:tc>
          <w:tcPr>
            <w:tcW w:w="17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GRN Gene Therapy</w:t>
            </w:r>
          </w:p>
        </w:tc>
        <w:tc>
          <w:tcPr>
            <w:tcW w:w="18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Frontotemporal</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Phase II</w:t>
            </w:r>
          </w:p>
        </w:tc>
        <w:tc>
          <w:tcPr>
            <w:tcW w:w="6160" w:type="dxa"/>
            <w:vAlign w:val="bottom"/>
            <w:tcBorders>
              <w:right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1720" w:type="dxa"/>
            <w:vAlign w:val="bottom"/>
            <w:tcBorders>
              <w:left w:val="single" w:sz="8" w:color="auto"/>
              <w:right w:val="single" w:sz="8" w:color="auto"/>
            </w:tcBorders>
            <w:vMerge w:val="continue"/>
          </w:tcPr>
          <w:p>
            <w:pPr>
              <w:spacing w:after="0"/>
              <w:rPr>
                <w:sz w:val="3"/>
                <w:szCs w:val="3"/>
                <w:color w:val="auto"/>
              </w:rPr>
            </w:pPr>
          </w:p>
        </w:tc>
        <w:tc>
          <w:tcPr>
            <w:tcW w:w="1800" w:type="dxa"/>
            <w:vAlign w:val="bottom"/>
            <w:tcBorders>
              <w:right w:val="single" w:sz="8" w:color="auto"/>
            </w:tcBorders>
            <w:vMerge w:val="continue"/>
          </w:tcPr>
          <w:p>
            <w:pPr>
              <w:spacing w:after="0"/>
              <w:rPr>
                <w:sz w:val="3"/>
                <w:szCs w:val="3"/>
                <w:color w:val="auto"/>
              </w:rPr>
            </w:pPr>
          </w:p>
        </w:tc>
        <w:tc>
          <w:tcPr>
            <w:tcW w:w="1580" w:type="dxa"/>
            <w:vAlign w:val="bottom"/>
            <w:tcBorders>
              <w:right w:val="single" w:sz="8" w:color="auto"/>
            </w:tcBorders>
            <w:vMerge w:val="continue"/>
          </w:tcPr>
          <w:p>
            <w:pPr>
              <w:spacing w:after="0"/>
              <w:rPr>
                <w:sz w:val="3"/>
                <w:szCs w:val="3"/>
                <w:color w:val="auto"/>
              </w:rPr>
            </w:pPr>
          </w:p>
        </w:tc>
        <w:tc>
          <w:tcPr>
            <w:tcW w:w="616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2"/>
        </w:trPr>
        <w:tc>
          <w:tcPr>
            <w:tcW w:w="17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(PR006)</w:t>
            </w:r>
          </w:p>
        </w:tc>
        <w:tc>
          <w:tcPr>
            <w:tcW w:w="18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dementia</w:t>
            </w:r>
          </w:p>
        </w:tc>
        <w:tc>
          <w:tcPr>
            <w:tcW w:w="1580" w:type="dxa"/>
            <w:vAlign w:val="bottom"/>
            <w:tcBorders>
              <w:right w:val="single" w:sz="8" w:color="auto"/>
            </w:tcBorders>
            <w:vMerge w:val="continue"/>
          </w:tcPr>
          <w:p>
            <w:pPr>
              <w:spacing w:after="0"/>
              <w:rPr>
                <w:sz w:val="10"/>
                <w:szCs w:val="10"/>
                <w:color w:val="auto"/>
              </w:rPr>
            </w:pPr>
          </w:p>
        </w:tc>
        <w:tc>
          <w:tcPr>
            <w:tcW w:w="61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720" w:type="dxa"/>
            <w:vAlign w:val="bottom"/>
            <w:tcBorders>
              <w:left w:val="single" w:sz="8" w:color="auto"/>
              <w:right w:val="single" w:sz="8" w:color="auto"/>
            </w:tcBorders>
            <w:vMerge w:val="continue"/>
          </w:tcPr>
          <w:p>
            <w:pPr>
              <w:spacing w:after="0"/>
              <w:rPr>
                <w:sz w:val="8"/>
                <w:szCs w:val="8"/>
                <w:color w:val="auto"/>
              </w:rPr>
            </w:pPr>
          </w:p>
        </w:tc>
        <w:tc>
          <w:tcPr>
            <w:tcW w:w="1800" w:type="dxa"/>
            <w:vAlign w:val="bottom"/>
            <w:tcBorders>
              <w:right w:val="single" w:sz="8" w:color="auto"/>
            </w:tcBorders>
            <w:vMerge w:val="continue"/>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61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720" w:type="dxa"/>
            <w:vAlign w:val="bottom"/>
            <w:tcBorders>
              <w:left w:val="single" w:sz="8" w:color="auto"/>
              <w:bottom w:val="single" w:sz="8" w:color="auto"/>
              <w:right w:val="single" w:sz="8" w:color="auto"/>
            </w:tcBorders>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61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PACAP38 Antibody</w:t>
            </w:r>
          </w:p>
        </w:tc>
        <w:tc>
          <w:tcPr>
            <w:tcW w:w="1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Chronic pain</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Phase II</w:t>
            </w:r>
          </w:p>
        </w:tc>
        <w:tc>
          <w:tcPr>
            <w:tcW w:w="6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II trial is ongoing.</w:t>
            </w:r>
          </w:p>
        </w:tc>
        <w:tc>
          <w:tcPr>
            <w:tcW w:w="0" w:type="dxa"/>
            <w:vAlign w:val="bottom"/>
          </w:tcPr>
          <w:p>
            <w:pPr>
              <w:spacing w:after="0"/>
              <w:rPr>
                <w:sz w:val="1"/>
                <w:szCs w:val="1"/>
                <w:color w:val="auto"/>
              </w:rPr>
            </w:pPr>
          </w:p>
        </w:tc>
      </w:tr>
      <w:tr>
        <w:trPr>
          <w:trHeight w:val="223"/>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SSTR4 Agonist</w:t>
            </w:r>
          </w:p>
        </w:tc>
        <w:tc>
          <w:tcPr>
            <w:tcW w:w="1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Chronic pain</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Phase II</w:t>
            </w:r>
          </w:p>
        </w:tc>
        <w:tc>
          <w:tcPr>
            <w:tcW w:w="6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II trials are ongoing.</w:t>
            </w:r>
          </w:p>
        </w:tc>
        <w:tc>
          <w:tcPr>
            <w:tcW w:w="0" w:type="dxa"/>
            <w:vAlign w:val="bottom"/>
          </w:tcPr>
          <w:p>
            <w:pPr>
              <w:spacing w:after="0"/>
              <w:rPr>
                <w:sz w:val="1"/>
                <w:szCs w:val="1"/>
                <w:color w:val="auto"/>
              </w:rPr>
            </w:pPr>
          </w:p>
        </w:tc>
      </w:tr>
      <w:tr>
        <w:trPr>
          <w:trHeight w:val="223"/>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Zagotenemab</w:t>
            </w:r>
          </w:p>
        </w:tc>
        <w:tc>
          <w:tcPr>
            <w:tcW w:w="1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Alzheimer’s disease</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Phase II</w:t>
            </w:r>
          </w:p>
        </w:tc>
        <w:tc>
          <w:tcPr>
            <w:tcW w:w="6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II trial is ongoing.</w:t>
            </w:r>
          </w:p>
        </w:tc>
        <w:tc>
          <w:tcPr>
            <w:tcW w:w="0" w:type="dxa"/>
            <w:vAlign w:val="bottom"/>
          </w:tcPr>
          <w:p>
            <w:pPr>
              <w:spacing w:after="0"/>
              <w:rPr>
                <w:sz w:val="1"/>
                <w:szCs w:val="1"/>
                <w:color w:val="auto"/>
              </w:rPr>
            </w:pPr>
          </w:p>
        </w:tc>
      </w:tr>
      <w:tr>
        <w:trPr>
          <w:trHeight w:val="223"/>
        </w:trPr>
        <w:tc>
          <w:tcPr>
            <w:tcW w:w="17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Oncology</w:t>
            </w:r>
          </w:p>
        </w:tc>
        <w:tc>
          <w:tcPr>
            <w:tcW w:w="18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61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Selpercatinib</w:t>
            </w:r>
          </w:p>
        </w:tc>
        <w:tc>
          <w:tcPr>
            <w:tcW w:w="1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Thyroid cancer</w:t>
            </w:r>
          </w:p>
        </w:tc>
        <w:tc>
          <w:tcPr>
            <w:tcW w:w="1580" w:type="dxa"/>
            <w:vAlign w:val="bottom"/>
            <w:tcBorders>
              <w:right w:val="single" w:sz="8" w:color="auto"/>
            </w:tcBorders>
          </w:tcPr>
          <w:p>
            <w:pPr>
              <w:jc w:val="right"/>
              <w:ind w:right="253"/>
              <w:spacing w:after="0"/>
              <w:rPr>
                <w:sz w:val="20"/>
                <w:szCs w:val="20"/>
                <w:color w:val="auto"/>
              </w:rPr>
            </w:pPr>
            <w:r>
              <w:rPr>
                <w:rFonts w:ascii="Arial" w:cs="Arial" w:eastAsia="Arial" w:hAnsi="Arial"/>
                <w:sz w:val="12"/>
                <w:szCs w:val="12"/>
                <w:color w:val="auto"/>
              </w:rPr>
              <w:t>(7)</w:t>
            </w:r>
          </w:p>
        </w:tc>
        <w:tc>
          <w:tcPr>
            <w:tcW w:w="6160" w:type="dxa"/>
            <w:vAlign w:val="bottom"/>
            <w:tcBorders>
              <w:right w:val="single" w:sz="8" w:color="auto"/>
            </w:tcBorders>
          </w:tcPr>
          <w:p>
            <w:pPr>
              <w:spacing w:after="0" w:line="223" w:lineRule="exact"/>
              <w:rPr>
                <w:sz w:val="20"/>
                <w:szCs w:val="20"/>
                <w:color w:val="auto"/>
              </w:rPr>
            </w:pPr>
            <w:r>
              <w:rPr>
                <w:rFonts w:ascii="Arial" w:cs="Arial" w:eastAsia="Arial" w:hAnsi="Arial"/>
                <w:sz w:val="18"/>
                <w:szCs w:val="18"/>
                <w:color w:val="auto"/>
                <w:w w:val="99"/>
              </w:rPr>
              <w:t>Granted conditional marketing authorisation</w:t>
            </w:r>
            <w:r>
              <w:rPr>
                <w:rFonts w:ascii="Arial" w:cs="Arial" w:eastAsia="Arial" w:hAnsi="Arial"/>
                <w:sz w:val="23"/>
                <w:szCs w:val="23"/>
                <w:color w:val="auto"/>
                <w:w w:val="99"/>
                <w:vertAlign w:val="superscript"/>
              </w:rPr>
              <w:t>(7)</w:t>
            </w:r>
            <w:r>
              <w:rPr>
                <w:rFonts w:ascii="Arial" w:cs="Arial" w:eastAsia="Arial" w:hAnsi="Arial"/>
                <w:sz w:val="18"/>
                <w:szCs w:val="18"/>
                <w:color w:val="auto"/>
                <w:w w:val="99"/>
              </w:rPr>
              <w:t xml:space="preserve"> in Europe in the first quarter of</w:t>
            </w:r>
          </w:p>
        </w:tc>
        <w:tc>
          <w:tcPr>
            <w:tcW w:w="0" w:type="dxa"/>
            <w:vAlign w:val="bottom"/>
          </w:tcPr>
          <w:p>
            <w:pPr>
              <w:spacing w:after="0"/>
              <w:rPr>
                <w:sz w:val="1"/>
                <w:szCs w:val="1"/>
                <w:color w:val="auto"/>
              </w:rPr>
            </w:pPr>
          </w:p>
        </w:tc>
      </w:tr>
      <w:tr>
        <w:trPr>
          <w:trHeight w:val="27"/>
        </w:trPr>
        <w:tc>
          <w:tcPr>
            <w:tcW w:w="17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(Retevmo</w:t>
            </w:r>
            <w:r>
              <w:rPr>
                <w:rFonts w:ascii="Arial" w:cs="Arial" w:eastAsia="Arial" w:hAnsi="Arial"/>
                <w:sz w:val="23"/>
                <w:szCs w:val="23"/>
                <w:color w:val="auto"/>
                <w:vertAlign w:val="superscript"/>
              </w:rPr>
              <w:t>®</w:t>
            </w:r>
            <w:r>
              <w:rPr>
                <w:rFonts w:ascii="Arial" w:cs="Arial" w:eastAsia="Arial" w:hAnsi="Arial"/>
                <w:sz w:val="18"/>
                <w:szCs w:val="18"/>
                <w:color w:val="auto"/>
              </w:rPr>
              <w:t>)</w:t>
            </w:r>
          </w:p>
        </w:tc>
        <w:tc>
          <w:tcPr>
            <w:tcW w:w="1800" w:type="dxa"/>
            <w:vAlign w:val="bottom"/>
            <w:tcBorders>
              <w:bottom w:val="single" w:sz="8" w:color="auto"/>
              <w:right w:val="single" w:sz="8" w:color="auto"/>
            </w:tcBorders>
          </w:tcPr>
          <w:p>
            <w:pPr>
              <w:spacing w:after="0"/>
              <w:rPr>
                <w:sz w:val="2"/>
                <w:szCs w:val="2"/>
                <w:color w:val="auto"/>
              </w:rPr>
            </w:pPr>
          </w:p>
        </w:tc>
        <w:tc>
          <w:tcPr>
            <w:tcW w:w="1580" w:type="dxa"/>
            <w:vAlign w:val="bottom"/>
            <w:tcBorders>
              <w:right w:val="single" w:sz="8" w:color="auto"/>
            </w:tcBorders>
            <w:vMerge w:val="restart"/>
          </w:tcPr>
          <w:p>
            <w:pPr>
              <w:jc w:val="right"/>
              <w:ind w:right="393"/>
              <w:spacing w:after="0"/>
              <w:rPr>
                <w:sz w:val="20"/>
                <w:szCs w:val="20"/>
                <w:color w:val="auto"/>
              </w:rPr>
            </w:pPr>
            <w:r>
              <w:rPr>
                <w:rFonts w:ascii="Arial" w:cs="Arial" w:eastAsia="Arial" w:hAnsi="Arial"/>
                <w:sz w:val="18"/>
                <w:szCs w:val="18"/>
                <w:color w:val="auto"/>
              </w:rPr>
              <w:t>Launched</w:t>
            </w:r>
          </w:p>
        </w:tc>
        <w:tc>
          <w:tcPr>
            <w:tcW w:w="61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2021. Phase III trials are ongoing.</w:t>
            </w:r>
          </w:p>
        </w:tc>
        <w:tc>
          <w:tcPr>
            <w:tcW w:w="0" w:type="dxa"/>
            <w:vAlign w:val="bottom"/>
          </w:tcPr>
          <w:p>
            <w:pPr>
              <w:spacing w:after="0"/>
              <w:rPr>
                <w:sz w:val="1"/>
                <w:szCs w:val="1"/>
                <w:color w:val="auto"/>
              </w:rPr>
            </w:pPr>
          </w:p>
        </w:tc>
      </w:tr>
      <w:tr>
        <w:trPr>
          <w:trHeight w:val="250"/>
        </w:trPr>
        <w:tc>
          <w:tcPr>
            <w:tcW w:w="172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Lung cancer</w:t>
            </w:r>
          </w:p>
        </w:tc>
        <w:tc>
          <w:tcPr>
            <w:tcW w:w="1580" w:type="dxa"/>
            <w:vAlign w:val="bottom"/>
            <w:tcBorders>
              <w:bottom w:val="single" w:sz="8" w:color="auto"/>
              <w:right w:val="single" w:sz="8" w:color="auto"/>
            </w:tcBorders>
            <w:vMerge w:val="continue"/>
          </w:tcPr>
          <w:p>
            <w:pPr>
              <w:spacing w:after="0"/>
              <w:rPr>
                <w:sz w:val="21"/>
                <w:szCs w:val="21"/>
                <w:color w:val="auto"/>
              </w:rPr>
            </w:pPr>
          </w:p>
        </w:tc>
        <w:tc>
          <w:tcPr>
            <w:tcW w:w="616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720" w:type="dxa"/>
            <w:vAlign w:val="bottom"/>
            <w:tcBorders>
              <w:left w:val="single" w:sz="8" w:color="auto"/>
              <w:right w:val="single" w:sz="8" w:color="auto"/>
            </w:tcBorders>
          </w:tcPr>
          <w:p>
            <w:pPr>
              <w:ind w:left="40"/>
              <w:spacing w:after="0" w:line="250" w:lineRule="exact"/>
              <w:rPr>
                <w:sz w:val="20"/>
                <w:szCs w:val="20"/>
                <w:color w:val="auto"/>
              </w:rPr>
            </w:pPr>
            <w:r>
              <w:rPr>
                <w:rFonts w:ascii="Arial" w:cs="Arial" w:eastAsia="Arial" w:hAnsi="Arial"/>
                <w:sz w:val="18"/>
                <w:szCs w:val="18"/>
                <w:color w:val="auto"/>
                <w:w w:val="97"/>
              </w:rPr>
              <w:t>Sintilimab injection</w:t>
            </w:r>
            <w:r>
              <w:rPr>
                <w:rFonts w:ascii="Arial" w:cs="Arial" w:eastAsia="Arial" w:hAnsi="Arial"/>
                <w:sz w:val="23"/>
                <w:szCs w:val="23"/>
                <w:color w:val="auto"/>
                <w:w w:val="97"/>
                <w:vertAlign w:val="superscript"/>
              </w:rPr>
              <w:t>(8)</w:t>
            </w:r>
          </w:p>
        </w:tc>
        <w:tc>
          <w:tcPr>
            <w:tcW w:w="1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Lung cancer</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Submitted</w:t>
            </w:r>
          </w:p>
        </w:tc>
        <w:tc>
          <w:tcPr>
            <w:tcW w:w="6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 collaboration with Innovent, submitted in the U.S. in the second quarter of</w:t>
            </w:r>
          </w:p>
        </w:tc>
        <w:tc>
          <w:tcPr>
            <w:tcW w:w="0" w:type="dxa"/>
            <w:vAlign w:val="bottom"/>
          </w:tcPr>
          <w:p>
            <w:pPr>
              <w:spacing w:after="0"/>
              <w:rPr>
                <w:sz w:val="1"/>
                <w:szCs w:val="1"/>
                <w:color w:val="auto"/>
              </w:rPr>
            </w:pPr>
          </w:p>
        </w:tc>
      </w:tr>
      <w:tr>
        <w:trPr>
          <w:trHeight w:val="149"/>
        </w:trPr>
        <w:tc>
          <w:tcPr>
            <w:tcW w:w="1720" w:type="dxa"/>
            <w:vAlign w:val="bottom"/>
            <w:tcBorders>
              <w:left w:val="single" w:sz="8" w:color="auto"/>
              <w:bottom w:val="single" w:sz="8" w:color="auto"/>
              <w:right w:val="single" w:sz="8" w:color="auto"/>
            </w:tcBorders>
          </w:tcPr>
          <w:p>
            <w:pPr>
              <w:spacing w:after="0"/>
              <w:rPr>
                <w:sz w:val="12"/>
                <w:szCs w:val="12"/>
                <w:color w:val="auto"/>
              </w:rPr>
            </w:pPr>
          </w:p>
        </w:tc>
        <w:tc>
          <w:tcPr>
            <w:tcW w:w="1800" w:type="dxa"/>
            <w:vAlign w:val="bottom"/>
            <w:tcBorders>
              <w:bottom w:val="single" w:sz="8" w:color="auto"/>
              <w:right w:val="single" w:sz="8" w:color="auto"/>
            </w:tcBorders>
          </w:tcPr>
          <w:p>
            <w:pPr>
              <w:spacing w:after="0"/>
              <w:rPr>
                <w:sz w:val="12"/>
                <w:szCs w:val="12"/>
                <w:color w:val="auto"/>
              </w:rPr>
            </w:pPr>
          </w:p>
        </w:tc>
        <w:tc>
          <w:tcPr>
            <w:tcW w:w="1580" w:type="dxa"/>
            <w:vAlign w:val="bottom"/>
            <w:tcBorders>
              <w:bottom w:val="single" w:sz="8" w:color="auto"/>
              <w:right w:val="single" w:sz="8" w:color="auto"/>
            </w:tcBorders>
          </w:tcPr>
          <w:p>
            <w:pPr>
              <w:spacing w:after="0"/>
              <w:rPr>
                <w:sz w:val="12"/>
                <w:szCs w:val="12"/>
                <w:color w:val="auto"/>
              </w:rPr>
            </w:pPr>
          </w:p>
        </w:tc>
        <w:tc>
          <w:tcPr>
            <w:tcW w:w="6160" w:type="dxa"/>
            <w:vAlign w:val="bottom"/>
            <w:tcBorders>
              <w:bottom w:val="single" w:sz="8" w:color="auto"/>
              <w:right w:val="single" w:sz="8" w:color="auto"/>
            </w:tcBorders>
          </w:tcPr>
          <w:p>
            <w:pPr>
              <w:spacing w:after="0" w:line="149" w:lineRule="exact"/>
              <w:rPr>
                <w:sz w:val="20"/>
                <w:szCs w:val="20"/>
                <w:color w:val="auto"/>
              </w:rPr>
            </w:pPr>
            <w:r>
              <w:rPr>
                <w:rFonts w:ascii="Arial" w:cs="Arial" w:eastAsia="Arial" w:hAnsi="Arial"/>
                <w:sz w:val="17"/>
                <w:szCs w:val="17"/>
                <w:color w:val="auto"/>
              </w:rPr>
              <w:t>2021.</w:t>
            </w:r>
          </w:p>
        </w:tc>
        <w:tc>
          <w:tcPr>
            <w:tcW w:w="0" w:type="dxa"/>
            <w:vAlign w:val="bottom"/>
          </w:tcPr>
          <w:p>
            <w:pPr>
              <w:spacing w:after="0"/>
              <w:rPr>
                <w:sz w:val="1"/>
                <w:szCs w:val="1"/>
                <w:color w:val="auto"/>
              </w:rPr>
            </w:pPr>
          </w:p>
        </w:tc>
      </w:tr>
      <w:tr>
        <w:trPr>
          <w:trHeight w:val="290"/>
        </w:trPr>
        <w:tc>
          <w:tcPr>
            <w:tcW w:w="1720" w:type="dxa"/>
            <w:vAlign w:val="bottom"/>
            <w:tcBorders>
              <w:left w:val="single" w:sz="8" w:color="auto"/>
              <w:right w:val="single" w:sz="8" w:color="auto"/>
            </w:tcBorders>
          </w:tcPr>
          <w:p>
            <w:pPr>
              <w:spacing w:after="0"/>
              <w:rPr>
                <w:sz w:val="24"/>
                <w:szCs w:val="24"/>
                <w:color w:val="auto"/>
              </w:rPr>
            </w:pPr>
          </w:p>
        </w:tc>
        <w:tc>
          <w:tcPr>
            <w:tcW w:w="1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Chronic lymphocytic</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Phase III</w:t>
            </w:r>
          </w:p>
        </w:tc>
        <w:tc>
          <w:tcPr>
            <w:tcW w:w="61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Phase III trial initiated in the first quarter of 2021.</w:t>
            </w:r>
          </w:p>
        </w:tc>
        <w:tc>
          <w:tcPr>
            <w:tcW w:w="0" w:type="dxa"/>
            <w:vAlign w:val="bottom"/>
          </w:tcPr>
          <w:p>
            <w:pPr>
              <w:spacing w:after="0"/>
              <w:rPr>
                <w:sz w:val="1"/>
                <w:szCs w:val="1"/>
                <w:color w:val="auto"/>
              </w:rPr>
            </w:pPr>
          </w:p>
        </w:tc>
      </w:tr>
      <w:tr>
        <w:trPr>
          <w:trHeight w:val="122"/>
        </w:trPr>
        <w:tc>
          <w:tcPr>
            <w:tcW w:w="1720" w:type="dxa"/>
            <w:vAlign w:val="bottom"/>
            <w:tcBorders>
              <w:left w:val="single" w:sz="8" w:color="auto"/>
              <w:right w:val="single" w:sz="8" w:color="auto"/>
            </w:tcBorders>
          </w:tcPr>
          <w:p>
            <w:pPr>
              <w:spacing w:after="0"/>
              <w:rPr>
                <w:sz w:val="10"/>
                <w:szCs w:val="10"/>
                <w:color w:val="auto"/>
              </w:rPr>
            </w:pPr>
          </w:p>
        </w:tc>
        <w:tc>
          <w:tcPr>
            <w:tcW w:w="18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leukemia</w:t>
            </w:r>
          </w:p>
        </w:tc>
        <w:tc>
          <w:tcPr>
            <w:tcW w:w="1580" w:type="dxa"/>
            <w:vAlign w:val="bottom"/>
            <w:tcBorders>
              <w:right w:val="single" w:sz="8" w:color="auto"/>
            </w:tcBorders>
            <w:vMerge w:val="continue"/>
          </w:tcPr>
          <w:p>
            <w:pPr>
              <w:spacing w:after="0"/>
              <w:rPr>
                <w:sz w:val="10"/>
                <w:szCs w:val="10"/>
                <w:color w:val="auto"/>
              </w:rPr>
            </w:pPr>
          </w:p>
        </w:tc>
        <w:tc>
          <w:tcPr>
            <w:tcW w:w="61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720" w:type="dxa"/>
            <w:vAlign w:val="bottom"/>
            <w:tcBorders>
              <w:left w:val="single" w:sz="8" w:color="auto"/>
              <w:right w:val="single" w:sz="8" w:color="auto"/>
            </w:tcBorders>
          </w:tcPr>
          <w:p>
            <w:pPr>
              <w:spacing w:after="0"/>
              <w:rPr>
                <w:sz w:val="8"/>
                <w:szCs w:val="8"/>
                <w:color w:val="auto"/>
              </w:rPr>
            </w:pPr>
          </w:p>
        </w:tc>
        <w:tc>
          <w:tcPr>
            <w:tcW w:w="1800" w:type="dxa"/>
            <w:vAlign w:val="bottom"/>
            <w:tcBorders>
              <w:right w:val="single" w:sz="8" w:color="auto"/>
            </w:tcBorders>
            <w:vMerge w:val="continue"/>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61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7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Pirtobrutinib (LOXO-</w:t>
            </w:r>
          </w:p>
        </w:tc>
        <w:tc>
          <w:tcPr>
            <w:tcW w:w="180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61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1720" w:type="dxa"/>
            <w:vAlign w:val="bottom"/>
            <w:tcBorders>
              <w:left w:val="single" w:sz="8" w:color="auto"/>
              <w:right w:val="single" w:sz="8" w:color="auto"/>
            </w:tcBorders>
            <w:vMerge w:val="continue"/>
          </w:tcPr>
          <w:p>
            <w:pPr>
              <w:spacing w:after="0"/>
              <w:rPr>
                <w:sz w:val="14"/>
                <w:szCs w:val="14"/>
                <w:color w:val="auto"/>
              </w:rPr>
            </w:pPr>
          </w:p>
        </w:tc>
        <w:tc>
          <w:tcPr>
            <w:tcW w:w="180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rPr>
              <w:t>Mantle cell</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Phase III</w:t>
            </w:r>
          </w:p>
        </w:tc>
        <w:tc>
          <w:tcPr>
            <w:tcW w:w="61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Phase III trial initiated in the second quarter of 2021.</w:t>
            </w:r>
          </w:p>
        </w:tc>
        <w:tc>
          <w:tcPr>
            <w:tcW w:w="0" w:type="dxa"/>
            <w:vAlign w:val="bottom"/>
          </w:tcPr>
          <w:p>
            <w:pPr>
              <w:spacing w:after="0"/>
              <w:rPr>
                <w:sz w:val="1"/>
                <w:szCs w:val="1"/>
                <w:color w:val="auto"/>
              </w:rPr>
            </w:pPr>
          </w:p>
        </w:tc>
      </w:tr>
      <w:tr>
        <w:trPr>
          <w:trHeight w:val="175"/>
        </w:trPr>
        <w:tc>
          <w:tcPr>
            <w:tcW w:w="1720" w:type="dxa"/>
            <w:vAlign w:val="bottom"/>
            <w:tcBorders>
              <w:left w:val="single" w:sz="8" w:color="auto"/>
              <w:right w:val="single" w:sz="8" w:color="auto"/>
            </w:tcBorders>
          </w:tcPr>
          <w:p>
            <w:pPr>
              <w:ind w:left="40"/>
              <w:spacing w:after="0" w:line="176" w:lineRule="exact"/>
              <w:rPr>
                <w:sz w:val="20"/>
                <w:szCs w:val="20"/>
                <w:color w:val="auto"/>
              </w:rPr>
            </w:pPr>
            <w:r>
              <w:rPr>
                <w:rFonts w:ascii="Arial" w:cs="Arial" w:eastAsia="Arial" w:hAnsi="Arial"/>
                <w:sz w:val="18"/>
                <w:szCs w:val="18"/>
                <w:color w:val="auto"/>
              </w:rPr>
              <w:t>305)</w:t>
            </w:r>
          </w:p>
        </w:tc>
        <w:tc>
          <w:tcPr>
            <w:tcW w:w="18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lymphoma</w:t>
            </w:r>
          </w:p>
        </w:tc>
        <w:tc>
          <w:tcPr>
            <w:tcW w:w="1580" w:type="dxa"/>
            <w:vAlign w:val="bottom"/>
            <w:tcBorders>
              <w:right w:val="single" w:sz="8" w:color="auto"/>
            </w:tcBorders>
            <w:vMerge w:val="continue"/>
          </w:tcPr>
          <w:p>
            <w:pPr>
              <w:spacing w:after="0"/>
              <w:rPr>
                <w:sz w:val="15"/>
                <w:szCs w:val="15"/>
                <w:color w:val="auto"/>
              </w:rPr>
            </w:pPr>
          </w:p>
        </w:tc>
        <w:tc>
          <w:tcPr>
            <w:tcW w:w="616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1720" w:type="dxa"/>
            <w:vAlign w:val="bottom"/>
            <w:tcBorders>
              <w:left w:val="single" w:sz="8" w:color="auto"/>
              <w:right w:val="single" w:sz="8" w:color="auto"/>
            </w:tcBorders>
          </w:tcPr>
          <w:p>
            <w:pPr>
              <w:spacing w:after="0"/>
              <w:rPr>
                <w:sz w:val="5"/>
                <w:szCs w:val="5"/>
                <w:color w:val="auto"/>
              </w:rPr>
            </w:pPr>
          </w:p>
        </w:tc>
        <w:tc>
          <w:tcPr>
            <w:tcW w:w="1800" w:type="dxa"/>
            <w:vAlign w:val="bottom"/>
            <w:tcBorders>
              <w:bottom w:val="single" w:sz="8" w:color="auto"/>
              <w:right w:val="single" w:sz="8" w:color="auto"/>
            </w:tcBorders>
            <w:vMerge w:val="continue"/>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61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1720" w:type="dxa"/>
            <w:vAlign w:val="bottom"/>
            <w:tcBorders>
              <w:left w:val="single" w:sz="8" w:color="auto"/>
              <w:right w:val="single" w:sz="8" w:color="auto"/>
            </w:tcBorders>
          </w:tcPr>
          <w:p>
            <w:pPr>
              <w:spacing w:after="0"/>
              <w:rPr>
                <w:sz w:val="24"/>
                <w:szCs w:val="24"/>
                <w:color w:val="auto"/>
              </w:rPr>
            </w:pPr>
          </w:p>
        </w:tc>
        <w:tc>
          <w:tcPr>
            <w:tcW w:w="1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B-cell malignancies</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Phase II</w:t>
            </w:r>
          </w:p>
        </w:tc>
        <w:tc>
          <w:tcPr>
            <w:tcW w:w="6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Phase II trial initiated in the second quarter of 2021.</w:t>
            </w:r>
          </w:p>
        </w:tc>
        <w:tc>
          <w:tcPr>
            <w:tcW w:w="0" w:type="dxa"/>
            <w:vAlign w:val="bottom"/>
          </w:tcPr>
          <w:p>
            <w:pPr>
              <w:spacing w:after="0"/>
              <w:rPr>
                <w:sz w:val="1"/>
                <w:szCs w:val="1"/>
                <w:color w:val="auto"/>
              </w:rPr>
            </w:pPr>
          </w:p>
        </w:tc>
      </w:tr>
      <w:tr>
        <w:trPr>
          <w:trHeight w:val="94"/>
        </w:trPr>
        <w:tc>
          <w:tcPr>
            <w:tcW w:w="1720" w:type="dxa"/>
            <w:vAlign w:val="bottom"/>
            <w:tcBorders>
              <w:left w:val="single" w:sz="8" w:color="auto"/>
              <w:bottom w:val="single" w:sz="8" w:color="auto"/>
              <w:right w:val="single" w:sz="8" w:color="auto"/>
            </w:tcBorders>
          </w:tcPr>
          <w:p>
            <w:pPr>
              <w:spacing w:after="0"/>
              <w:rPr>
                <w:sz w:val="8"/>
                <w:szCs w:val="8"/>
                <w:color w:val="auto"/>
              </w:rPr>
            </w:pPr>
          </w:p>
        </w:tc>
        <w:tc>
          <w:tcPr>
            <w:tcW w:w="1800" w:type="dxa"/>
            <w:vAlign w:val="bottom"/>
            <w:tcBorders>
              <w:bottom w:val="single" w:sz="8" w:color="auto"/>
              <w:right w:val="single" w:sz="8" w:color="auto"/>
            </w:tcBorders>
          </w:tcPr>
          <w:p>
            <w:pPr>
              <w:spacing w:after="0"/>
              <w:rPr>
                <w:sz w:val="8"/>
                <w:szCs w:val="8"/>
                <w:color w:val="auto"/>
              </w:rPr>
            </w:pPr>
          </w:p>
        </w:tc>
        <w:tc>
          <w:tcPr>
            <w:tcW w:w="1580" w:type="dxa"/>
            <w:vAlign w:val="bottom"/>
            <w:tcBorders>
              <w:bottom w:val="single" w:sz="8" w:color="auto"/>
              <w:right w:val="single" w:sz="8" w:color="auto"/>
            </w:tcBorders>
          </w:tcPr>
          <w:p>
            <w:pPr>
              <w:spacing w:after="0"/>
              <w:rPr>
                <w:sz w:val="8"/>
                <w:szCs w:val="8"/>
                <w:color w:val="auto"/>
              </w:rPr>
            </w:pPr>
          </w:p>
        </w:tc>
        <w:tc>
          <w:tcPr>
            <w:tcW w:w="61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140" w:hanging="132"/>
        <w:spacing w:after="0"/>
        <w:tabs>
          <w:tab w:leader="none" w:pos="140" w:val="left"/>
        </w:tabs>
        <w:numPr>
          <w:ilvl w:val="0"/>
          <w:numId w:val="21"/>
        </w:numPr>
        <w:rPr>
          <w:rFonts w:ascii="Arial" w:cs="Arial" w:eastAsia="Arial" w:hAnsi="Arial"/>
          <w:sz w:val="16"/>
          <w:szCs w:val="16"/>
          <w:color w:val="auto"/>
          <w:vertAlign w:val="superscript"/>
        </w:rPr>
      </w:pPr>
      <w:r>
        <w:rPr>
          <w:rFonts w:ascii="Arial" w:cs="Arial" w:eastAsia="Arial" w:hAnsi="Arial"/>
          <w:sz w:val="12"/>
          <w:szCs w:val="12"/>
          <w:color w:val="auto"/>
        </w:rPr>
        <w:t>EUAs remain active for certain countries outside of the U.S.</w:t>
      </w:r>
    </w:p>
    <w:p>
      <w:pPr>
        <w:spacing w:after="0" w:line="43" w:lineRule="exact"/>
        <w:rPr>
          <w:rFonts w:ascii="Arial" w:cs="Arial" w:eastAsia="Arial" w:hAnsi="Arial"/>
          <w:sz w:val="16"/>
          <w:szCs w:val="16"/>
          <w:color w:val="auto"/>
          <w:vertAlign w:val="superscript"/>
        </w:rPr>
      </w:pPr>
    </w:p>
    <w:p>
      <w:pPr>
        <w:ind w:left="140" w:hanging="132"/>
        <w:spacing w:after="0" w:line="224" w:lineRule="auto"/>
        <w:tabs>
          <w:tab w:leader="none" w:pos="140" w:val="left"/>
        </w:tabs>
        <w:numPr>
          <w:ilvl w:val="0"/>
          <w:numId w:val="21"/>
        </w:numPr>
        <w:rPr>
          <w:rFonts w:ascii="Arial" w:cs="Arial" w:eastAsia="Arial" w:hAnsi="Arial"/>
          <w:sz w:val="16"/>
          <w:szCs w:val="16"/>
          <w:color w:val="auto"/>
          <w:vertAlign w:val="superscript"/>
        </w:rPr>
      </w:pPr>
      <w:r>
        <w:rPr>
          <w:rFonts w:ascii="Arial" w:cs="Arial" w:eastAsia="Arial" w:hAnsi="Arial"/>
          <w:sz w:val="12"/>
          <w:szCs w:val="12"/>
          <w:color w:val="auto"/>
        </w:rPr>
        <w:t>In collaboration with Vir Biotechnology, Inc. and GlaxoSmithKline plc.</w:t>
      </w:r>
    </w:p>
    <w:p>
      <w:pPr>
        <w:spacing w:after="0" w:line="44" w:lineRule="exact"/>
        <w:rPr>
          <w:rFonts w:ascii="Arial" w:cs="Arial" w:eastAsia="Arial" w:hAnsi="Arial"/>
          <w:sz w:val="16"/>
          <w:szCs w:val="16"/>
          <w:color w:val="auto"/>
          <w:vertAlign w:val="superscript"/>
        </w:rPr>
      </w:pPr>
    </w:p>
    <w:p>
      <w:pPr>
        <w:ind w:left="160" w:hanging="152"/>
        <w:spacing w:after="0" w:line="199" w:lineRule="auto"/>
        <w:tabs>
          <w:tab w:leader="none" w:pos="160"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In collaboration with Almirall, S.A. (Almirall) in Europe.</w:t>
      </w:r>
    </w:p>
    <w:p>
      <w:pPr>
        <w:spacing w:after="0" w:line="44" w:lineRule="exact"/>
        <w:rPr>
          <w:rFonts w:ascii="Arial" w:cs="Arial" w:eastAsia="Arial" w:hAnsi="Arial"/>
          <w:sz w:val="18"/>
          <w:szCs w:val="18"/>
          <w:color w:val="auto"/>
          <w:vertAlign w:val="superscript"/>
        </w:rPr>
      </w:pPr>
    </w:p>
    <w:p>
      <w:pPr>
        <w:ind w:left="140" w:hanging="132"/>
        <w:spacing w:after="0" w:line="224" w:lineRule="auto"/>
        <w:tabs>
          <w:tab w:leader="none" w:pos="140" w:val="left"/>
        </w:tabs>
        <w:numPr>
          <w:ilvl w:val="0"/>
          <w:numId w:val="21"/>
        </w:numPr>
        <w:rPr>
          <w:rFonts w:ascii="Arial" w:cs="Arial" w:eastAsia="Arial" w:hAnsi="Arial"/>
          <w:sz w:val="16"/>
          <w:szCs w:val="16"/>
          <w:color w:val="auto"/>
          <w:vertAlign w:val="superscript"/>
        </w:rPr>
      </w:pPr>
      <w:r>
        <w:rPr>
          <w:rFonts w:ascii="Arial" w:cs="Arial" w:eastAsia="Arial" w:hAnsi="Arial"/>
          <w:sz w:val="12"/>
          <w:szCs w:val="12"/>
          <w:color w:val="auto"/>
        </w:rPr>
        <w:t>Fast Track designation is designated to expedite the development and review of new therapies to treat serious conditions and address unmet medical needs.</w:t>
      </w:r>
    </w:p>
    <w:p>
      <w:pPr>
        <w:spacing w:after="0" w:line="44" w:lineRule="exact"/>
        <w:rPr>
          <w:rFonts w:ascii="Arial" w:cs="Arial" w:eastAsia="Arial" w:hAnsi="Arial"/>
          <w:sz w:val="16"/>
          <w:szCs w:val="16"/>
          <w:color w:val="auto"/>
          <w:vertAlign w:val="superscript"/>
        </w:rPr>
      </w:pPr>
    </w:p>
    <w:p>
      <w:pPr>
        <w:ind w:left="160" w:hanging="152"/>
        <w:spacing w:after="0" w:line="199" w:lineRule="auto"/>
        <w:tabs>
          <w:tab w:leader="none" w:pos="160"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In collaboration with Pfizer, Inc (Pfizer).</w:t>
      </w:r>
    </w:p>
    <w:p>
      <w:pPr>
        <w:spacing w:after="0" w:line="44" w:lineRule="exact"/>
        <w:rPr>
          <w:rFonts w:ascii="Arial" w:cs="Arial" w:eastAsia="Arial" w:hAnsi="Arial"/>
          <w:sz w:val="18"/>
          <w:szCs w:val="18"/>
          <w:color w:val="auto"/>
          <w:vertAlign w:val="superscript"/>
        </w:rPr>
      </w:pPr>
    </w:p>
    <w:p>
      <w:pPr>
        <w:ind w:left="180" w:right="100" w:hanging="172"/>
        <w:spacing w:after="0" w:line="217" w:lineRule="auto"/>
        <w:tabs>
          <w:tab w:leader="none" w:pos="158"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Breakthrough Therapy designation is designed to expedite the development and review of potential medicines that are intended to treat a serious condition where preliminary clinical evidence indicates that the treatment may demonstrate substantial improvement over available therapy on a clinically significant endpoint.</w:t>
      </w:r>
    </w:p>
    <w:p>
      <w:pPr>
        <w:spacing w:after="0" w:line="33" w:lineRule="exact"/>
        <w:rPr>
          <w:rFonts w:ascii="Arial" w:cs="Arial" w:eastAsia="Arial" w:hAnsi="Arial"/>
          <w:sz w:val="18"/>
          <w:szCs w:val="18"/>
          <w:color w:val="auto"/>
          <w:vertAlign w:val="superscript"/>
        </w:rPr>
      </w:pPr>
    </w:p>
    <w:p>
      <w:pPr>
        <w:ind w:left="140" w:hanging="132"/>
        <w:spacing w:after="0"/>
        <w:tabs>
          <w:tab w:leader="none" w:pos="140" w:val="left"/>
        </w:tabs>
        <w:numPr>
          <w:ilvl w:val="0"/>
          <w:numId w:val="21"/>
        </w:numPr>
        <w:rPr>
          <w:rFonts w:ascii="Arial" w:cs="Arial" w:eastAsia="Arial" w:hAnsi="Arial"/>
          <w:sz w:val="16"/>
          <w:szCs w:val="16"/>
          <w:color w:val="auto"/>
          <w:vertAlign w:val="superscript"/>
        </w:rPr>
      </w:pPr>
      <w:r>
        <w:rPr>
          <w:rFonts w:ascii="Arial" w:cs="Arial" w:eastAsia="Arial" w:hAnsi="Arial"/>
          <w:sz w:val="12"/>
          <w:szCs w:val="12"/>
          <w:color w:val="auto"/>
        </w:rPr>
        <w:t>Continued approval may be contingent on verification and description of clinical benefit in confirmatory Phase III trials.</w:t>
      </w:r>
    </w:p>
    <w:p>
      <w:pPr>
        <w:spacing w:after="0" w:line="43" w:lineRule="exact"/>
        <w:rPr>
          <w:rFonts w:ascii="Arial" w:cs="Arial" w:eastAsia="Arial" w:hAnsi="Arial"/>
          <w:sz w:val="16"/>
          <w:szCs w:val="16"/>
          <w:color w:val="auto"/>
          <w:vertAlign w:val="superscript"/>
        </w:rPr>
      </w:pPr>
    </w:p>
    <w:p>
      <w:pPr>
        <w:ind w:left="160" w:hanging="152"/>
        <w:spacing w:after="0" w:line="199" w:lineRule="auto"/>
        <w:tabs>
          <w:tab w:leader="none" w:pos="160"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In collaboration with Innovent Biologics, Inc. (Innovent).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24" w:right="319" w:bottom="1440" w:gutter="0" w:footer="0" w:header="0"/>
        </w:sectPr>
      </w:pPr>
    </w:p>
    <w:bookmarkStart w:id="46" w:name="page47"/>
    <w:bookmarkEnd w:id="46"/>
    <w:p>
      <w:pPr>
        <w:spacing w:after="0" w:line="254" w:lineRule="auto"/>
        <w:rPr>
          <w:sz w:val="20"/>
          <w:szCs w:val="20"/>
          <w:color w:val="auto"/>
        </w:rPr>
      </w:pPr>
      <w:r>
        <w:rPr>
          <w:rFonts w:ascii="Arial" w:cs="Arial" w:eastAsia="Arial" w:hAnsi="Arial"/>
          <w:sz w:val="18"/>
          <w:szCs w:val="18"/>
          <w:color w:val="auto"/>
        </w:rPr>
        <w:t>Our pipeline also contains several new indication line extension (NILEX) products. The following certain NILEX products are currently in Phase II or Phase III clinical testing, have been submitted for regulatory review, or have received first regulatory approval in the U.S., Europe, or Japan for use in the indication described in 2021. The following table reflects the status of certain NILEX products, including certain other developments since January 1, 2021:</w:t>
      </w:r>
    </w:p>
    <w:p>
      <w:pPr>
        <w:spacing w:after="0" w:line="104"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120" w:type="dxa"/>
            <w:vAlign w:val="bottom"/>
            <w:tcBorders>
              <w:top w:val="single" w:sz="8" w:color="auto"/>
              <w:left w:val="single" w:sz="8" w:color="auto"/>
              <w:bottom w:val="single" w:sz="8" w:color="auto"/>
              <w:right w:val="single" w:sz="8" w:color="auto"/>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Compound</w:t>
            </w:r>
          </w:p>
        </w:tc>
        <w:tc>
          <w:tcPr>
            <w:tcW w:w="234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Indication</w:t>
            </w:r>
          </w:p>
        </w:tc>
        <w:tc>
          <w:tcPr>
            <w:tcW w:w="162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Status</w:t>
            </w:r>
          </w:p>
        </w:tc>
        <w:tc>
          <w:tcPr>
            <w:tcW w:w="468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Developments</w:t>
            </w:r>
          </w:p>
        </w:tc>
        <w:tc>
          <w:tcPr>
            <w:tcW w:w="0" w:type="dxa"/>
            <w:vAlign w:val="bottom"/>
          </w:tcPr>
          <w:p>
            <w:pPr>
              <w:spacing w:after="0"/>
              <w:rPr>
                <w:sz w:val="1"/>
                <w:szCs w:val="1"/>
                <w:color w:val="auto"/>
              </w:rPr>
            </w:pPr>
          </w:p>
        </w:tc>
      </w:tr>
      <w:tr>
        <w:trPr>
          <w:trHeight w:val="223"/>
        </w:trPr>
        <w:tc>
          <w:tcPr>
            <w:tcW w:w="21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Endocrinology</w:t>
            </w:r>
          </w:p>
        </w:tc>
        <w:tc>
          <w:tcPr>
            <w:tcW w:w="23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46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120" w:type="dxa"/>
            <w:vAlign w:val="bottom"/>
            <w:tcBorders>
              <w:left w:val="single" w:sz="8" w:color="auto"/>
              <w:right w:val="single" w:sz="8" w:color="auto"/>
            </w:tcBorders>
          </w:tcPr>
          <w:p>
            <w:pPr>
              <w:spacing w:after="0"/>
              <w:rPr>
                <w:sz w:val="16"/>
                <w:szCs w:val="16"/>
                <w:color w:val="auto"/>
              </w:rPr>
            </w:pPr>
          </w:p>
        </w:tc>
        <w:tc>
          <w:tcPr>
            <w:tcW w:w="23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Heart failure with reduced</w:t>
            </w:r>
          </w:p>
        </w:tc>
        <w:tc>
          <w:tcPr>
            <w:tcW w:w="1620" w:type="dxa"/>
            <w:vAlign w:val="bottom"/>
            <w:tcBorders>
              <w:right w:val="single" w:sz="8" w:color="auto"/>
            </w:tcBorders>
          </w:tcPr>
          <w:p>
            <w:pPr>
              <w:spacing w:after="0"/>
              <w:rPr>
                <w:sz w:val="16"/>
                <w:szCs w:val="16"/>
                <w:color w:val="auto"/>
              </w:rPr>
            </w:pPr>
          </w:p>
        </w:tc>
        <w:tc>
          <w:tcPr>
            <w:tcW w:w="468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7"/>
                <w:szCs w:val="17"/>
                <w:color w:val="auto"/>
              </w:rPr>
              <w:t>Granted FDA Fast Track designation</w:t>
            </w:r>
            <w:r>
              <w:rPr>
                <w:rFonts w:ascii="Arial" w:cs="Arial" w:eastAsia="Arial" w:hAnsi="Arial"/>
                <w:sz w:val="22"/>
                <w:szCs w:val="22"/>
                <w:color w:val="auto"/>
                <w:vertAlign w:val="superscript"/>
              </w:rPr>
              <w:t>(2)</w:t>
            </w:r>
            <w:r>
              <w:rPr>
                <w:rFonts w:ascii="Arial" w:cs="Arial" w:eastAsia="Arial" w:hAnsi="Arial"/>
                <w:sz w:val="17"/>
                <w:szCs w:val="17"/>
                <w:color w:val="auto"/>
              </w:rPr>
              <w:t>. Granted</w:t>
            </w:r>
          </w:p>
        </w:tc>
        <w:tc>
          <w:tcPr>
            <w:tcW w:w="0" w:type="dxa"/>
            <w:vAlign w:val="bottom"/>
          </w:tcPr>
          <w:p>
            <w:pPr>
              <w:spacing w:after="0"/>
              <w:rPr>
                <w:sz w:val="1"/>
                <w:szCs w:val="1"/>
                <w:color w:val="auto"/>
              </w:rPr>
            </w:pPr>
          </w:p>
        </w:tc>
      </w:tr>
      <w:tr>
        <w:trPr>
          <w:trHeight w:val="94"/>
        </w:trPr>
        <w:tc>
          <w:tcPr>
            <w:tcW w:w="2120" w:type="dxa"/>
            <w:vAlign w:val="bottom"/>
            <w:tcBorders>
              <w:left w:val="single" w:sz="8" w:color="auto"/>
              <w:right w:val="single" w:sz="8" w:color="auto"/>
            </w:tcBorders>
          </w:tcPr>
          <w:p>
            <w:pPr>
              <w:spacing w:after="0"/>
              <w:rPr>
                <w:sz w:val="8"/>
                <w:szCs w:val="8"/>
                <w:color w:val="auto"/>
              </w:rPr>
            </w:pPr>
          </w:p>
        </w:tc>
        <w:tc>
          <w:tcPr>
            <w:tcW w:w="2340" w:type="dxa"/>
            <w:vAlign w:val="bottom"/>
            <w:tcBorders>
              <w:right w:val="single" w:sz="8" w:color="auto"/>
            </w:tcBorders>
            <w:vMerge w:val="continue"/>
          </w:tcPr>
          <w:p>
            <w:pPr>
              <w:spacing w:after="0"/>
              <w:rPr>
                <w:sz w:val="8"/>
                <w:szCs w:val="8"/>
                <w:color w:val="auto"/>
              </w:rPr>
            </w:pPr>
          </w:p>
        </w:tc>
        <w:tc>
          <w:tcPr>
            <w:tcW w:w="1620" w:type="dxa"/>
            <w:vAlign w:val="bottom"/>
            <w:tcBorders>
              <w:right w:val="single" w:sz="8" w:color="auto"/>
            </w:tcBorders>
            <w:vMerge w:val="restart"/>
          </w:tcPr>
          <w:p>
            <w:pPr>
              <w:jc w:val="center"/>
              <w:spacing w:after="0" w:line="176" w:lineRule="exact"/>
              <w:rPr>
                <w:sz w:val="20"/>
                <w:szCs w:val="20"/>
                <w:color w:val="auto"/>
              </w:rPr>
            </w:pPr>
            <w:r>
              <w:rPr>
                <w:rFonts w:ascii="Arial" w:cs="Arial" w:eastAsia="Arial" w:hAnsi="Arial"/>
                <w:sz w:val="18"/>
                <w:szCs w:val="18"/>
                <w:color w:val="auto"/>
              </w:rPr>
              <w:t>Approved</w:t>
            </w:r>
          </w:p>
        </w:tc>
        <w:tc>
          <w:tcPr>
            <w:tcW w:w="4680" w:type="dxa"/>
            <w:vAlign w:val="bottom"/>
            <w:tcBorders>
              <w:right w:val="single" w:sz="8" w:color="auto"/>
            </w:tcBorders>
            <w:vMerge w:val="restart"/>
          </w:tcPr>
          <w:p>
            <w:pPr>
              <w:ind w:left="20"/>
              <w:spacing w:after="0" w:line="176" w:lineRule="exact"/>
              <w:rPr>
                <w:sz w:val="20"/>
                <w:szCs w:val="20"/>
                <w:color w:val="auto"/>
              </w:rPr>
            </w:pPr>
            <w:r>
              <w:rPr>
                <w:rFonts w:ascii="Arial" w:cs="Arial" w:eastAsia="Arial" w:hAnsi="Arial"/>
                <w:sz w:val="18"/>
                <w:szCs w:val="18"/>
                <w:color w:val="auto"/>
              </w:rPr>
              <w:t>marketing authorisation in Europe in the second quarter</w:t>
            </w:r>
          </w:p>
        </w:tc>
        <w:tc>
          <w:tcPr>
            <w:tcW w:w="0" w:type="dxa"/>
            <w:vAlign w:val="bottom"/>
          </w:tcPr>
          <w:p>
            <w:pPr>
              <w:spacing w:after="0"/>
              <w:rPr>
                <w:sz w:val="1"/>
                <w:szCs w:val="1"/>
                <w:color w:val="auto"/>
              </w:rPr>
            </w:pPr>
          </w:p>
        </w:tc>
      </w:tr>
      <w:tr>
        <w:trPr>
          <w:trHeight w:val="81"/>
        </w:trPr>
        <w:tc>
          <w:tcPr>
            <w:tcW w:w="2120" w:type="dxa"/>
            <w:vAlign w:val="bottom"/>
            <w:tcBorders>
              <w:left w:val="single" w:sz="8" w:color="auto"/>
              <w:right w:val="single" w:sz="8" w:color="auto"/>
            </w:tcBorders>
          </w:tcPr>
          <w:p>
            <w:pPr>
              <w:spacing w:after="0"/>
              <w:rPr>
                <w:sz w:val="7"/>
                <w:szCs w:val="7"/>
                <w:color w:val="auto"/>
              </w:rPr>
            </w:pPr>
          </w:p>
        </w:tc>
        <w:tc>
          <w:tcPr>
            <w:tcW w:w="23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ejection fraction</w:t>
            </w:r>
          </w:p>
        </w:tc>
        <w:tc>
          <w:tcPr>
            <w:tcW w:w="1620" w:type="dxa"/>
            <w:vAlign w:val="bottom"/>
            <w:tcBorders>
              <w:right w:val="single" w:sz="8" w:color="auto"/>
            </w:tcBorders>
            <w:vMerge w:val="continue"/>
          </w:tcPr>
          <w:p>
            <w:pPr>
              <w:spacing w:after="0"/>
              <w:rPr>
                <w:sz w:val="7"/>
                <w:szCs w:val="7"/>
                <w:color w:val="auto"/>
              </w:rPr>
            </w:pPr>
          </w:p>
        </w:tc>
        <w:tc>
          <w:tcPr>
            <w:tcW w:w="4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120" w:type="dxa"/>
            <w:vAlign w:val="bottom"/>
            <w:tcBorders>
              <w:left w:val="single" w:sz="8" w:color="auto"/>
              <w:right w:val="single" w:sz="8" w:color="auto"/>
            </w:tcBorders>
          </w:tcPr>
          <w:p>
            <w:pPr>
              <w:spacing w:after="0"/>
              <w:rPr>
                <w:sz w:val="11"/>
                <w:szCs w:val="11"/>
                <w:color w:val="auto"/>
              </w:rPr>
            </w:pPr>
          </w:p>
        </w:tc>
        <w:tc>
          <w:tcPr>
            <w:tcW w:w="2340" w:type="dxa"/>
            <w:vAlign w:val="bottom"/>
            <w:tcBorders>
              <w:right w:val="single" w:sz="8" w:color="auto"/>
            </w:tcBorders>
            <w:vMerge w:val="continue"/>
          </w:tcPr>
          <w:p>
            <w:pPr>
              <w:spacing w:after="0"/>
              <w:rPr>
                <w:sz w:val="11"/>
                <w:szCs w:val="11"/>
                <w:color w:val="auto"/>
              </w:rPr>
            </w:pPr>
          </w:p>
        </w:tc>
        <w:tc>
          <w:tcPr>
            <w:tcW w:w="1620" w:type="dxa"/>
            <w:vAlign w:val="bottom"/>
            <w:tcBorders>
              <w:right w:val="single" w:sz="8" w:color="auto"/>
            </w:tcBorders>
          </w:tcPr>
          <w:p>
            <w:pPr>
              <w:spacing w:after="0"/>
              <w:rPr>
                <w:sz w:val="11"/>
                <w:szCs w:val="11"/>
                <w:color w:val="auto"/>
              </w:rPr>
            </w:pPr>
          </w:p>
        </w:tc>
        <w:tc>
          <w:tcPr>
            <w:tcW w:w="4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of 2021.</w:t>
            </w:r>
          </w:p>
        </w:tc>
        <w:tc>
          <w:tcPr>
            <w:tcW w:w="0" w:type="dxa"/>
            <w:vAlign w:val="bottom"/>
          </w:tcPr>
          <w:p>
            <w:pPr>
              <w:spacing w:after="0"/>
              <w:rPr>
                <w:sz w:val="1"/>
                <w:szCs w:val="1"/>
                <w:color w:val="auto"/>
              </w:rPr>
            </w:pPr>
          </w:p>
        </w:tc>
      </w:tr>
      <w:tr>
        <w:trPr>
          <w:trHeight w:val="81"/>
        </w:trPr>
        <w:tc>
          <w:tcPr>
            <w:tcW w:w="2120" w:type="dxa"/>
            <w:vAlign w:val="bottom"/>
            <w:tcBorders>
              <w:left w:val="single" w:sz="8" w:color="auto"/>
              <w:right w:val="single" w:sz="8" w:color="auto"/>
            </w:tcBorders>
          </w:tcPr>
          <w:p>
            <w:pPr>
              <w:spacing w:after="0"/>
              <w:rPr>
                <w:sz w:val="7"/>
                <w:szCs w:val="7"/>
                <w:color w:val="auto"/>
              </w:rPr>
            </w:pPr>
          </w:p>
        </w:tc>
        <w:tc>
          <w:tcPr>
            <w:tcW w:w="2340" w:type="dxa"/>
            <w:vAlign w:val="bottom"/>
            <w:tcBorders>
              <w:right w:val="single" w:sz="8" w:color="auto"/>
            </w:tcBorders>
          </w:tcPr>
          <w:p>
            <w:pPr>
              <w:spacing w:after="0"/>
              <w:rPr>
                <w:sz w:val="7"/>
                <w:szCs w:val="7"/>
                <w:color w:val="auto"/>
              </w:rPr>
            </w:pPr>
          </w:p>
        </w:tc>
        <w:tc>
          <w:tcPr>
            <w:tcW w:w="1620" w:type="dxa"/>
            <w:vAlign w:val="bottom"/>
            <w:tcBorders>
              <w:right w:val="single" w:sz="8" w:color="auto"/>
            </w:tcBorders>
          </w:tcPr>
          <w:p>
            <w:pPr>
              <w:spacing w:after="0"/>
              <w:rPr>
                <w:sz w:val="7"/>
                <w:szCs w:val="7"/>
                <w:color w:val="auto"/>
              </w:rPr>
            </w:pPr>
          </w:p>
        </w:tc>
        <w:tc>
          <w:tcPr>
            <w:tcW w:w="4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Empagliflozin</w:t>
            </w:r>
          </w:p>
        </w:tc>
        <w:tc>
          <w:tcPr>
            <w:tcW w:w="23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46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2120" w:type="dxa"/>
            <w:vAlign w:val="bottom"/>
            <w:tcBorders>
              <w:left w:val="single" w:sz="8" w:color="auto"/>
              <w:right w:val="single" w:sz="8" w:color="auto"/>
            </w:tcBorders>
            <w:vMerge w:val="continue"/>
          </w:tcPr>
          <w:p>
            <w:pPr>
              <w:spacing w:after="0"/>
              <w:rPr>
                <w:sz w:val="14"/>
                <w:szCs w:val="14"/>
                <w:color w:val="auto"/>
              </w:rPr>
            </w:pPr>
          </w:p>
        </w:tc>
        <w:tc>
          <w:tcPr>
            <w:tcW w:w="23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Chronic kidney disease</w:t>
            </w:r>
          </w:p>
        </w:tc>
        <w:tc>
          <w:tcPr>
            <w:tcW w:w="1620" w:type="dxa"/>
            <w:vAlign w:val="bottom"/>
            <w:tcBorders>
              <w:right w:val="single" w:sz="8" w:color="auto"/>
            </w:tcBorders>
          </w:tcPr>
          <w:p>
            <w:pPr>
              <w:spacing w:after="0"/>
              <w:rPr>
                <w:sz w:val="14"/>
                <w:szCs w:val="14"/>
                <w:color w:val="auto"/>
              </w:rPr>
            </w:pPr>
          </w:p>
        </w:tc>
        <w:tc>
          <w:tcPr>
            <w:tcW w:w="4680" w:type="dxa"/>
            <w:vAlign w:val="bottom"/>
            <w:tcBorders>
              <w:right w:val="single" w:sz="8" w:color="auto"/>
            </w:tcBorders>
          </w:tcPr>
          <w:p>
            <w:pPr>
              <w:ind w:left="20"/>
              <w:spacing w:after="0" w:line="171" w:lineRule="exact"/>
              <w:rPr>
                <w:sz w:val="20"/>
                <w:szCs w:val="20"/>
                <w:color w:val="auto"/>
              </w:rPr>
            </w:pPr>
            <w:r>
              <w:rPr>
                <w:rFonts w:ascii="Arial" w:cs="Arial" w:eastAsia="Arial" w:hAnsi="Arial"/>
                <w:sz w:val="15"/>
                <w:szCs w:val="15"/>
                <w:color w:val="auto"/>
              </w:rPr>
              <w:t>Granted FDA Fast Track designation</w:t>
            </w:r>
            <w:r>
              <w:rPr>
                <w:rFonts w:ascii="Arial" w:cs="Arial" w:eastAsia="Arial" w:hAnsi="Arial"/>
                <w:sz w:val="19"/>
                <w:szCs w:val="19"/>
                <w:color w:val="auto"/>
                <w:vertAlign w:val="superscript"/>
              </w:rPr>
              <w:t>(2)</w:t>
            </w:r>
            <w:r>
              <w:rPr>
                <w:rFonts w:ascii="Arial" w:cs="Arial" w:eastAsia="Arial" w:hAnsi="Arial"/>
                <w:sz w:val="15"/>
                <w:szCs w:val="15"/>
                <w:color w:val="auto"/>
              </w:rPr>
              <w:t>. Phase III trials are</w:t>
            </w:r>
          </w:p>
        </w:tc>
        <w:tc>
          <w:tcPr>
            <w:tcW w:w="0" w:type="dxa"/>
            <w:vAlign w:val="bottom"/>
          </w:tcPr>
          <w:p>
            <w:pPr>
              <w:spacing w:after="0"/>
              <w:rPr>
                <w:sz w:val="1"/>
                <w:szCs w:val="1"/>
                <w:color w:val="auto"/>
              </w:rPr>
            </w:pPr>
          </w:p>
        </w:tc>
      </w:tr>
      <w:tr>
        <w:trPr>
          <w:trHeight w:val="241"/>
        </w:trPr>
        <w:tc>
          <w:tcPr>
            <w:tcW w:w="2120" w:type="dxa"/>
            <w:vAlign w:val="bottom"/>
            <w:tcBorders>
              <w:left w:val="single" w:sz="8" w:color="auto"/>
              <w:right w:val="single" w:sz="8" w:color="auto"/>
            </w:tcBorders>
          </w:tcPr>
          <w:p>
            <w:pPr>
              <w:ind w:left="40"/>
              <w:spacing w:after="0" w:line="241" w:lineRule="exact"/>
              <w:rPr>
                <w:sz w:val="20"/>
                <w:szCs w:val="20"/>
                <w:color w:val="auto"/>
              </w:rPr>
            </w:pPr>
            <w:r>
              <w:rPr>
                <w:rFonts w:ascii="Arial" w:cs="Arial" w:eastAsia="Arial" w:hAnsi="Arial"/>
                <w:sz w:val="18"/>
                <w:szCs w:val="18"/>
                <w:color w:val="auto"/>
              </w:rPr>
              <w:t>(Jardiance</w:t>
            </w:r>
            <w:r>
              <w:rPr>
                <w:rFonts w:ascii="Arial" w:cs="Arial" w:eastAsia="Arial" w:hAnsi="Arial"/>
                <w:sz w:val="23"/>
                <w:szCs w:val="23"/>
                <w:b w:val="1"/>
                <w:bCs w:val="1"/>
                <w:color w:val="auto"/>
                <w:vertAlign w:val="superscript"/>
              </w:rPr>
              <w:t>®</w:t>
            </w:r>
            <w:r>
              <w:rPr>
                <w:rFonts w:ascii="Arial" w:cs="Arial" w:eastAsia="Arial" w:hAnsi="Arial"/>
                <w:sz w:val="18"/>
                <w:szCs w:val="18"/>
                <w:color w:val="auto"/>
              </w:rPr>
              <w:t>)</w:t>
            </w:r>
            <w:r>
              <w:rPr>
                <w:rFonts w:ascii="Arial" w:cs="Arial" w:eastAsia="Arial" w:hAnsi="Arial"/>
                <w:sz w:val="23"/>
                <w:szCs w:val="23"/>
                <w:color w:val="auto"/>
                <w:vertAlign w:val="superscript"/>
              </w:rPr>
              <w:t>(1)</w:t>
            </w:r>
          </w:p>
        </w:tc>
        <w:tc>
          <w:tcPr>
            <w:tcW w:w="2340" w:type="dxa"/>
            <w:vAlign w:val="bottom"/>
            <w:tcBorders>
              <w:bottom w:val="single" w:sz="8" w:color="auto"/>
              <w:right w:val="single" w:sz="8" w:color="auto"/>
            </w:tcBorders>
            <w:vMerge w:val="continue"/>
          </w:tcPr>
          <w:p>
            <w:pPr>
              <w:spacing w:after="0"/>
              <w:rPr>
                <w:sz w:val="20"/>
                <w:szCs w:val="20"/>
                <w:color w:val="auto"/>
              </w:rPr>
            </w:pP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Phase III</w:t>
            </w:r>
          </w:p>
        </w:tc>
        <w:tc>
          <w:tcPr>
            <w:tcW w:w="4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ongoing.</w:t>
            </w:r>
          </w:p>
        </w:tc>
        <w:tc>
          <w:tcPr>
            <w:tcW w:w="0" w:type="dxa"/>
            <w:vAlign w:val="bottom"/>
          </w:tcPr>
          <w:p>
            <w:pPr>
              <w:spacing w:after="0"/>
              <w:rPr>
                <w:sz w:val="1"/>
                <w:szCs w:val="1"/>
                <w:color w:val="auto"/>
              </w:rPr>
            </w:pPr>
          </w:p>
        </w:tc>
      </w:tr>
      <w:tr>
        <w:trPr>
          <w:trHeight w:val="196"/>
        </w:trPr>
        <w:tc>
          <w:tcPr>
            <w:tcW w:w="212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Heart failure with preserved</w:t>
            </w:r>
          </w:p>
        </w:tc>
        <w:tc>
          <w:tcPr>
            <w:tcW w:w="1620" w:type="dxa"/>
            <w:vAlign w:val="bottom"/>
            <w:tcBorders>
              <w:right w:val="single" w:sz="8" w:color="auto"/>
            </w:tcBorders>
            <w:vMerge w:val="continue"/>
          </w:tcPr>
          <w:p>
            <w:pPr>
              <w:spacing w:after="0"/>
              <w:rPr>
                <w:sz w:val="17"/>
                <w:szCs w:val="17"/>
                <w:color w:val="auto"/>
              </w:rPr>
            </w:pPr>
          </w:p>
        </w:tc>
        <w:tc>
          <w:tcPr>
            <w:tcW w:w="4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Granted FDA Fast Track designation</w:t>
            </w:r>
            <w:r>
              <w:rPr>
                <w:rFonts w:ascii="Arial" w:cs="Arial" w:eastAsia="Arial" w:hAnsi="Arial"/>
                <w:sz w:val="23"/>
                <w:szCs w:val="23"/>
                <w:color w:val="auto"/>
                <w:vertAlign w:val="superscript"/>
              </w:rPr>
              <w:t>(2)</w:t>
            </w:r>
            <w:r>
              <w:rPr>
                <w:rFonts w:ascii="Arial" w:cs="Arial" w:eastAsia="Arial" w:hAnsi="Arial"/>
                <w:sz w:val="18"/>
                <w:szCs w:val="18"/>
                <w:color w:val="auto"/>
              </w:rPr>
              <w:t>. Announced in</w:t>
            </w:r>
          </w:p>
        </w:tc>
        <w:tc>
          <w:tcPr>
            <w:tcW w:w="0" w:type="dxa"/>
            <w:vAlign w:val="bottom"/>
          </w:tcPr>
          <w:p>
            <w:pPr>
              <w:spacing w:after="0"/>
              <w:rPr>
                <w:sz w:val="1"/>
                <w:szCs w:val="1"/>
                <w:color w:val="auto"/>
              </w:rPr>
            </w:pPr>
          </w:p>
        </w:tc>
      </w:tr>
      <w:tr>
        <w:trPr>
          <w:trHeight w:val="94"/>
        </w:trPr>
        <w:tc>
          <w:tcPr>
            <w:tcW w:w="2120" w:type="dxa"/>
            <w:vAlign w:val="bottom"/>
            <w:tcBorders>
              <w:left w:val="single" w:sz="8" w:color="auto"/>
              <w:right w:val="single" w:sz="8" w:color="auto"/>
            </w:tcBorders>
          </w:tcPr>
          <w:p>
            <w:pPr>
              <w:spacing w:after="0"/>
              <w:rPr>
                <w:sz w:val="8"/>
                <w:szCs w:val="8"/>
                <w:color w:val="auto"/>
              </w:rPr>
            </w:pPr>
          </w:p>
        </w:tc>
        <w:tc>
          <w:tcPr>
            <w:tcW w:w="2340" w:type="dxa"/>
            <w:vAlign w:val="bottom"/>
            <w:tcBorders>
              <w:right w:val="single" w:sz="8" w:color="auto"/>
            </w:tcBorders>
            <w:vMerge w:val="continue"/>
          </w:tcPr>
          <w:p>
            <w:pPr>
              <w:spacing w:after="0"/>
              <w:rPr>
                <w:sz w:val="8"/>
                <w:szCs w:val="8"/>
                <w:color w:val="auto"/>
              </w:rPr>
            </w:pPr>
          </w:p>
        </w:tc>
        <w:tc>
          <w:tcPr>
            <w:tcW w:w="1620" w:type="dxa"/>
            <w:vAlign w:val="bottom"/>
            <w:tcBorders>
              <w:right w:val="single" w:sz="8" w:color="auto"/>
            </w:tcBorders>
          </w:tcPr>
          <w:p>
            <w:pPr>
              <w:spacing w:after="0"/>
              <w:rPr>
                <w:sz w:val="8"/>
                <w:szCs w:val="8"/>
                <w:color w:val="auto"/>
              </w:rPr>
            </w:pPr>
          </w:p>
        </w:tc>
        <w:tc>
          <w:tcPr>
            <w:tcW w:w="46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120" w:type="dxa"/>
            <w:vAlign w:val="bottom"/>
            <w:tcBorders>
              <w:left w:val="single" w:sz="8" w:color="auto"/>
              <w:right w:val="single" w:sz="8" w:color="auto"/>
            </w:tcBorders>
          </w:tcPr>
          <w:p>
            <w:pPr>
              <w:spacing w:after="0"/>
              <w:rPr>
                <w:sz w:val="18"/>
                <w:szCs w:val="18"/>
                <w:color w:val="auto"/>
              </w:rPr>
            </w:pPr>
          </w:p>
        </w:tc>
        <w:tc>
          <w:tcPr>
            <w:tcW w:w="23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ejection fraction</w:t>
            </w:r>
          </w:p>
        </w:tc>
        <w:tc>
          <w:tcPr>
            <w:tcW w:w="1620" w:type="dxa"/>
            <w:vAlign w:val="bottom"/>
            <w:tcBorders>
              <w:right w:val="single" w:sz="8" w:color="auto"/>
            </w:tcBorders>
          </w:tcPr>
          <w:p>
            <w:pPr>
              <w:spacing w:after="0"/>
              <w:rPr>
                <w:sz w:val="18"/>
                <w:szCs w:val="18"/>
                <w:color w:val="auto"/>
              </w:rPr>
            </w:pPr>
          </w:p>
        </w:tc>
        <w:tc>
          <w:tcPr>
            <w:tcW w:w="4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July 2021 that a Phase III trial met the primary endpoint.</w:t>
            </w:r>
          </w:p>
        </w:tc>
        <w:tc>
          <w:tcPr>
            <w:tcW w:w="0" w:type="dxa"/>
            <w:vAlign w:val="bottom"/>
          </w:tcPr>
          <w:p>
            <w:pPr>
              <w:spacing w:after="0"/>
              <w:rPr>
                <w:sz w:val="1"/>
                <w:szCs w:val="1"/>
                <w:color w:val="auto"/>
              </w:rPr>
            </w:pPr>
          </w:p>
        </w:tc>
      </w:tr>
      <w:tr>
        <w:trPr>
          <w:trHeight w:val="108"/>
        </w:trPr>
        <w:tc>
          <w:tcPr>
            <w:tcW w:w="2120" w:type="dxa"/>
            <w:vAlign w:val="bottom"/>
            <w:tcBorders>
              <w:left w:val="single" w:sz="8" w:color="auto"/>
              <w:bottom w:val="single" w:sz="8" w:color="auto"/>
              <w:right w:val="single" w:sz="8" w:color="auto"/>
            </w:tcBorders>
          </w:tcPr>
          <w:p>
            <w:pPr>
              <w:spacing w:after="0"/>
              <w:rPr>
                <w:sz w:val="9"/>
                <w:szCs w:val="9"/>
                <w:color w:val="auto"/>
              </w:rPr>
            </w:pPr>
          </w:p>
        </w:tc>
        <w:tc>
          <w:tcPr>
            <w:tcW w:w="2340" w:type="dxa"/>
            <w:vAlign w:val="bottom"/>
            <w:tcBorders>
              <w:bottom w:val="single" w:sz="8" w:color="auto"/>
              <w:right w:val="single" w:sz="8" w:color="auto"/>
            </w:tcBorders>
          </w:tcPr>
          <w:p>
            <w:pPr>
              <w:spacing w:after="0"/>
              <w:rPr>
                <w:sz w:val="9"/>
                <w:szCs w:val="9"/>
                <w:color w:val="auto"/>
              </w:rPr>
            </w:pPr>
          </w:p>
        </w:tc>
        <w:tc>
          <w:tcPr>
            <w:tcW w:w="1620" w:type="dxa"/>
            <w:vAlign w:val="bottom"/>
            <w:tcBorders>
              <w:bottom w:val="single" w:sz="8" w:color="auto"/>
              <w:right w:val="single" w:sz="8" w:color="auto"/>
            </w:tcBorders>
          </w:tcPr>
          <w:p>
            <w:pPr>
              <w:spacing w:after="0"/>
              <w:rPr>
                <w:sz w:val="9"/>
                <w:szCs w:val="9"/>
                <w:color w:val="auto"/>
              </w:rPr>
            </w:pPr>
          </w:p>
        </w:tc>
        <w:tc>
          <w:tcPr>
            <w:tcW w:w="46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1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Immunology</w:t>
            </w:r>
          </w:p>
        </w:tc>
        <w:tc>
          <w:tcPr>
            <w:tcW w:w="23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46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90"/>
        </w:trPr>
        <w:tc>
          <w:tcPr>
            <w:tcW w:w="2120" w:type="dxa"/>
            <w:vAlign w:val="bottom"/>
            <w:tcBorders>
              <w:left w:val="single" w:sz="8" w:color="auto"/>
              <w:right w:val="single" w:sz="8" w:color="auto"/>
            </w:tcBorders>
          </w:tcPr>
          <w:p>
            <w:pPr>
              <w:spacing w:after="0"/>
              <w:rPr>
                <w:sz w:val="24"/>
                <w:szCs w:val="24"/>
                <w:color w:val="auto"/>
              </w:rPr>
            </w:pPr>
          </w:p>
        </w:tc>
        <w:tc>
          <w:tcPr>
            <w:tcW w:w="23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4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Approved in Europe and Japan. Announced in July 2021</w:t>
            </w:r>
          </w:p>
        </w:tc>
        <w:tc>
          <w:tcPr>
            <w:tcW w:w="0" w:type="dxa"/>
            <w:vAlign w:val="bottom"/>
          </w:tcPr>
          <w:p>
            <w:pPr>
              <w:spacing w:after="0"/>
              <w:rPr>
                <w:sz w:val="1"/>
                <w:szCs w:val="1"/>
                <w:color w:val="auto"/>
              </w:rPr>
            </w:pPr>
          </w:p>
        </w:tc>
      </w:tr>
      <w:tr>
        <w:trPr>
          <w:trHeight w:val="175"/>
        </w:trPr>
        <w:tc>
          <w:tcPr>
            <w:tcW w:w="2120" w:type="dxa"/>
            <w:vAlign w:val="bottom"/>
            <w:tcBorders>
              <w:left w:val="single" w:sz="8" w:color="auto"/>
              <w:right w:val="single" w:sz="8" w:color="auto"/>
            </w:tcBorders>
          </w:tcPr>
          <w:p>
            <w:pPr>
              <w:spacing w:after="0"/>
              <w:rPr>
                <w:sz w:val="15"/>
                <w:szCs w:val="15"/>
                <w:color w:val="auto"/>
              </w:rPr>
            </w:pPr>
          </w:p>
        </w:tc>
        <w:tc>
          <w:tcPr>
            <w:tcW w:w="234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Atopic dermatitis</w:t>
            </w:r>
          </w:p>
        </w:tc>
        <w:tc>
          <w:tcPr>
            <w:tcW w:w="162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rPr>
              <w:t>Approved</w:t>
            </w:r>
          </w:p>
        </w:tc>
        <w:tc>
          <w:tcPr>
            <w:tcW w:w="46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that the FDA will not meet the Prescription Drug User Fee</w:t>
            </w:r>
          </w:p>
        </w:tc>
        <w:tc>
          <w:tcPr>
            <w:tcW w:w="0" w:type="dxa"/>
            <w:vAlign w:val="bottom"/>
          </w:tcPr>
          <w:p>
            <w:pPr>
              <w:spacing w:after="0"/>
              <w:rPr>
                <w:sz w:val="1"/>
                <w:szCs w:val="1"/>
                <w:color w:val="auto"/>
              </w:rPr>
            </w:pPr>
          </w:p>
        </w:tc>
      </w:tr>
      <w:tr>
        <w:trPr>
          <w:trHeight w:val="217"/>
        </w:trPr>
        <w:tc>
          <w:tcPr>
            <w:tcW w:w="2120" w:type="dxa"/>
            <w:vAlign w:val="bottom"/>
            <w:tcBorders>
              <w:left w:val="single" w:sz="8" w:color="auto"/>
              <w:right w:val="single" w:sz="8" w:color="auto"/>
            </w:tcBorders>
          </w:tcPr>
          <w:p>
            <w:pPr>
              <w:spacing w:after="0"/>
              <w:rPr>
                <w:sz w:val="18"/>
                <w:szCs w:val="18"/>
                <w:color w:val="auto"/>
              </w:rPr>
            </w:pPr>
          </w:p>
        </w:tc>
        <w:tc>
          <w:tcPr>
            <w:tcW w:w="234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4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Act action date for the submission in the U.S.</w:t>
            </w:r>
          </w:p>
        </w:tc>
        <w:tc>
          <w:tcPr>
            <w:tcW w:w="0" w:type="dxa"/>
            <w:vAlign w:val="bottom"/>
          </w:tcPr>
          <w:p>
            <w:pPr>
              <w:spacing w:after="0"/>
              <w:rPr>
                <w:sz w:val="1"/>
                <w:szCs w:val="1"/>
                <w:color w:val="auto"/>
              </w:rPr>
            </w:pPr>
          </w:p>
        </w:tc>
      </w:tr>
      <w:tr>
        <w:trPr>
          <w:trHeight w:val="108"/>
        </w:trPr>
        <w:tc>
          <w:tcPr>
            <w:tcW w:w="2120" w:type="dxa"/>
            <w:vAlign w:val="bottom"/>
            <w:tcBorders>
              <w:left w:val="single" w:sz="8" w:color="auto"/>
              <w:right w:val="single" w:sz="8" w:color="auto"/>
            </w:tcBorders>
          </w:tcPr>
          <w:p>
            <w:pPr>
              <w:spacing w:after="0"/>
              <w:rPr>
                <w:sz w:val="9"/>
                <w:szCs w:val="9"/>
                <w:color w:val="auto"/>
              </w:rPr>
            </w:pPr>
          </w:p>
        </w:tc>
        <w:tc>
          <w:tcPr>
            <w:tcW w:w="2340" w:type="dxa"/>
            <w:vAlign w:val="bottom"/>
            <w:tcBorders>
              <w:bottom w:val="single" w:sz="8" w:color="auto"/>
              <w:right w:val="single" w:sz="8" w:color="auto"/>
            </w:tcBorders>
          </w:tcPr>
          <w:p>
            <w:pPr>
              <w:spacing w:after="0"/>
              <w:rPr>
                <w:sz w:val="9"/>
                <w:szCs w:val="9"/>
                <w:color w:val="auto"/>
              </w:rPr>
            </w:pPr>
          </w:p>
        </w:tc>
        <w:tc>
          <w:tcPr>
            <w:tcW w:w="1620" w:type="dxa"/>
            <w:vAlign w:val="bottom"/>
            <w:tcBorders>
              <w:bottom w:val="single" w:sz="8" w:color="auto"/>
              <w:right w:val="single" w:sz="8" w:color="auto"/>
            </w:tcBorders>
          </w:tcPr>
          <w:p>
            <w:pPr>
              <w:spacing w:after="0"/>
              <w:rPr>
                <w:sz w:val="9"/>
                <w:szCs w:val="9"/>
                <w:color w:val="auto"/>
              </w:rPr>
            </w:pPr>
          </w:p>
        </w:tc>
        <w:tc>
          <w:tcPr>
            <w:tcW w:w="46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120" w:type="dxa"/>
            <w:vAlign w:val="bottom"/>
            <w:tcBorders>
              <w:left w:val="single" w:sz="8" w:color="auto"/>
              <w:right w:val="single" w:sz="8" w:color="auto"/>
            </w:tcBorders>
          </w:tcPr>
          <w:p>
            <w:pPr>
              <w:spacing w:after="0"/>
              <w:rPr>
                <w:sz w:val="22"/>
                <w:szCs w:val="22"/>
                <w:color w:val="auto"/>
              </w:rPr>
            </w:pPr>
          </w:p>
        </w:tc>
        <w:tc>
          <w:tcPr>
            <w:tcW w:w="2340" w:type="dxa"/>
            <w:vAlign w:val="bottom"/>
            <w:tcBorders>
              <w:right w:val="single" w:sz="8" w:color="auto"/>
            </w:tcBorders>
          </w:tcPr>
          <w:p>
            <w:pPr>
              <w:spacing w:after="0"/>
              <w:rPr>
                <w:sz w:val="22"/>
                <w:szCs w:val="22"/>
                <w:color w:val="auto"/>
              </w:rPr>
            </w:pPr>
          </w:p>
        </w:tc>
        <w:tc>
          <w:tcPr>
            <w:tcW w:w="1620" w:type="dxa"/>
            <w:vAlign w:val="bottom"/>
            <w:tcBorders>
              <w:right w:val="single" w:sz="8" w:color="auto"/>
            </w:tcBorders>
          </w:tcPr>
          <w:p>
            <w:pPr>
              <w:spacing w:after="0"/>
              <w:rPr>
                <w:sz w:val="22"/>
                <w:szCs w:val="22"/>
                <w:color w:val="auto"/>
              </w:rPr>
            </w:pPr>
          </w:p>
        </w:tc>
        <w:tc>
          <w:tcPr>
            <w:tcW w:w="4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Announced in the second quarter of 2021 that a Phase III</w:t>
            </w:r>
          </w:p>
        </w:tc>
        <w:tc>
          <w:tcPr>
            <w:tcW w:w="0" w:type="dxa"/>
            <w:vAlign w:val="bottom"/>
          </w:tcPr>
          <w:p>
            <w:pPr>
              <w:spacing w:after="0"/>
              <w:rPr>
                <w:sz w:val="1"/>
                <w:szCs w:val="1"/>
                <w:color w:val="auto"/>
              </w:rPr>
            </w:pPr>
          </w:p>
        </w:tc>
      </w:tr>
      <w:tr>
        <w:trPr>
          <w:trHeight w:val="176"/>
        </w:trPr>
        <w:tc>
          <w:tcPr>
            <w:tcW w:w="2120" w:type="dxa"/>
            <w:vAlign w:val="bottom"/>
            <w:tcBorders>
              <w:left w:val="single" w:sz="8" w:color="auto"/>
              <w:right w:val="single" w:sz="8" w:color="auto"/>
            </w:tcBorders>
          </w:tcPr>
          <w:p>
            <w:pPr>
              <w:spacing w:after="0"/>
              <w:rPr>
                <w:sz w:val="15"/>
                <w:szCs w:val="15"/>
                <w:color w:val="auto"/>
              </w:rPr>
            </w:pPr>
          </w:p>
        </w:tc>
        <w:tc>
          <w:tcPr>
            <w:tcW w:w="2340" w:type="dxa"/>
            <w:vAlign w:val="bottom"/>
            <w:tcBorders>
              <w:right w:val="single" w:sz="8" w:color="auto"/>
            </w:tcBorders>
          </w:tcPr>
          <w:p>
            <w:pPr>
              <w:spacing w:after="0"/>
              <w:rPr>
                <w:sz w:val="15"/>
                <w:szCs w:val="15"/>
                <w:color w:val="auto"/>
              </w:rPr>
            </w:pPr>
          </w:p>
        </w:tc>
        <w:tc>
          <w:tcPr>
            <w:tcW w:w="1620" w:type="dxa"/>
            <w:vAlign w:val="bottom"/>
            <w:tcBorders>
              <w:right w:val="single" w:sz="8" w:color="auto"/>
            </w:tcBorders>
          </w:tcPr>
          <w:p>
            <w:pPr>
              <w:spacing w:after="0"/>
              <w:rPr>
                <w:sz w:val="15"/>
                <w:szCs w:val="15"/>
                <w:color w:val="auto"/>
              </w:rPr>
            </w:pPr>
          </w:p>
        </w:tc>
        <w:tc>
          <w:tcPr>
            <w:tcW w:w="46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trial evaluating baricitinib 4 mg once daily plus standard of</w:t>
            </w:r>
          </w:p>
        </w:tc>
        <w:tc>
          <w:tcPr>
            <w:tcW w:w="0" w:type="dxa"/>
            <w:vAlign w:val="bottom"/>
          </w:tcPr>
          <w:p>
            <w:pPr>
              <w:spacing w:after="0"/>
              <w:rPr>
                <w:sz w:val="1"/>
                <w:szCs w:val="1"/>
                <w:color w:val="auto"/>
              </w:rPr>
            </w:pPr>
          </w:p>
        </w:tc>
      </w:tr>
      <w:tr>
        <w:trPr>
          <w:trHeight w:val="165"/>
        </w:trPr>
        <w:tc>
          <w:tcPr>
            <w:tcW w:w="2120" w:type="dxa"/>
            <w:vAlign w:val="bottom"/>
            <w:tcBorders>
              <w:left w:val="single" w:sz="8" w:color="auto"/>
              <w:right w:val="single" w:sz="8" w:color="auto"/>
            </w:tcBorders>
          </w:tcPr>
          <w:p>
            <w:pPr>
              <w:spacing w:after="0"/>
              <w:rPr>
                <w:sz w:val="14"/>
                <w:szCs w:val="14"/>
                <w:color w:val="auto"/>
              </w:rPr>
            </w:pPr>
          </w:p>
        </w:tc>
        <w:tc>
          <w:tcPr>
            <w:tcW w:w="23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COVID-19</w:t>
            </w:r>
          </w:p>
        </w:tc>
        <w:tc>
          <w:tcPr>
            <w:tcW w:w="1620" w:type="dxa"/>
            <w:vAlign w:val="bottom"/>
            <w:tcBorders>
              <w:right w:val="single" w:sz="8" w:color="auto"/>
            </w:tcBorders>
          </w:tcPr>
          <w:p>
            <w:pPr>
              <w:jc w:val="center"/>
              <w:spacing w:after="0" w:line="165" w:lineRule="exact"/>
              <w:rPr>
                <w:sz w:val="20"/>
                <w:szCs w:val="20"/>
                <w:color w:val="auto"/>
              </w:rPr>
            </w:pPr>
            <w:r>
              <w:rPr>
                <w:rFonts w:ascii="Arial" w:cs="Arial" w:eastAsia="Arial" w:hAnsi="Arial"/>
                <w:sz w:val="18"/>
                <w:szCs w:val="18"/>
                <w:color w:val="auto"/>
                <w:w w:val="99"/>
              </w:rPr>
              <w:t>Emergency Use</w:t>
            </w:r>
          </w:p>
        </w:tc>
        <w:tc>
          <w:tcPr>
            <w:tcW w:w="4680" w:type="dxa"/>
            <w:vAlign w:val="bottom"/>
            <w:tcBorders>
              <w:right w:val="single" w:sz="8" w:color="auto"/>
            </w:tcBorders>
          </w:tcPr>
          <w:p>
            <w:pPr>
              <w:ind w:left="20"/>
              <w:spacing w:after="0" w:line="165" w:lineRule="exact"/>
              <w:rPr>
                <w:sz w:val="20"/>
                <w:szCs w:val="20"/>
                <w:color w:val="auto"/>
              </w:rPr>
            </w:pPr>
            <w:r>
              <w:rPr>
                <w:rFonts w:ascii="Arial" w:cs="Arial" w:eastAsia="Arial" w:hAnsi="Arial"/>
                <w:sz w:val="18"/>
                <w:szCs w:val="18"/>
                <w:color w:val="auto"/>
              </w:rPr>
              <w:t>care did not meet the primary endpoint, but did result in a</w:t>
            </w:r>
          </w:p>
        </w:tc>
        <w:tc>
          <w:tcPr>
            <w:tcW w:w="0" w:type="dxa"/>
            <w:vAlign w:val="bottom"/>
          </w:tcPr>
          <w:p>
            <w:pPr>
              <w:spacing w:after="0"/>
              <w:rPr>
                <w:sz w:val="1"/>
                <w:szCs w:val="1"/>
                <w:color w:val="auto"/>
              </w:rPr>
            </w:pPr>
          </w:p>
        </w:tc>
      </w:tr>
      <w:tr>
        <w:trPr>
          <w:trHeight w:val="186"/>
        </w:trPr>
        <w:tc>
          <w:tcPr>
            <w:tcW w:w="2120" w:type="dxa"/>
            <w:vAlign w:val="bottom"/>
            <w:tcBorders>
              <w:left w:val="single" w:sz="8" w:color="auto"/>
              <w:right w:val="single" w:sz="8" w:color="auto"/>
            </w:tcBorders>
          </w:tcPr>
          <w:p>
            <w:pPr>
              <w:spacing w:after="0"/>
              <w:rPr>
                <w:sz w:val="16"/>
                <w:szCs w:val="16"/>
                <w:color w:val="auto"/>
              </w:rPr>
            </w:pPr>
          </w:p>
        </w:tc>
        <w:tc>
          <w:tcPr>
            <w:tcW w:w="2340" w:type="dxa"/>
            <w:vAlign w:val="bottom"/>
            <w:tcBorders>
              <w:right w:val="single" w:sz="8" w:color="auto"/>
            </w:tcBorders>
            <w:vMerge w:val="continue"/>
          </w:tcPr>
          <w:p>
            <w:pPr>
              <w:spacing w:after="0"/>
              <w:rPr>
                <w:sz w:val="16"/>
                <w:szCs w:val="16"/>
                <w:color w:val="auto"/>
              </w:rPr>
            </w:pPr>
          </w:p>
        </w:tc>
        <w:tc>
          <w:tcPr>
            <w:tcW w:w="162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rPr>
              <w:t>Authorization</w:t>
            </w:r>
            <w:r>
              <w:rPr>
                <w:rFonts w:ascii="Arial" w:cs="Arial" w:eastAsia="Arial" w:hAnsi="Arial"/>
                <w:sz w:val="21"/>
                <w:szCs w:val="21"/>
                <w:color w:val="auto"/>
                <w:vertAlign w:val="superscript"/>
              </w:rPr>
              <w:t>(3)</w:t>
            </w:r>
          </w:p>
        </w:tc>
        <w:tc>
          <w:tcPr>
            <w:tcW w:w="4680" w:type="dxa"/>
            <w:vAlign w:val="bottom"/>
            <w:tcBorders>
              <w:right w:val="single" w:sz="8" w:color="auto"/>
            </w:tcBorders>
          </w:tcPr>
          <w:p>
            <w:pPr>
              <w:ind w:left="20"/>
              <w:spacing w:after="0" w:line="186" w:lineRule="exact"/>
              <w:rPr>
                <w:sz w:val="20"/>
                <w:szCs w:val="20"/>
                <w:color w:val="auto"/>
              </w:rPr>
            </w:pPr>
            <w:r>
              <w:rPr>
                <w:rFonts w:ascii="Arial" w:cs="Arial" w:eastAsia="Arial" w:hAnsi="Arial"/>
                <w:sz w:val="18"/>
                <w:szCs w:val="18"/>
                <w:color w:val="auto"/>
              </w:rPr>
              <w:t>significant reduction in death. In July 2021, the FDA</w:t>
            </w:r>
          </w:p>
        </w:tc>
        <w:tc>
          <w:tcPr>
            <w:tcW w:w="0" w:type="dxa"/>
            <w:vAlign w:val="bottom"/>
          </w:tcPr>
          <w:p>
            <w:pPr>
              <w:spacing w:after="0"/>
              <w:rPr>
                <w:sz w:val="1"/>
                <w:szCs w:val="1"/>
                <w:color w:val="auto"/>
              </w:rPr>
            </w:pPr>
          </w:p>
        </w:tc>
      </w:tr>
      <w:tr>
        <w:trPr>
          <w:trHeight w:val="203"/>
        </w:trPr>
        <w:tc>
          <w:tcPr>
            <w:tcW w:w="2120" w:type="dxa"/>
            <w:vAlign w:val="bottom"/>
            <w:tcBorders>
              <w:left w:val="single" w:sz="8" w:color="auto"/>
              <w:right w:val="single" w:sz="8" w:color="auto"/>
            </w:tcBorders>
          </w:tcPr>
          <w:p>
            <w:pPr>
              <w:ind w:left="40"/>
              <w:spacing w:after="0" w:line="203" w:lineRule="exact"/>
              <w:rPr>
                <w:sz w:val="20"/>
                <w:szCs w:val="20"/>
                <w:color w:val="auto"/>
              </w:rPr>
            </w:pPr>
            <w:r>
              <w:rPr>
                <w:rFonts w:ascii="Arial" w:cs="Arial" w:eastAsia="Arial" w:hAnsi="Arial"/>
                <w:sz w:val="18"/>
                <w:szCs w:val="18"/>
                <w:color w:val="auto"/>
              </w:rPr>
              <w:t>Baricitinib (Olumiant</w:t>
            </w:r>
            <w:r>
              <w:rPr>
                <w:rFonts w:ascii="Arial" w:cs="Arial" w:eastAsia="Arial" w:hAnsi="Arial"/>
                <w:sz w:val="23"/>
                <w:szCs w:val="23"/>
                <w:b w:val="1"/>
                <w:bCs w:val="1"/>
                <w:color w:val="auto"/>
                <w:vertAlign w:val="superscript"/>
              </w:rPr>
              <w:t>®</w:t>
            </w:r>
            <w:r>
              <w:rPr>
                <w:rFonts w:ascii="Arial" w:cs="Arial" w:eastAsia="Arial" w:hAnsi="Arial"/>
                <w:sz w:val="18"/>
                <w:szCs w:val="18"/>
                <w:color w:val="auto"/>
              </w:rPr>
              <w:t>)</w:t>
            </w:r>
          </w:p>
        </w:tc>
        <w:tc>
          <w:tcPr>
            <w:tcW w:w="234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4680" w:type="dxa"/>
            <w:vAlign w:val="bottom"/>
            <w:tcBorders>
              <w:right w:val="single" w:sz="8" w:color="auto"/>
            </w:tcBorders>
          </w:tcPr>
          <w:p>
            <w:pPr>
              <w:ind w:left="20"/>
              <w:spacing w:after="0" w:line="203" w:lineRule="exact"/>
              <w:rPr>
                <w:sz w:val="20"/>
                <w:szCs w:val="20"/>
                <w:color w:val="auto"/>
              </w:rPr>
            </w:pPr>
            <w:r>
              <w:rPr>
                <w:rFonts w:ascii="Arial" w:cs="Arial" w:eastAsia="Arial" w:hAnsi="Arial"/>
                <w:sz w:val="18"/>
                <w:szCs w:val="18"/>
                <w:color w:val="auto"/>
              </w:rPr>
              <w:t>broadened the EUA for baricitinib to allow for treatment</w:t>
            </w:r>
          </w:p>
        </w:tc>
        <w:tc>
          <w:tcPr>
            <w:tcW w:w="0" w:type="dxa"/>
            <w:vAlign w:val="bottom"/>
          </w:tcPr>
          <w:p>
            <w:pPr>
              <w:spacing w:after="0"/>
              <w:rPr>
                <w:sz w:val="1"/>
                <w:szCs w:val="1"/>
                <w:color w:val="auto"/>
              </w:rPr>
            </w:pPr>
          </w:p>
        </w:tc>
      </w:tr>
      <w:tr>
        <w:trPr>
          <w:trHeight w:val="217"/>
        </w:trPr>
        <w:tc>
          <w:tcPr>
            <w:tcW w:w="2120" w:type="dxa"/>
            <w:vAlign w:val="bottom"/>
            <w:tcBorders>
              <w:left w:val="single" w:sz="8" w:color="auto"/>
              <w:right w:val="single" w:sz="8" w:color="auto"/>
            </w:tcBorders>
          </w:tcPr>
          <w:p>
            <w:pPr>
              <w:spacing w:after="0"/>
              <w:rPr>
                <w:sz w:val="18"/>
                <w:szCs w:val="18"/>
                <w:color w:val="auto"/>
              </w:rPr>
            </w:pPr>
          </w:p>
        </w:tc>
        <w:tc>
          <w:tcPr>
            <w:tcW w:w="234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4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with or without remdesivir.</w:t>
            </w:r>
          </w:p>
        </w:tc>
        <w:tc>
          <w:tcPr>
            <w:tcW w:w="0" w:type="dxa"/>
            <w:vAlign w:val="bottom"/>
          </w:tcPr>
          <w:p>
            <w:pPr>
              <w:spacing w:after="0"/>
              <w:rPr>
                <w:sz w:val="1"/>
                <w:szCs w:val="1"/>
                <w:color w:val="auto"/>
              </w:rPr>
            </w:pPr>
          </w:p>
        </w:tc>
      </w:tr>
      <w:tr>
        <w:trPr>
          <w:trHeight w:val="67"/>
        </w:trPr>
        <w:tc>
          <w:tcPr>
            <w:tcW w:w="2120" w:type="dxa"/>
            <w:vAlign w:val="bottom"/>
            <w:tcBorders>
              <w:left w:val="single" w:sz="8" w:color="auto"/>
              <w:right w:val="single" w:sz="8" w:color="auto"/>
            </w:tcBorders>
          </w:tcPr>
          <w:p>
            <w:pPr>
              <w:spacing w:after="0"/>
              <w:rPr>
                <w:sz w:val="5"/>
                <w:szCs w:val="5"/>
                <w:color w:val="auto"/>
              </w:rPr>
            </w:pPr>
          </w:p>
        </w:tc>
        <w:tc>
          <w:tcPr>
            <w:tcW w:w="2340" w:type="dxa"/>
            <w:vAlign w:val="bottom"/>
            <w:tcBorders>
              <w:bottom w:val="single" w:sz="8" w:color="auto"/>
              <w:right w:val="single" w:sz="8" w:color="auto"/>
            </w:tcBorders>
          </w:tcPr>
          <w:p>
            <w:pPr>
              <w:spacing w:after="0"/>
              <w:rPr>
                <w:sz w:val="5"/>
                <w:szCs w:val="5"/>
                <w:color w:val="auto"/>
              </w:rPr>
            </w:pPr>
          </w:p>
        </w:tc>
        <w:tc>
          <w:tcPr>
            <w:tcW w:w="1620" w:type="dxa"/>
            <w:vAlign w:val="bottom"/>
            <w:tcBorders>
              <w:bottom w:val="single" w:sz="8" w:color="auto"/>
              <w:right w:val="single" w:sz="8" w:color="auto"/>
            </w:tcBorders>
          </w:tcPr>
          <w:p>
            <w:pPr>
              <w:spacing w:after="0"/>
              <w:rPr>
                <w:sz w:val="5"/>
                <w:szCs w:val="5"/>
                <w:color w:val="auto"/>
              </w:rPr>
            </w:pPr>
          </w:p>
        </w:tc>
        <w:tc>
          <w:tcPr>
            <w:tcW w:w="46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2120" w:type="dxa"/>
            <w:vAlign w:val="bottom"/>
            <w:tcBorders>
              <w:left w:val="single" w:sz="8" w:color="auto"/>
              <w:right w:val="single" w:sz="8" w:color="auto"/>
            </w:tcBorders>
          </w:tcPr>
          <w:p>
            <w:pPr>
              <w:spacing w:after="0"/>
              <w:rPr>
                <w:sz w:val="24"/>
                <w:szCs w:val="24"/>
                <w:color w:val="auto"/>
              </w:rPr>
            </w:pPr>
          </w:p>
        </w:tc>
        <w:tc>
          <w:tcPr>
            <w:tcW w:w="23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4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Granted FDA Breakthrough Therapy designation</w:t>
            </w:r>
            <w:r>
              <w:rPr>
                <w:rFonts w:ascii="Arial" w:cs="Arial" w:eastAsia="Arial" w:hAnsi="Arial"/>
                <w:sz w:val="23"/>
                <w:szCs w:val="23"/>
                <w:color w:val="auto"/>
                <w:vertAlign w:val="superscript"/>
              </w:rPr>
              <w:t>(4)</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2120" w:type="dxa"/>
            <w:vAlign w:val="bottom"/>
            <w:tcBorders>
              <w:left w:val="single" w:sz="8" w:color="auto"/>
              <w:right w:val="single" w:sz="8" w:color="auto"/>
            </w:tcBorders>
          </w:tcPr>
          <w:p>
            <w:pPr>
              <w:spacing w:after="0"/>
              <w:rPr>
                <w:sz w:val="15"/>
                <w:szCs w:val="15"/>
                <w:color w:val="auto"/>
              </w:rPr>
            </w:pPr>
          </w:p>
        </w:tc>
        <w:tc>
          <w:tcPr>
            <w:tcW w:w="23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Alopecia areata</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Submitted</w:t>
            </w:r>
          </w:p>
        </w:tc>
        <w:tc>
          <w:tcPr>
            <w:tcW w:w="46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Announced in the first and second quarters of 2021 that</w:t>
            </w:r>
          </w:p>
        </w:tc>
        <w:tc>
          <w:tcPr>
            <w:tcW w:w="0" w:type="dxa"/>
            <w:vAlign w:val="bottom"/>
          </w:tcPr>
          <w:p>
            <w:pPr>
              <w:spacing w:after="0"/>
              <w:rPr>
                <w:sz w:val="1"/>
                <w:szCs w:val="1"/>
                <w:color w:val="auto"/>
              </w:rPr>
            </w:pPr>
          </w:p>
        </w:tc>
      </w:tr>
      <w:tr>
        <w:trPr>
          <w:trHeight w:val="136"/>
        </w:trPr>
        <w:tc>
          <w:tcPr>
            <w:tcW w:w="2120" w:type="dxa"/>
            <w:vAlign w:val="bottom"/>
            <w:tcBorders>
              <w:left w:val="single" w:sz="8" w:color="auto"/>
              <w:right w:val="single" w:sz="8" w:color="auto"/>
            </w:tcBorders>
          </w:tcPr>
          <w:p>
            <w:pPr>
              <w:spacing w:after="0"/>
              <w:rPr>
                <w:sz w:val="11"/>
                <w:szCs w:val="11"/>
                <w:color w:val="auto"/>
              </w:rPr>
            </w:pPr>
          </w:p>
        </w:tc>
        <w:tc>
          <w:tcPr>
            <w:tcW w:w="2340" w:type="dxa"/>
            <w:vAlign w:val="bottom"/>
            <w:tcBorders>
              <w:right w:val="single" w:sz="8" w:color="auto"/>
            </w:tcBorders>
            <w:vMerge w:val="continue"/>
          </w:tcPr>
          <w:p>
            <w:pPr>
              <w:spacing w:after="0"/>
              <w:rPr>
                <w:sz w:val="11"/>
                <w:szCs w:val="11"/>
                <w:color w:val="auto"/>
              </w:rPr>
            </w:pPr>
          </w:p>
        </w:tc>
        <w:tc>
          <w:tcPr>
            <w:tcW w:w="1620" w:type="dxa"/>
            <w:vAlign w:val="bottom"/>
            <w:tcBorders>
              <w:right w:val="single" w:sz="8" w:color="auto"/>
            </w:tcBorders>
            <w:vMerge w:val="continue"/>
          </w:tcPr>
          <w:p>
            <w:pPr>
              <w:spacing w:after="0"/>
              <w:rPr>
                <w:sz w:val="11"/>
                <w:szCs w:val="11"/>
                <w:color w:val="auto"/>
              </w:rPr>
            </w:pPr>
          </w:p>
        </w:tc>
        <w:tc>
          <w:tcPr>
            <w:tcW w:w="4680" w:type="dxa"/>
            <w:vAlign w:val="bottom"/>
            <w:tcBorders>
              <w:right w:val="single" w:sz="8" w:color="auto"/>
            </w:tcBorders>
            <w:vMerge w:val="restart"/>
          </w:tcPr>
          <w:p>
            <w:pPr>
              <w:ind w:left="20"/>
              <w:spacing w:after="0" w:line="176" w:lineRule="exact"/>
              <w:rPr>
                <w:sz w:val="20"/>
                <w:szCs w:val="20"/>
                <w:color w:val="auto"/>
              </w:rPr>
            </w:pPr>
            <w:r>
              <w:rPr>
                <w:rFonts w:ascii="Arial" w:cs="Arial" w:eastAsia="Arial" w:hAnsi="Arial"/>
                <w:sz w:val="18"/>
                <w:szCs w:val="18"/>
                <w:color w:val="auto"/>
              </w:rPr>
              <w:t>Phase III trials met the primary endpoints. Submitted in</w:t>
            </w:r>
          </w:p>
        </w:tc>
        <w:tc>
          <w:tcPr>
            <w:tcW w:w="0" w:type="dxa"/>
            <w:vAlign w:val="bottom"/>
          </w:tcPr>
          <w:p>
            <w:pPr>
              <w:spacing w:after="0"/>
              <w:rPr>
                <w:sz w:val="1"/>
                <w:szCs w:val="1"/>
                <w:color w:val="auto"/>
              </w:rPr>
            </w:pPr>
          </w:p>
        </w:tc>
      </w:tr>
      <w:tr>
        <w:trPr>
          <w:trHeight w:val="40"/>
        </w:trPr>
        <w:tc>
          <w:tcPr>
            <w:tcW w:w="2120" w:type="dxa"/>
            <w:vAlign w:val="bottom"/>
            <w:tcBorders>
              <w:left w:val="single" w:sz="8" w:color="auto"/>
              <w:right w:val="single" w:sz="8" w:color="auto"/>
            </w:tcBorders>
          </w:tcPr>
          <w:p>
            <w:pPr>
              <w:spacing w:after="0"/>
              <w:rPr>
                <w:sz w:val="3"/>
                <w:szCs w:val="3"/>
                <w:color w:val="auto"/>
              </w:rPr>
            </w:pPr>
          </w:p>
        </w:tc>
        <w:tc>
          <w:tcPr>
            <w:tcW w:w="2340" w:type="dxa"/>
            <w:vAlign w:val="bottom"/>
            <w:tcBorders>
              <w:right w:val="single" w:sz="8" w:color="auto"/>
            </w:tcBorders>
          </w:tcPr>
          <w:p>
            <w:pPr>
              <w:spacing w:after="0"/>
              <w:rPr>
                <w:sz w:val="3"/>
                <w:szCs w:val="3"/>
                <w:color w:val="auto"/>
              </w:rPr>
            </w:pPr>
          </w:p>
        </w:tc>
        <w:tc>
          <w:tcPr>
            <w:tcW w:w="1620" w:type="dxa"/>
            <w:vAlign w:val="bottom"/>
            <w:tcBorders>
              <w:right w:val="single" w:sz="8" w:color="auto"/>
            </w:tcBorders>
          </w:tcPr>
          <w:p>
            <w:pPr>
              <w:spacing w:after="0"/>
              <w:rPr>
                <w:sz w:val="3"/>
                <w:szCs w:val="3"/>
                <w:color w:val="auto"/>
              </w:rPr>
            </w:pPr>
          </w:p>
        </w:tc>
        <w:tc>
          <w:tcPr>
            <w:tcW w:w="4680" w:type="dxa"/>
            <w:vAlign w:val="bottom"/>
            <w:tcBorders>
              <w:right w:val="single" w:sz="8" w:color="auto"/>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7"/>
        </w:trPr>
        <w:tc>
          <w:tcPr>
            <w:tcW w:w="2120" w:type="dxa"/>
            <w:vAlign w:val="bottom"/>
            <w:tcBorders>
              <w:left w:val="single" w:sz="8" w:color="auto"/>
              <w:right w:val="single" w:sz="8" w:color="auto"/>
            </w:tcBorders>
          </w:tcPr>
          <w:p>
            <w:pPr>
              <w:spacing w:after="0"/>
              <w:rPr>
                <w:sz w:val="18"/>
                <w:szCs w:val="18"/>
                <w:color w:val="auto"/>
              </w:rPr>
            </w:pPr>
          </w:p>
        </w:tc>
        <w:tc>
          <w:tcPr>
            <w:tcW w:w="234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4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 in July 2021.</w:t>
            </w:r>
          </w:p>
        </w:tc>
        <w:tc>
          <w:tcPr>
            <w:tcW w:w="0" w:type="dxa"/>
            <w:vAlign w:val="bottom"/>
          </w:tcPr>
          <w:p>
            <w:pPr>
              <w:spacing w:after="0"/>
              <w:rPr>
                <w:sz w:val="1"/>
                <w:szCs w:val="1"/>
                <w:color w:val="auto"/>
              </w:rPr>
            </w:pPr>
          </w:p>
        </w:tc>
      </w:tr>
      <w:tr>
        <w:trPr>
          <w:trHeight w:val="108"/>
        </w:trPr>
        <w:tc>
          <w:tcPr>
            <w:tcW w:w="2120" w:type="dxa"/>
            <w:vAlign w:val="bottom"/>
            <w:tcBorders>
              <w:left w:val="single" w:sz="8" w:color="auto"/>
              <w:right w:val="single" w:sz="8" w:color="auto"/>
            </w:tcBorders>
          </w:tcPr>
          <w:p>
            <w:pPr>
              <w:spacing w:after="0"/>
              <w:rPr>
                <w:sz w:val="9"/>
                <w:szCs w:val="9"/>
                <w:color w:val="auto"/>
              </w:rPr>
            </w:pPr>
          </w:p>
        </w:tc>
        <w:tc>
          <w:tcPr>
            <w:tcW w:w="2340" w:type="dxa"/>
            <w:vAlign w:val="bottom"/>
            <w:tcBorders>
              <w:bottom w:val="single" w:sz="8" w:color="auto"/>
              <w:right w:val="single" w:sz="8" w:color="auto"/>
            </w:tcBorders>
          </w:tcPr>
          <w:p>
            <w:pPr>
              <w:spacing w:after="0"/>
              <w:rPr>
                <w:sz w:val="9"/>
                <w:szCs w:val="9"/>
                <w:color w:val="auto"/>
              </w:rPr>
            </w:pPr>
          </w:p>
        </w:tc>
        <w:tc>
          <w:tcPr>
            <w:tcW w:w="1620" w:type="dxa"/>
            <w:vAlign w:val="bottom"/>
            <w:tcBorders>
              <w:bottom w:val="single" w:sz="8" w:color="auto"/>
              <w:right w:val="single" w:sz="8" w:color="auto"/>
            </w:tcBorders>
          </w:tcPr>
          <w:p>
            <w:pPr>
              <w:spacing w:after="0"/>
              <w:rPr>
                <w:sz w:val="9"/>
                <w:szCs w:val="9"/>
                <w:color w:val="auto"/>
              </w:rPr>
            </w:pPr>
          </w:p>
        </w:tc>
        <w:tc>
          <w:tcPr>
            <w:tcW w:w="46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2120" w:type="dxa"/>
            <w:vAlign w:val="bottom"/>
            <w:tcBorders>
              <w:left w:val="single" w:sz="8" w:color="auto"/>
              <w:right w:val="single" w:sz="8" w:color="auto"/>
            </w:tcBorders>
          </w:tcPr>
          <w:p>
            <w:pPr>
              <w:spacing w:after="0"/>
              <w:rPr>
                <w:sz w:val="15"/>
                <w:szCs w:val="15"/>
                <w:color w:val="auto"/>
              </w:rPr>
            </w:pPr>
          </w:p>
        </w:tc>
        <w:tc>
          <w:tcPr>
            <w:tcW w:w="234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Systemic lupus</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Phase III</w:t>
            </w:r>
          </w:p>
        </w:tc>
        <w:tc>
          <w:tcPr>
            <w:tcW w:w="4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 trials are ongoing.</w:t>
            </w:r>
          </w:p>
        </w:tc>
        <w:tc>
          <w:tcPr>
            <w:tcW w:w="0" w:type="dxa"/>
            <w:vAlign w:val="bottom"/>
          </w:tcPr>
          <w:p>
            <w:pPr>
              <w:spacing w:after="0"/>
              <w:rPr>
                <w:sz w:val="1"/>
                <w:szCs w:val="1"/>
                <w:color w:val="auto"/>
              </w:rPr>
            </w:pPr>
          </w:p>
        </w:tc>
      </w:tr>
      <w:tr>
        <w:trPr>
          <w:trHeight w:val="136"/>
        </w:trPr>
        <w:tc>
          <w:tcPr>
            <w:tcW w:w="2120" w:type="dxa"/>
            <w:vAlign w:val="bottom"/>
            <w:tcBorders>
              <w:left w:val="single" w:sz="8" w:color="auto"/>
              <w:right w:val="single" w:sz="8" w:color="auto"/>
            </w:tcBorders>
          </w:tcPr>
          <w:p>
            <w:pPr>
              <w:spacing w:after="0"/>
              <w:rPr>
                <w:sz w:val="11"/>
                <w:szCs w:val="11"/>
                <w:color w:val="auto"/>
              </w:rPr>
            </w:pPr>
          </w:p>
        </w:tc>
        <w:tc>
          <w:tcPr>
            <w:tcW w:w="23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erythematosus</w:t>
            </w:r>
          </w:p>
        </w:tc>
        <w:tc>
          <w:tcPr>
            <w:tcW w:w="1620" w:type="dxa"/>
            <w:vAlign w:val="bottom"/>
            <w:tcBorders>
              <w:right w:val="single" w:sz="8" w:color="auto"/>
            </w:tcBorders>
            <w:vMerge w:val="continue"/>
          </w:tcPr>
          <w:p>
            <w:pPr>
              <w:spacing w:after="0"/>
              <w:rPr>
                <w:sz w:val="11"/>
                <w:szCs w:val="11"/>
                <w:color w:val="auto"/>
              </w:rPr>
            </w:pPr>
          </w:p>
        </w:tc>
        <w:tc>
          <w:tcPr>
            <w:tcW w:w="46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120" w:type="dxa"/>
            <w:vAlign w:val="bottom"/>
            <w:tcBorders>
              <w:left w:val="single" w:sz="8" w:color="auto"/>
              <w:bottom w:val="single" w:sz="8" w:color="auto"/>
              <w:right w:val="single" w:sz="8" w:color="auto"/>
            </w:tcBorders>
          </w:tcPr>
          <w:p>
            <w:pPr>
              <w:spacing w:after="0"/>
              <w:rPr>
                <w:sz w:val="7"/>
                <w:szCs w:val="7"/>
                <w:color w:val="auto"/>
              </w:rPr>
            </w:pPr>
          </w:p>
        </w:tc>
        <w:tc>
          <w:tcPr>
            <w:tcW w:w="2340" w:type="dxa"/>
            <w:vAlign w:val="bottom"/>
            <w:tcBorders>
              <w:bottom w:val="single" w:sz="8" w:color="auto"/>
              <w:right w:val="single" w:sz="8" w:color="auto"/>
            </w:tcBorders>
            <w:vMerge w:val="continue"/>
          </w:tcPr>
          <w:p>
            <w:pPr>
              <w:spacing w:after="0"/>
              <w:rPr>
                <w:sz w:val="7"/>
                <w:szCs w:val="7"/>
                <w:color w:val="auto"/>
              </w:rPr>
            </w:pPr>
          </w:p>
        </w:tc>
        <w:tc>
          <w:tcPr>
            <w:tcW w:w="1620" w:type="dxa"/>
            <w:vAlign w:val="bottom"/>
            <w:tcBorders>
              <w:bottom w:val="single" w:sz="8" w:color="auto"/>
              <w:right w:val="single" w:sz="8" w:color="auto"/>
            </w:tcBorders>
          </w:tcPr>
          <w:p>
            <w:pPr>
              <w:spacing w:after="0"/>
              <w:rPr>
                <w:sz w:val="7"/>
                <w:szCs w:val="7"/>
                <w:color w:val="auto"/>
              </w:rPr>
            </w:pPr>
          </w:p>
        </w:tc>
        <w:tc>
          <w:tcPr>
            <w:tcW w:w="46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1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Oncology</w:t>
            </w:r>
          </w:p>
        </w:tc>
        <w:tc>
          <w:tcPr>
            <w:tcW w:w="23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46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2120" w:type="dxa"/>
            <w:vAlign w:val="bottom"/>
            <w:tcBorders>
              <w:left w:val="single" w:sz="8" w:color="auto"/>
              <w:right w:val="single" w:sz="8" w:color="auto"/>
            </w:tcBorders>
          </w:tcPr>
          <w:p>
            <w:pPr>
              <w:spacing w:after="0"/>
              <w:rPr>
                <w:sz w:val="21"/>
                <w:szCs w:val="21"/>
                <w:color w:val="auto"/>
              </w:rPr>
            </w:pPr>
          </w:p>
        </w:tc>
        <w:tc>
          <w:tcPr>
            <w:tcW w:w="23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HR+, HER2- Adjuvant</w:t>
            </w:r>
          </w:p>
        </w:tc>
        <w:tc>
          <w:tcPr>
            <w:tcW w:w="1620" w:type="dxa"/>
            <w:vAlign w:val="bottom"/>
            <w:tcBorders>
              <w:right w:val="single" w:sz="8" w:color="auto"/>
            </w:tcBorders>
          </w:tcPr>
          <w:p>
            <w:pPr>
              <w:spacing w:after="0"/>
              <w:rPr>
                <w:sz w:val="21"/>
                <w:szCs w:val="21"/>
                <w:color w:val="auto"/>
              </w:rPr>
            </w:pPr>
          </w:p>
        </w:tc>
        <w:tc>
          <w:tcPr>
            <w:tcW w:w="4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Announced in the first quarter of 2021 patient-reported</w:t>
            </w:r>
          </w:p>
        </w:tc>
        <w:tc>
          <w:tcPr>
            <w:tcW w:w="0" w:type="dxa"/>
            <w:vAlign w:val="bottom"/>
          </w:tcPr>
          <w:p>
            <w:pPr>
              <w:spacing w:after="0"/>
              <w:rPr>
                <w:sz w:val="1"/>
                <w:szCs w:val="1"/>
                <w:color w:val="auto"/>
              </w:rPr>
            </w:pPr>
          </w:p>
        </w:tc>
      </w:tr>
      <w:tr>
        <w:trPr>
          <w:trHeight w:val="175"/>
        </w:trPr>
        <w:tc>
          <w:tcPr>
            <w:tcW w:w="2120" w:type="dxa"/>
            <w:vAlign w:val="bottom"/>
            <w:tcBorders>
              <w:left w:val="single" w:sz="8" w:color="auto"/>
              <w:right w:val="single" w:sz="8" w:color="auto"/>
            </w:tcBorders>
          </w:tcPr>
          <w:p>
            <w:pPr>
              <w:spacing w:after="0"/>
              <w:rPr>
                <w:sz w:val="15"/>
                <w:szCs w:val="15"/>
                <w:color w:val="auto"/>
              </w:rPr>
            </w:pPr>
          </w:p>
        </w:tc>
        <w:tc>
          <w:tcPr>
            <w:tcW w:w="2340" w:type="dxa"/>
            <w:vAlign w:val="bottom"/>
            <w:tcBorders>
              <w:right w:val="single" w:sz="8" w:color="auto"/>
            </w:tcBorders>
            <w:vMerge w:val="continue"/>
          </w:tcPr>
          <w:p>
            <w:pPr>
              <w:spacing w:after="0"/>
              <w:rPr>
                <w:sz w:val="15"/>
                <w:szCs w:val="15"/>
                <w:color w:val="auto"/>
              </w:rPr>
            </w:pP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Submitted</w:t>
            </w:r>
          </w:p>
        </w:tc>
        <w:tc>
          <w:tcPr>
            <w:tcW w:w="46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outcomes in combination with standard adjuvant</w:t>
            </w:r>
          </w:p>
        </w:tc>
        <w:tc>
          <w:tcPr>
            <w:tcW w:w="0" w:type="dxa"/>
            <w:vAlign w:val="bottom"/>
          </w:tcPr>
          <w:p>
            <w:pPr>
              <w:spacing w:after="0"/>
              <w:rPr>
                <w:sz w:val="1"/>
                <w:szCs w:val="1"/>
                <w:color w:val="auto"/>
              </w:rPr>
            </w:pPr>
          </w:p>
        </w:tc>
      </w:tr>
      <w:tr>
        <w:trPr>
          <w:trHeight w:val="136"/>
        </w:trPr>
        <w:tc>
          <w:tcPr>
            <w:tcW w:w="2120" w:type="dxa"/>
            <w:vAlign w:val="bottom"/>
            <w:tcBorders>
              <w:left w:val="single" w:sz="8" w:color="auto"/>
              <w:right w:val="single" w:sz="8" w:color="auto"/>
            </w:tcBorders>
          </w:tcPr>
          <w:p>
            <w:pPr>
              <w:spacing w:after="0"/>
              <w:rPr>
                <w:sz w:val="11"/>
                <w:szCs w:val="11"/>
                <w:color w:val="auto"/>
              </w:rPr>
            </w:pPr>
          </w:p>
        </w:tc>
        <w:tc>
          <w:tcPr>
            <w:tcW w:w="2340" w:type="dxa"/>
            <w:vAlign w:val="bottom"/>
            <w:tcBorders>
              <w:right w:val="single" w:sz="8" w:color="auto"/>
            </w:tcBorders>
            <w:vMerge w:val="restart"/>
          </w:tcPr>
          <w:p>
            <w:pPr>
              <w:ind w:left="20"/>
              <w:spacing w:after="0" w:line="176" w:lineRule="exact"/>
              <w:rPr>
                <w:sz w:val="20"/>
                <w:szCs w:val="20"/>
                <w:color w:val="auto"/>
              </w:rPr>
            </w:pPr>
            <w:r>
              <w:rPr>
                <w:rFonts w:ascii="Arial" w:cs="Arial" w:eastAsia="Arial" w:hAnsi="Arial"/>
                <w:sz w:val="18"/>
                <w:szCs w:val="18"/>
                <w:color w:val="auto"/>
              </w:rPr>
              <w:t>breast cancer</w:t>
            </w:r>
          </w:p>
        </w:tc>
        <w:tc>
          <w:tcPr>
            <w:tcW w:w="1620" w:type="dxa"/>
            <w:vAlign w:val="bottom"/>
            <w:tcBorders>
              <w:right w:val="single" w:sz="8" w:color="auto"/>
            </w:tcBorders>
            <w:vMerge w:val="continue"/>
          </w:tcPr>
          <w:p>
            <w:pPr>
              <w:spacing w:after="0"/>
              <w:rPr>
                <w:sz w:val="11"/>
                <w:szCs w:val="11"/>
                <w:color w:val="auto"/>
              </w:rPr>
            </w:pPr>
          </w:p>
        </w:tc>
        <w:tc>
          <w:tcPr>
            <w:tcW w:w="4680" w:type="dxa"/>
            <w:vAlign w:val="bottom"/>
            <w:tcBorders>
              <w:right w:val="single" w:sz="8" w:color="auto"/>
            </w:tcBorders>
            <w:vMerge w:val="restart"/>
          </w:tcPr>
          <w:p>
            <w:pPr>
              <w:ind w:left="20"/>
              <w:spacing w:after="0" w:line="176" w:lineRule="exact"/>
              <w:rPr>
                <w:sz w:val="20"/>
                <w:szCs w:val="20"/>
                <w:color w:val="auto"/>
              </w:rPr>
            </w:pPr>
            <w:r>
              <w:rPr>
                <w:rFonts w:ascii="Arial" w:cs="Arial" w:eastAsia="Arial" w:hAnsi="Arial"/>
                <w:sz w:val="18"/>
                <w:szCs w:val="18"/>
                <w:color w:val="auto"/>
              </w:rPr>
              <w:t>endocrine therapy. Submitted in Japan in the first quarter</w:t>
            </w:r>
          </w:p>
        </w:tc>
        <w:tc>
          <w:tcPr>
            <w:tcW w:w="0" w:type="dxa"/>
            <w:vAlign w:val="bottom"/>
          </w:tcPr>
          <w:p>
            <w:pPr>
              <w:spacing w:after="0"/>
              <w:rPr>
                <w:sz w:val="1"/>
                <w:szCs w:val="1"/>
                <w:color w:val="auto"/>
              </w:rPr>
            </w:pPr>
          </w:p>
        </w:tc>
      </w:tr>
      <w:tr>
        <w:trPr>
          <w:trHeight w:val="40"/>
        </w:trPr>
        <w:tc>
          <w:tcPr>
            <w:tcW w:w="2120" w:type="dxa"/>
            <w:vAlign w:val="bottom"/>
            <w:tcBorders>
              <w:left w:val="single" w:sz="8" w:color="auto"/>
              <w:right w:val="single" w:sz="8" w:color="auto"/>
            </w:tcBorders>
          </w:tcPr>
          <w:p>
            <w:pPr>
              <w:spacing w:after="0"/>
              <w:rPr>
                <w:sz w:val="3"/>
                <w:szCs w:val="3"/>
                <w:color w:val="auto"/>
              </w:rPr>
            </w:pPr>
          </w:p>
        </w:tc>
        <w:tc>
          <w:tcPr>
            <w:tcW w:w="2340" w:type="dxa"/>
            <w:vAlign w:val="bottom"/>
            <w:tcBorders>
              <w:right w:val="single" w:sz="8" w:color="auto"/>
            </w:tcBorders>
            <w:vMerge w:val="continue"/>
          </w:tcPr>
          <w:p>
            <w:pPr>
              <w:spacing w:after="0"/>
              <w:rPr>
                <w:sz w:val="3"/>
                <w:szCs w:val="3"/>
                <w:color w:val="auto"/>
              </w:rPr>
            </w:pPr>
          </w:p>
        </w:tc>
        <w:tc>
          <w:tcPr>
            <w:tcW w:w="1620" w:type="dxa"/>
            <w:vAlign w:val="bottom"/>
            <w:tcBorders>
              <w:right w:val="single" w:sz="8" w:color="auto"/>
            </w:tcBorders>
          </w:tcPr>
          <w:p>
            <w:pPr>
              <w:spacing w:after="0"/>
              <w:rPr>
                <w:sz w:val="3"/>
                <w:szCs w:val="3"/>
                <w:color w:val="auto"/>
              </w:rPr>
            </w:pPr>
          </w:p>
        </w:tc>
        <w:tc>
          <w:tcPr>
            <w:tcW w:w="4680" w:type="dxa"/>
            <w:vAlign w:val="bottom"/>
            <w:tcBorders>
              <w:right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2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Abemaciclib (Verzenio</w:t>
            </w:r>
            <w:r>
              <w:rPr>
                <w:rFonts w:ascii="Arial" w:cs="Arial" w:eastAsia="Arial" w:hAnsi="Arial"/>
                <w:sz w:val="23"/>
                <w:szCs w:val="23"/>
                <w:b w:val="1"/>
                <w:bCs w:val="1"/>
                <w:color w:val="auto"/>
                <w:vertAlign w:val="superscript"/>
              </w:rPr>
              <w:t>®</w:t>
            </w:r>
            <w:r>
              <w:rPr>
                <w:rFonts w:ascii="Arial" w:cs="Arial" w:eastAsia="Arial" w:hAnsi="Arial"/>
                <w:sz w:val="18"/>
                <w:szCs w:val="18"/>
                <w:color w:val="auto"/>
              </w:rPr>
              <w:t>)</w:t>
            </w:r>
          </w:p>
        </w:tc>
        <w:tc>
          <w:tcPr>
            <w:tcW w:w="234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4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of 2021.</w:t>
            </w:r>
          </w:p>
        </w:tc>
        <w:tc>
          <w:tcPr>
            <w:tcW w:w="0" w:type="dxa"/>
            <w:vAlign w:val="bottom"/>
          </w:tcPr>
          <w:p>
            <w:pPr>
              <w:spacing w:after="0"/>
              <w:rPr>
                <w:sz w:val="1"/>
                <w:szCs w:val="1"/>
                <w:color w:val="auto"/>
              </w:rPr>
            </w:pPr>
          </w:p>
        </w:tc>
      </w:tr>
      <w:tr>
        <w:trPr>
          <w:trHeight w:val="80"/>
        </w:trPr>
        <w:tc>
          <w:tcPr>
            <w:tcW w:w="2120" w:type="dxa"/>
            <w:vAlign w:val="bottom"/>
            <w:tcBorders>
              <w:left w:val="single" w:sz="8" w:color="auto"/>
              <w:right w:val="single" w:sz="8" w:color="auto"/>
            </w:tcBorders>
            <w:vMerge w:val="continue"/>
          </w:tcPr>
          <w:p>
            <w:pPr>
              <w:spacing w:after="0"/>
              <w:rPr>
                <w:sz w:val="6"/>
                <w:szCs w:val="6"/>
                <w:color w:val="auto"/>
              </w:rPr>
            </w:pPr>
          </w:p>
        </w:tc>
        <w:tc>
          <w:tcPr>
            <w:tcW w:w="2340" w:type="dxa"/>
            <w:vAlign w:val="bottom"/>
            <w:tcBorders>
              <w:bottom w:val="single" w:sz="8" w:color="auto"/>
              <w:right w:val="single" w:sz="8" w:color="auto"/>
            </w:tcBorders>
          </w:tcPr>
          <w:p>
            <w:pPr>
              <w:spacing w:after="0"/>
              <w:rPr>
                <w:sz w:val="6"/>
                <w:szCs w:val="6"/>
                <w:color w:val="auto"/>
              </w:rPr>
            </w:pPr>
          </w:p>
        </w:tc>
        <w:tc>
          <w:tcPr>
            <w:tcW w:w="1620" w:type="dxa"/>
            <w:vAlign w:val="bottom"/>
            <w:tcBorders>
              <w:bottom w:val="single" w:sz="8" w:color="auto"/>
              <w:right w:val="single" w:sz="8" w:color="auto"/>
            </w:tcBorders>
          </w:tcPr>
          <w:p>
            <w:pPr>
              <w:spacing w:after="0"/>
              <w:rPr>
                <w:sz w:val="6"/>
                <w:szCs w:val="6"/>
                <w:color w:val="auto"/>
              </w:rPr>
            </w:pPr>
          </w:p>
        </w:tc>
        <w:tc>
          <w:tcPr>
            <w:tcW w:w="46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120" w:type="dxa"/>
            <w:vAlign w:val="bottom"/>
            <w:tcBorders>
              <w:left w:val="single" w:sz="8" w:color="auto"/>
              <w:right w:val="single" w:sz="8" w:color="auto"/>
            </w:tcBorders>
          </w:tcPr>
          <w:p>
            <w:pPr>
              <w:spacing w:after="0"/>
              <w:rPr>
                <w:sz w:val="19"/>
                <w:szCs w:val="19"/>
                <w:color w:val="auto"/>
              </w:rPr>
            </w:pPr>
          </w:p>
        </w:tc>
        <w:tc>
          <w:tcPr>
            <w:tcW w:w="23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HR+, HER2+ Adjuvant</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Phase III</w:t>
            </w:r>
          </w:p>
        </w:tc>
        <w:tc>
          <w:tcPr>
            <w:tcW w:w="4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 trial initiated in the second quarter of 2021.</w:t>
            </w:r>
          </w:p>
        </w:tc>
        <w:tc>
          <w:tcPr>
            <w:tcW w:w="0" w:type="dxa"/>
            <w:vAlign w:val="bottom"/>
          </w:tcPr>
          <w:p>
            <w:pPr>
              <w:spacing w:after="0"/>
              <w:rPr>
                <w:sz w:val="1"/>
                <w:szCs w:val="1"/>
                <w:color w:val="auto"/>
              </w:rPr>
            </w:pPr>
          </w:p>
        </w:tc>
      </w:tr>
      <w:tr>
        <w:trPr>
          <w:trHeight w:val="109"/>
        </w:trPr>
        <w:tc>
          <w:tcPr>
            <w:tcW w:w="2120" w:type="dxa"/>
            <w:vAlign w:val="bottom"/>
            <w:tcBorders>
              <w:left w:val="single" w:sz="8" w:color="auto"/>
              <w:right w:val="single" w:sz="8" w:color="auto"/>
            </w:tcBorders>
          </w:tcPr>
          <w:p>
            <w:pPr>
              <w:spacing w:after="0"/>
              <w:rPr>
                <w:sz w:val="9"/>
                <w:szCs w:val="9"/>
                <w:color w:val="auto"/>
              </w:rPr>
            </w:pPr>
          </w:p>
        </w:tc>
        <w:tc>
          <w:tcPr>
            <w:tcW w:w="23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breast cancer</w:t>
            </w:r>
          </w:p>
        </w:tc>
        <w:tc>
          <w:tcPr>
            <w:tcW w:w="1620" w:type="dxa"/>
            <w:vAlign w:val="bottom"/>
            <w:tcBorders>
              <w:right w:val="single" w:sz="8" w:color="auto"/>
            </w:tcBorders>
            <w:vMerge w:val="continue"/>
          </w:tcPr>
          <w:p>
            <w:pPr>
              <w:spacing w:after="0"/>
              <w:rPr>
                <w:sz w:val="9"/>
                <w:szCs w:val="9"/>
                <w:color w:val="auto"/>
              </w:rPr>
            </w:pPr>
          </w:p>
        </w:tc>
        <w:tc>
          <w:tcPr>
            <w:tcW w:w="46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120" w:type="dxa"/>
            <w:vAlign w:val="bottom"/>
            <w:tcBorders>
              <w:left w:val="single" w:sz="8" w:color="auto"/>
              <w:right w:val="single" w:sz="8" w:color="auto"/>
            </w:tcBorders>
          </w:tcPr>
          <w:p>
            <w:pPr>
              <w:spacing w:after="0"/>
              <w:rPr>
                <w:sz w:val="10"/>
                <w:szCs w:val="10"/>
                <w:color w:val="auto"/>
              </w:rPr>
            </w:pPr>
          </w:p>
        </w:tc>
        <w:tc>
          <w:tcPr>
            <w:tcW w:w="2340" w:type="dxa"/>
            <w:vAlign w:val="bottom"/>
            <w:tcBorders>
              <w:bottom w:val="single" w:sz="8" w:color="auto"/>
              <w:right w:val="single" w:sz="8" w:color="auto"/>
            </w:tcBorders>
            <w:vMerge w:val="continue"/>
          </w:tcPr>
          <w:p>
            <w:pPr>
              <w:spacing w:after="0"/>
              <w:rPr>
                <w:sz w:val="10"/>
                <w:szCs w:val="10"/>
                <w:color w:val="auto"/>
              </w:rPr>
            </w:pPr>
          </w:p>
        </w:tc>
        <w:tc>
          <w:tcPr>
            <w:tcW w:w="1620" w:type="dxa"/>
            <w:vAlign w:val="bottom"/>
            <w:tcBorders>
              <w:bottom w:val="single" w:sz="8" w:color="auto"/>
              <w:right w:val="single" w:sz="8" w:color="auto"/>
            </w:tcBorders>
          </w:tcPr>
          <w:p>
            <w:pPr>
              <w:spacing w:after="0"/>
              <w:rPr>
                <w:sz w:val="10"/>
                <w:szCs w:val="10"/>
                <w:color w:val="auto"/>
              </w:rPr>
            </w:pPr>
          </w:p>
        </w:tc>
        <w:tc>
          <w:tcPr>
            <w:tcW w:w="46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2120" w:type="dxa"/>
            <w:vAlign w:val="bottom"/>
            <w:tcBorders>
              <w:left w:val="single" w:sz="8" w:color="auto"/>
              <w:bottom w:val="single" w:sz="8" w:color="auto"/>
              <w:right w:val="single" w:sz="8" w:color="auto"/>
            </w:tcBorders>
          </w:tcPr>
          <w:p>
            <w:pPr>
              <w:spacing w:after="0"/>
              <w:rPr>
                <w:sz w:val="21"/>
                <w:szCs w:val="21"/>
                <w:color w:val="auto"/>
              </w:rPr>
            </w:pP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Prostate cancer</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Phase III</w:t>
            </w:r>
          </w:p>
        </w:tc>
        <w:tc>
          <w:tcPr>
            <w:tcW w:w="4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III trial initiated in July 2021.</w:t>
            </w:r>
          </w:p>
        </w:tc>
        <w:tc>
          <w:tcPr>
            <w:tcW w:w="0" w:type="dxa"/>
            <w:vAlign w:val="bottom"/>
          </w:tcPr>
          <w:p>
            <w:pPr>
              <w:spacing w:after="0"/>
              <w:rPr>
                <w:sz w:val="1"/>
                <w:szCs w:val="1"/>
                <w:color w:val="auto"/>
              </w:rPr>
            </w:pPr>
          </w:p>
        </w:tc>
      </w:tr>
    </w:tbl>
    <w:p>
      <w:pPr>
        <w:spacing w:after="0" w:line="250" w:lineRule="exact"/>
        <w:rPr>
          <w:sz w:val="20"/>
          <w:szCs w:val="20"/>
          <w:color w:val="auto"/>
        </w:rPr>
      </w:pPr>
    </w:p>
    <w:p>
      <w:pPr>
        <w:ind w:left="140" w:hanging="132"/>
        <w:spacing w:after="0"/>
        <w:tabs>
          <w:tab w:leader="none" w:pos="140" w:val="left"/>
        </w:tabs>
        <w:numPr>
          <w:ilvl w:val="0"/>
          <w:numId w:val="22"/>
        </w:numPr>
        <w:rPr>
          <w:rFonts w:ascii="Arial" w:cs="Arial" w:eastAsia="Arial" w:hAnsi="Arial"/>
          <w:sz w:val="16"/>
          <w:szCs w:val="16"/>
          <w:color w:val="auto"/>
          <w:vertAlign w:val="superscript"/>
        </w:rPr>
      </w:pPr>
      <w:r>
        <w:rPr>
          <w:rFonts w:ascii="Arial" w:cs="Arial" w:eastAsia="Arial" w:hAnsi="Arial"/>
          <w:sz w:val="12"/>
          <w:szCs w:val="12"/>
          <w:color w:val="auto"/>
        </w:rPr>
        <w:t>In collaboration with Boehringer Ingelheim.</w:t>
      </w:r>
    </w:p>
    <w:p>
      <w:pPr>
        <w:spacing w:after="0" w:line="43" w:lineRule="exact"/>
        <w:rPr>
          <w:rFonts w:ascii="Arial" w:cs="Arial" w:eastAsia="Arial" w:hAnsi="Arial"/>
          <w:sz w:val="16"/>
          <w:szCs w:val="16"/>
          <w:color w:val="auto"/>
          <w:vertAlign w:val="superscript"/>
        </w:rPr>
      </w:pPr>
    </w:p>
    <w:p>
      <w:pPr>
        <w:ind w:left="140" w:hanging="132"/>
        <w:spacing w:after="0" w:line="224" w:lineRule="auto"/>
        <w:tabs>
          <w:tab w:leader="none" w:pos="140" w:val="left"/>
        </w:tabs>
        <w:numPr>
          <w:ilvl w:val="0"/>
          <w:numId w:val="22"/>
        </w:numPr>
        <w:rPr>
          <w:rFonts w:ascii="Arial" w:cs="Arial" w:eastAsia="Arial" w:hAnsi="Arial"/>
          <w:sz w:val="16"/>
          <w:szCs w:val="16"/>
          <w:color w:val="auto"/>
          <w:vertAlign w:val="superscript"/>
        </w:rPr>
      </w:pPr>
      <w:r>
        <w:rPr>
          <w:rFonts w:ascii="Arial" w:cs="Arial" w:eastAsia="Arial" w:hAnsi="Arial"/>
          <w:sz w:val="12"/>
          <w:szCs w:val="12"/>
          <w:color w:val="auto"/>
        </w:rPr>
        <w:t>Fast Track designation is designated to expedite the development and review of new therapies to treat serious conditions and address unmet medical needs.</w:t>
      </w:r>
    </w:p>
    <w:p>
      <w:pPr>
        <w:spacing w:after="0" w:line="44" w:lineRule="exact"/>
        <w:rPr>
          <w:rFonts w:ascii="Arial" w:cs="Arial" w:eastAsia="Arial" w:hAnsi="Arial"/>
          <w:sz w:val="16"/>
          <w:szCs w:val="16"/>
          <w:color w:val="auto"/>
          <w:vertAlign w:val="superscript"/>
        </w:rPr>
      </w:pPr>
    </w:p>
    <w:p>
      <w:pPr>
        <w:ind w:left="160" w:hanging="152"/>
        <w:spacing w:after="0" w:line="199" w:lineRule="auto"/>
        <w:tabs>
          <w:tab w:leader="none" w:pos="160"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The FDA granted EUA for treatment with or without remdesivir in hospitalized COVID-19 patients.</w:t>
      </w:r>
    </w:p>
    <w:p>
      <w:pPr>
        <w:spacing w:after="0" w:line="44" w:lineRule="exact"/>
        <w:rPr>
          <w:rFonts w:ascii="Arial" w:cs="Arial" w:eastAsia="Arial" w:hAnsi="Arial"/>
          <w:sz w:val="18"/>
          <w:szCs w:val="18"/>
          <w:color w:val="auto"/>
          <w:vertAlign w:val="superscript"/>
        </w:rPr>
      </w:pPr>
    </w:p>
    <w:p>
      <w:pPr>
        <w:ind w:left="180" w:right="40" w:hanging="172"/>
        <w:spacing w:after="0" w:line="211" w:lineRule="auto"/>
        <w:tabs>
          <w:tab w:leader="none" w:pos="172" w:val="left"/>
        </w:tabs>
        <w:numPr>
          <w:ilvl w:val="0"/>
          <w:numId w:val="22"/>
        </w:numPr>
        <w:rPr>
          <w:rFonts w:ascii="Arial" w:cs="Arial" w:eastAsia="Arial" w:hAnsi="Arial"/>
          <w:sz w:val="19"/>
          <w:szCs w:val="19"/>
          <w:color w:val="auto"/>
          <w:vertAlign w:val="superscript"/>
        </w:rPr>
      </w:pPr>
      <w:r>
        <w:rPr>
          <w:rFonts w:ascii="Arial" w:cs="Arial" w:eastAsia="Arial" w:hAnsi="Arial"/>
          <w:sz w:val="14"/>
          <w:szCs w:val="14"/>
          <w:color w:val="auto"/>
        </w:rPr>
        <w:t>Breakthrough Therapy designation is designed to expedite the development and review of potential medicines that are intended to treat a serious condition where preliminary clinical evidence indicates that the treatment may demonstrate substantial improvement over available therapy on a clinically significant endpoint.</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6" w:right="359" w:bottom="1440" w:gutter="0" w:footer="0" w:header="0"/>
        </w:sectPr>
      </w:pPr>
    </w:p>
    <w:bookmarkStart w:id="47" w:name="page48"/>
    <w:bookmarkEnd w:id="47"/>
    <w:p>
      <w:pPr>
        <w:spacing w:after="0"/>
        <w:rPr>
          <w:sz w:val="20"/>
          <w:szCs w:val="20"/>
          <w:color w:val="auto"/>
        </w:rPr>
      </w:pPr>
      <w:r>
        <w:rPr>
          <w:rFonts w:ascii="Arial" w:cs="Arial" w:eastAsia="Arial" w:hAnsi="Arial"/>
          <w:sz w:val="18"/>
          <w:szCs w:val="18"/>
          <w:i w:val="1"/>
          <w:iCs w:val="1"/>
          <w:color w:val="auto"/>
        </w:rPr>
        <w:t>Other Matters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Patent Matters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We depend on patents or other forms of intellectual property protection for most of our revenue, cash flows, and earnings.</w:t>
      </w:r>
    </w:p>
    <w:p>
      <w:pPr>
        <w:spacing w:after="0" w:line="107"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Our vitamin regimen patents for Alimta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expired in major European countries and Japan in June 2021. In the U.S., we expect the vitamin regimen patent for Alimta to provide us with patent protection through May 2022. However, we and Eagle Pharmaceuticals, Inc. (Eagle) reached an agreement in December 2019 to settle all pending U.S. patent litigation, allowing Eagle a limited initial entry into the market with its product starting February 2022 (up to an approximate three-week supply) and subsequent unlimited entry starting April 2022. We expect that the entry of generic competition in the U.S., major European countries, and Japan following the loss of patent exclusivity will cause a rapid and severe decline in revenue, and we expect that the entry of generic competition in the U.S. will have a material adverse effect on our consolidated results of operations and cash flows. See Note 9 to the consolidated condensed financial statements for a more detailed account of the legal proceedings currently pending regarding, among others, our Alimta patents.</w:t>
      </w:r>
    </w:p>
    <w:p>
      <w:pPr>
        <w:spacing w:after="0" w:line="94"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Our compound patent for Humalog</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(insulin lispro) has expired in major markets. Global regulators have different legal pathways to approve similar versions of insulin lispro. A competitor launched a similar version of insulin lispro in certain European markets in 2017 and in the U.S. in the second quarter of 2018. While it is difficult to estimate the severity of the impact of insulin lispro products entering the market, we do not expect and have not experienced a rapid and severe decline in revenue; however, we expect additional pricing pressure and some loss of market share that would continue over time.</w:t>
      </w:r>
    </w:p>
    <w:p>
      <w:pPr>
        <w:spacing w:after="0" w:line="100" w:lineRule="exact"/>
        <w:rPr>
          <w:sz w:val="20"/>
          <w:szCs w:val="20"/>
          <w:color w:val="auto"/>
        </w:rPr>
      </w:pPr>
    </w:p>
    <w:p>
      <w:pPr>
        <w:ind w:right="880"/>
        <w:spacing w:after="0" w:line="225" w:lineRule="auto"/>
        <w:rPr>
          <w:sz w:val="20"/>
          <w:szCs w:val="20"/>
          <w:color w:val="auto"/>
        </w:rPr>
      </w:pPr>
      <w:r>
        <w:rPr>
          <w:rFonts w:ascii="Arial" w:cs="Arial" w:eastAsia="Arial" w:hAnsi="Arial"/>
          <w:sz w:val="18"/>
          <w:szCs w:val="18"/>
          <w:color w:val="auto"/>
        </w:rPr>
        <w:t>Our formulation and use patents for Forteo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have expired in major markets. We expect further decline in revenue as a result of the anticipated entry of generic and biosimilar competition due to the loss of patent exclusivity in major markets.</w:t>
      </w:r>
    </w:p>
    <w:p>
      <w:pPr>
        <w:spacing w:after="0" w:line="98" w:lineRule="exact"/>
        <w:rPr>
          <w:sz w:val="20"/>
          <w:szCs w:val="20"/>
          <w:color w:val="auto"/>
        </w:rPr>
      </w:pPr>
    </w:p>
    <w:p>
      <w:pPr>
        <w:ind w:right="580"/>
        <w:spacing w:after="0" w:line="225" w:lineRule="auto"/>
        <w:rPr>
          <w:sz w:val="20"/>
          <w:szCs w:val="20"/>
          <w:color w:val="auto"/>
        </w:rPr>
      </w:pPr>
      <w:r>
        <w:rPr>
          <w:rFonts w:ascii="Arial" w:cs="Arial" w:eastAsia="Arial" w:hAnsi="Arial"/>
          <w:sz w:val="18"/>
          <w:szCs w:val="18"/>
          <w:color w:val="auto"/>
        </w:rPr>
        <w:t>Our compound patent for Cymbalta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expired in Japan in January 2020. Two generic competitors entered the market in June 2021. We expect that the entry of generic competition will cause a rapid and severe decline in revenue.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Foreign Currency Exchange Rates</w:t>
      </w:r>
    </w:p>
    <w:p>
      <w:pPr>
        <w:spacing w:after="0" w:line="13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As a global company with substantial operations outside the U.S., we face foreign currency risk exposure from fluctuating currency exchange rates, primarily the U.S. dollar against the euro and Japanese yen. While we manage a portion of these exposures through hedging and other risk management techniques, significant fluctuations in currency rates can have a substantial impact, either positive or negative, on our revenue, cost of sales, and operating expenses. While there is uncertainty in the future movements in foreign exchange rates, fluctuations in these rates could adversely impact our future consolidated results of operations and cash flows.</w:t>
      </w:r>
    </w:p>
    <w:p>
      <w:pPr>
        <w:spacing w:after="0" w:line="79" w:lineRule="exact"/>
        <w:rPr>
          <w:sz w:val="20"/>
          <w:szCs w:val="20"/>
          <w:color w:val="auto"/>
        </w:rPr>
      </w:pPr>
    </w:p>
    <w:p>
      <w:pPr>
        <w:ind w:right="3520"/>
        <w:spacing w:after="0" w:line="386" w:lineRule="auto"/>
        <w:rPr>
          <w:sz w:val="20"/>
          <w:szCs w:val="20"/>
          <w:color w:val="auto"/>
        </w:rPr>
      </w:pPr>
      <w:r>
        <w:rPr>
          <w:rFonts w:ascii="Arial" w:cs="Arial" w:eastAsia="Arial" w:hAnsi="Arial"/>
          <w:sz w:val="18"/>
          <w:szCs w:val="18"/>
          <w:i w:val="1"/>
          <w:iCs w:val="1"/>
          <w:u w:val="single" w:color="auto"/>
          <w:color w:val="auto"/>
        </w:rPr>
        <w:t xml:space="preserve">Trends Affecting Pharmaceutical Pricing, Reimbursement, Access, and Other Regulatory Matters </w:t>
      </w:r>
      <w:r>
        <w:rPr>
          <w:rFonts w:ascii="Arial" w:cs="Arial" w:eastAsia="Arial" w:hAnsi="Arial"/>
          <w:sz w:val="18"/>
          <w:szCs w:val="18"/>
          <w:i w:val="1"/>
          <w:iCs w:val="1"/>
          <w:color w:val="auto"/>
        </w:rPr>
        <w:t>U.S.</w:t>
      </w:r>
    </w:p>
    <w:p>
      <w:pPr>
        <w:ind w:right="40"/>
        <w:spacing w:after="0" w:line="254" w:lineRule="auto"/>
        <w:rPr>
          <w:sz w:val="20"/>
          <w:szCs w:val="20"/>
          <w:color w:val="auto"/>
        </w:rPr>
      </w:pPr>
      <w:r>
        <w:rPr>
          <w:rFonts w:ascii="Arial" w:cs="Arial" w:eastAsia="Arial" w:hAnsi="Arial"/>
          <w:sz w:val="18"/>
          <w:szCs w:val="18"/>
          <w:color w:val="auto"/>
        </w:rPr>
        <w:t>In the U.S., public concern over access to and affordability of pharmaceuticals continues to drive the regulatory and legislative debate. These policy and political issues increase the risk that taxes, fees, rebates, or other cost control measures may be enacted to manage federal and state budgets. Evolving regulatory priorities could further intensify these efforts and otherwise increase regulatory scrutiny over our operations. Key health policy initiatives affecting biopharmaceuticals include:</w:t>
      </w:r>
    </w:p>
    <w:p>
      <w:pPr>
        <w:spacing w:after="0" w:line="96" w:lineRule="exact"/>
        <w:rPr>
          <w:sz w:val="20"/>
          <w:szCs w:val="20"/>
          <w:color w:val="auto"/>
        </w:rPr>
      </w:pPr>
    </w:p>
    <w:p>
      <w:pPr>
        <w:ind w:left="660" w:right="300" w:hanging="328"/>
        <w:spacing w:after="0" w:line="261"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Coronavirus Aid, Relief, and Economic Security (CARES) Act and subsequent stimulus bills that focus on ensuring availability and access to lifesaving drugs during a public health crisis,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foreign reference pricing in Medicare and private insurance,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modifications to Medicare Parts B and D,</w:t>
      </w:r>
    </w:p>
    <w:p>
      <w:pPr>
        <w:spacing w:after="0" w:line="117" w:lineRule="exact"/>
        <w:rPr>
          <w:rFonts w:ascii="Arial" w:cs="Arial" w:eastAsia="Arial" w:hAnsi="Arial"/>
          <w:sz w:val="18"/>
          <w:szCs w:val="18"/>
          <w:color w:val="auto"/>
        </w:rPr>
      </w:pPr>
    </w:p>
    <w:p>
      <w:pPr>
        <w:ind w:left="660" w:right="540" w:hanging="328"/>
        <w:spacing w:after="0" w:line="261"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provisions that would allow the Department of Health and Human Services (HHS) to negotiate prices for biologics and drugs in Medicare,</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reduction in biologic data exclusivity,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proposals related to Medicaid prescription drug coverage and manufacturer drug rebates,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proposals that would require biopharmaceutical manufacturers to disclose proprietary drug pricing information,</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48" w:name="page49"/>
    <w:bookmarkEnd w:id="48"/>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state-level proposals related to prescription drug prices and reducing the cost of pharmaceuticals,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federal and state proposals to permit importation of pharmaceuticals, including insulin, intended for sale in foreign markets, and</w:t>
      </w:r>
    </w:p>
    <w:p>
      <w:pPr>
        <w:spacing w:after="0" w:line="117" w:lineRule="exact"/>
        <w:rPr>
          <w:rFonts w:ascii="Arial" w:cs="Arial" w:eastAsia="Arial" w:hAnsi="Arial"/>
          <w:sz w:val="18"/>
          <w:szCs w:val="18"/>
          <w:color w:val="auto"/>
        </w:rPr>
      </w:pPr>
    </w:p>
    <w:p>
      <w:pPr>
        <w:jc w:val="both"/>
        <w:ind w:left="660" w:right="420" w:hanging="328"/>
        <w:spacing w:after="0" w:line="278" w:lineRule="auto"/>
        <w:tabs>
          <w:tab w:leader="none" w:pos="655"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Biden administration's regulatory rule freeze affecting all federal agency rules that had not gone into effect as of January 20, 2021, impacting the implementation or effectiveness, as applicable, of final rules related to the 340B prescription drug program, rebate reform in Medicare Part D, drug importation including insulin, and foreign reference pricing in Medicare Parts B and D.</w:t>
      </w:r>
    </w:p>
    <w:p>
      <w:pPr>
        <w:spacing w:after="0" w:line="7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On September 1, 2020, we announced we would distribute all 340B ceiling priced products directly to covered entities and their child sites only. We provide 340B discounts to a contract pharmacy only if it is a wholly owned subsidiary of a covered entity, if a covered entity does not have an in-house retail pharmacy or, in the case of insulin, if the subject covered entity and its contract pharmacies agree to pass along the discount to patients without any markup for dispensing fees and without billing insurance or collecting duplicate discounts. We have been transparent with regulators on our distribution activity and continue to comply with all 340B program requirements. Certain covered entities and their trade associations have initiated litigation questioning whether our program, and similar actions by other manufacturers, violate 340B program requirements. We are engaged in a number of legal proceedings related to our decision to distribute all 340B ceiling priced products directly to covered entities and their child sites only. See Note 9 to the consolidated condensed financial statements for additional information regarding our ongoing 340B legal proceedings.</w:t>
      </w:r>
    </w:p>
    <w:p>
      <w:pPr>
        <w:spacing w:after="0" w:line="104"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California and several other states have enacted legislation related to prescription drug pricing transparency and it is unclear the effect this legislation or future legislation will have on our business. Several states have also passed importation legislation, including Colorado, Florida, Maine, New Hampshire, New Mexico, and Vermont. As of late 2020 several of these states were actively working with the former presidential administration to implement an importation program from Canada. On November 22, 2020, Florida announced it submitted a proposed importation plan to the U.S. In 2020, HHS and the FDA also took several actions to advance state importation initiatives, including issuing requests for proposals (RFPs) for personal importation and reimportation of insulin and a final rule on the Importation of Prescription Drugs. On July 9, 2021, the FDA and HHS announced the withdrawal of the RFPs. We continue to review these state proposals and legislation, as well as federal rules, commentary to the rulemaking, and guidance published by HHS and the FDA, the impact of which is uncertain at this time. On July 9, 2021, the Biden administration released its Executive Order on "Promoting Competition in the American Economy" (EO). The EO supports the importation of prescription drugs from Canada, requests that HHS develop a drug pricing plan within 45 days, and includes provisions to increase the availability of generics and biosimilars. We will continue to monitor and assess these developments.</w:t>
      </w:r>
    </w:p>
    <w:p>
      <w:pPr>
        <w:spacing w:after="0" w:line="9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the private sector, consolidation and integration among healthcare providers significantly affects the competitive marketplace for pharmaceuticals. Health plans, pharmacy benefit managers, wholesalers, and other supply chain stakeholders have been consolidating into fewer, larger entities, thus enhancing their purchasing strength and importance. Private third-party insurers, as well as governments, typically maintain formularies that specify coverage (the conditions under which drugs are included on a plan's formulary) and reimbursement (the</w:t>
      </w:r>
    </w:p>
    <w:p>
      <w:pPr>
        <w:spacing w:after="0" w:line="1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associated out-of-pocket cost to the consumer) to control costs by negotiating discounts, rebates and other price concessions in exchange for formulary inclusion. Formulary placement can lead to reduced usage of a drug for the relevant patient population due to coverage restrictions, such as prior authorizations and formulary exclusions, or due to reimbursement limitations that result in higher consumer out-of-pocket cost, such as non-preferred co-pay tiers, increased co-insurance levels, and higher deductibles. Consequently, pharmaceutical companies compete for formulary placement not only on the basis of product attributes such as efficacy, safety profile, or patient ease of use, but also by providing rebates. Value-based agreements, where the amount of rebates is based on achievement (or not) of specified outcomes, are another tool that may be utilized between payers and pharmaceutical companies as formulary placement and pricing are negotiated. Price is an increasingly important factor in formulary decisions, particularly in treatment areas in which the payer has taken the position that multiple branded products are therapeutically comparable. We anticipate these downward pricing pressures will continue to negatively affect our consolidated results of operations. In addition to formulary placement, changes in insurance designs continue to drive greater consumer cost-sharing through high deductible plans and higher co-insurance or co-pays. We continue to invest in patient affordability solutions (resulting in lower revenue) in an effort to assist patients in affording their medicines.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6" w:right="359" w:bottom="1440" w:gutter="0" w:footer="0" w:header="0"/>
        </w:sectPr>
      </w:pPr>
    </w:p>
    <w:bookmarkStart w:id="49" w:name="page50"/>
    <w:bookmarkEnd w:id="49"/>
    <w:p>
      <w:pPr>
        <w:ind w:right="60"/>
        <w:spacing w:after="0" w:line="252" w:lineRule="auto"/>
        <w:rPr>
          <w:sz w:val="20"/>
          <w:szCs w:val="20"/>
          <w:color w:val="auto"/>
        </w:rPr>
      </w:pPr>
      <w:r>
        <w:rPr>
          <w:rFonts w:ascii="Arial" w:cs="Arial" w:eastAsia="Arial" w:hAnsi="Arial"/>
          <w:sz w:val="18"/>
          <w:szCs w:val="18"/>
          <w:color w:val="auto"/>
        </w:rPr>
        <w:t>The main coverage expansion provisions of the Affordable Care Act (ACA) are currently in effect through both state-based exchanges and the expansion of Medicaid. A trend has been the prevalence of benefit designs containing high out-of-pocket costs for patients, particularly for pharmaceuticals. In addition to the coverage expansions, many employers in the commercial market continue to evaluate strategies such as private exchanges and wider use of consumer-driven health plans to reduce their healthcare liabilities over time. Federal legislation, litigation, or administrative actions to repeal or modify some or all of the provisions of the ACA could have a material adverse effect on our consolidated results of operations and cash flows. At the same time, the broader paradigm shift towards performance-based reimbursement and the launch of several value-based purchasing initiatives have placed demands on the pharmaceutical industry to offer products with proven real-world outcomes data and a favorable economic profile.</w:t>
      </w:r>
    </w:p>
    <w:p>
      <w:pPr>
        <w:spacing w:after="0" w:line="9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December 31, 2020, the Centers for Medicare and Medicaid Services published in the Federal Register a final regulation impacting the rules for calculating Medicaid rebate amounts, though the provision most likely to have a material impact on us relates to the inclusion of copayment assistance programs in best price and will take effect January 1, 2023. We are evaluating the impact of this regulation. We do not anticipate the changes related to "line extensions," which are scheduled to take effect January 1, 2022, to be material.</w:t>
      </w:r>
    </w:p>
    <w:p>
      <w:pPr>
        <w:spacing w:after="0" w:line="96"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On March 11, 2021, President Biden signed into law the American Rescue Plan Act of 2021 (ARP). Section 9816 of the ARP removed Medicaid's maximum rebate percentage effective January 1, 2024. We are evaluating the impact of this legislation. We expect to see continued focus on regulating pricing, potentially resulting in additional legislation and regulation under the newly elected Congress and the Biden administration.</w:t>
      </w:r>
    </w:p>
    <w:p>
      <w:pPr>
        <w:spacing w:after="0" w:line="96" w:lineRule="exact"/>
        <w:rPr>
          <w:sz w:val="20"/>
          <w:szCs w:val="20"/>
          <w:color w:val="auto"/>
        </w:rPr>
      </w:pPr>
    </w:p>
    <w:p>
      <w:pPr>
        <w:spacing w:after="0" w:line="252" w:lineRule="auto"/>
        <w:rPr>
          <w:rFonts w:ascii="Arial" w:cs="Arial" w:eastAsia="Arial" w:hAnsi="Arial"/>
          <w:sz w:val="18"/>
          <w:szCs w:val="18"/>
          <w:color w:val="auto"/>
        </w:rPr>
      </w:pPr>
      <w:r>
        <w:rPr>
          <w:rFonts w:ascii="Arial" w:cs="Arial" w:eastAsia="Arial" w:hAnsi="Arial"/>
          <w:sz w:val="18"/>
          <w:szCs w:val="18"/>
          <w:color w:val="auto"/>
        </w:rPr>
        <w:t xml:space="preserve">In addition, evolving regulatory priorities have intensified governmental scrutiny of our operations, including our compliance with cGMP, quality assurance, and similar regulations. Any regulatory issues concerning these matters could lead to regulatory and legal actions, product recalls and seizures, fines and penalties, interruption of production leading to product shortages, import bans or denials of import certifications, delays or denials in the approvals of new products pending resolution of the issues, and reputational harm, any of which would adversely affect our business. See “Risk Factors” in Part I, Item 1A of our Annual Report on </w:t>
      </w:r>
      <w:hyperlink r:id="rId14">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2020. See also Note 9 to the consolidated condensed financial statements.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w:t>
      </w:r>
    </w:p>
    <w:p>
      <w:pPr>
        <w:spacing w:after="0" w:line="135"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International operations also are generally subject to extensive price and market regulations. Cost-containment measures exist in a number of countries, including additional price controls and mechanisms to limit reimbursement for our products. Such policies are anticipated to increase in impact and reach, given the pressures on national and regional health care budgets that come from a growing, aging population and ongoing economic challenges. As additional reforms are finalized, we will assess their impact on future revenues. In addition, governments in many emerging markets are becoming increasingly active in expanding health care system offerings. Given the budget challenges of increasing health care coverage for citizens, policies may be proposed that promote generics and biosimilars only and reduce current and future access to branded pharmaceutical products. The COVID-19 pandemic is also creating additional pressure on health systems worldwide. As a result, cost containment and other measures may intensify as governments manage and emerge from the pandemic.</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Tax Matters</w:t>
      </w:r>
    </w:p>
    <w:p>
      <w:pPr>
        <w:spacing w:after="0" w:line="1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are subject to income taxes and various other taxes in the U.S. and in many foreign jurisdictions; therefore, changes in both domestic and international tax laws or regulations could affect our effective tax rate, results of operations, and cash flows. Countries around the world, including the U.S., are actively considering and enacting tax law changes. The Biden administration's tax proposal contains significant changes, including increases to the tax rates at which both domestic and foreign income of U.S. companies would be taxed. Further, actions taken with respect to tax-related matters by associations such as the Organisation for Economic Co-operation and Development and the European Commission could influence tax policy in countries in which we operate. In addition, global tax authorities routinely examine our tax returns and are expected to become more aggressive in their examinations of profit allocations among jurisdictions, which could adversely impact our future consolidated results of operations and cash flows.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Acquisitions</w:t>
      </w:r>
    </w:p>
    <w:p>
      <w:pPr>
        <w:spacing w:after="0" w:line="135"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We strategically invest in external research and technologies that we believe to complement and strengthen our own efforts. These investments can take many forms, including acquisitions, strategic alliances, collaborations, investments, and licensing arrangements. We view our business development activity as an important way to achieve our strategies, as we seek to bolster our pipeline and enhance shareholder value. We continuously evaluate business development transactions that have the potential to strengthen our business.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6" w:right="359" w:bottom="1440" w:gutter="0" w:footer="0" w:header="0"/>
        </w:sectPr>
      </w:pPr>
    </w:p>
    <w:bookmarkStart w:id="50" w:name="page51"/>
    <w:bookmarkEnd w:id="50"/>
    <w:p>
      <w:pPr>
        <w:spacing w:after="0" w:line="253" w:lineRule="auto"/>
        <w:rPr>
          <w:sz w:val="20"/>
          <w:szCs w:val="20"/>
          <w:color w:val="auto"/>
        </w:rPr>
      </w:pPr>
      <w:r>
        <w:rPr>
          <w:rFonts w:ascii="Arial" w:cs="Arial" w:eastAsia="Arial" w:hAnsi="Arial"/>
          <w:sz w:val="18"/>
          <w:szCs w:val="18"/>
          <w:color w:val="auto"/>
        </w:rPr>
        <w:t>In February 2020, we acquired all shares of Dermira for a purchase price of $849.3 million, net of cash acquired. Under the terms of the agreement, we acquired lebrikizumab, a novel, investigational, monoclonal antibody being evaluated for the treatment of moderate-to-severe atopic dermatitis. Lebrikizumab was granted Fast Track designation from the FDA. We also acquired Qbrexza cloth, a medicated cloth for the topical treatment of primary axillary hyperhidrosis (uncontrolled excessive underarm sweating). During the six months ended June 30, 2021, we sold the rights to Qbrexza. See Note 5 to the consolidated condensed financial statements for additional information.</w:t>
      </w:r>
    </w:p>
    <w:p>
      <w:pPr>
        <w:spacing w:after="0" w:line="9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January 2021, we acquired all shares of Prevail for a purchase price that included $22.50 per share in cash (or an aggregate of $747.4 million, net of cash acquired) plus one non-tradable contingent value right (CVR) per share. The CVR entitles Prevail stockholders to up to an additional $4.00 per share in cash (or an aggregate of approximately $160 million) payable, subject to certain terms and conditions, upon the first regulatory approval of a Prevail product in one of the following countries: U.S., Japan, United Kingdom, Germany, France, Italy, or Spain. Under the terms of the agreement, we acquired a gene therapy program for patients with neurodegenerative diseases.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See Note 3 to the consolidated condensed financial statements for further discussion regarding our recent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6" w:right="35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39"/>
        </w:trPr>
        <w:tc>
          <w:tcPr>
            <w:tcW w:w="3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Revenue</w:t>
            </w:r>
          </w:p>
        </w:tc>
        <w:tc>
          <w:tcPr>
            <w:tcW w:w="1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5020" w:type="dxa"/>
            <w:vAlign w:val="bottom"/>
            <w:gridSpan w:val="3"/>
          </w:tcPr>
          <w:p>
            <w:pPr>
              <w:spacing w:after="0"/>
              <w:rPr>
                <w:sz w:val="20"/>
                <w:szCs w:val="20"/>
                <w:color w:val="auto"/>
              </w:rPr>
            </w:pPr>
            <w:r>
              <w:rPr>
                <w:rFonts w:ascii="Arial" w:cs="Arial" w:eastAsia="Arial" w:hAnsi="Arial"/>
                <w:sz w:val="18"/>
                <w:szCs w:val="18"/>
                <w:color w:val="auto"/>
              </w:rPr>
              <w:t>The following table summarizes our revenue activity by region:</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35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3"/>
          </w:tcPr>
          <w:p>
            <w:pPr>
              <w:jc w:val="right"/>
              <w:ind w:right="355"/>
              <w:spacing w:after="0"/>
              <w:rPr>
                <w:sz w:val="20"/>
                <w:szCs w:val="20"/>
                <w:color w:val="auto"/>
              </w:rPr>
            </w:pPr>
            <w:r>
              <w:rPr>
                <w:rFonts w:ascii="Arial" w:cs="Arial" w:eastAsia="Arial" w:hAnsi="Arial"/>
                <w:sz w:val="14"/>
                <w:szCs w:val="14"/>
                <w:b w:val="1"/>
                <w:bCs w:val="1"/>
                <w:color w:val="auto"/>
              </w:rPr>
              <w:t>Three Months Ended June 30,</w:t>
            </w:r>
          </w:p>
        </w:tc>
        <w:tc>
          <w:tcPr>
            <w:tcW w:w="1200" w:type="dxa"/>
            <w:vAlign w:val="bottom"/>
            <w:vMerge w:val="restart"/>
          </w:tcPr>
          <w:p>
            <w:pPr>
              <w:jc w:val="center"/>
              <w:ind w:left="36"/>
              <w:spacing w:after="0"/>
              <w:rPr>
                <w:sz w:val="20"/>
                <w:szCs w:val="20"/>
                <w:color w:val="auto"/>
              </w:rPr>
            </w:pPr>
            <w:r>
              <w:rPr>
                <w:rFonts w:ascii="Arial" w:cs="Arial" w:eastAsia="Arial" w:hAnsi="Arial"/>
                <w:sz w:val="14"/>
                <w:szCs w:val="14"/>
                <w:b w:val="1"/>
                <w:bCs w:val="1"/>
                <w:color w:val="auto"/>
              </w:rPr>
              <w:t>Percent</w:t>
            </w:r>
          </w:p>
        </w:tc>
        <w:tc>
          <w:tcPr>
            <w:tcW w:w="2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3"/>
          </w:tcPr>
          <w:p>
            <w:pPr>
              <w:jc w:val="right"/>
              <w:ind w:right="295"/>
              <w:spacing w:after="0"/>
              <w:rPr>
                <w:sz w:val="20"/>
                <w:szCs w:val="20"/>
                <w:color w:val="auto"/>
              </w:rPr>
            </w:pPr>
            <w:r>
              <w:rPr>
                <w:rFonts w:ascii="Arial" w:cs="Arial" w:eastAsia="Arial" w:hAnsi="Arial"/>
                <w:sz w:val="14"/>
                <w:szCs w:val="14"/>
                <w:b w:val="1"/>
                <w:bCs w:val="1"/>
                <w:color w:val="auto"/>
              </w:rPr>
              <w:t>Six Months Ended June 30,</w:t>
            </w:r>
          </w:p>
        </w:tc>
        <w:tc>
          <w:tcPr>
            <w:tcW w:w="980" w:type="dxa"/>
            <w:vAlign w:val="bottom"/>
            <w:vMerge w:val="restart"/>
          </w:tcPr>
          <w:p>
            <w:pPr>
              <w:jc w:val="center"/>
              <w:ind w:left="17"/>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28"/>
        </w:trPr>
        <w:tc>
          <w:tcPr>
            <w:tcW w:w="3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vMerge w:val="restart"/>
          </w:tcPr>
          <w:p>
            <w:pPr>
              <w:jc w:val="right"/>
              <w:ind w:right="557"/>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1"/>
                <w:szCs w:val="11"/>
                <w:color w:val="auto"/>
              </w:rPr>
            </w:pPr>
          </w:p>
        </w:tc>
        <w:tc>
          <w:tcPr>
            <w:tcW w:w="1080" w:type="dxa"/>
            <w:vAlign w:val="bottom"/>
            <w:vMerge w:val="restart"/>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12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vMerge w:val="restart"/>
          </w:tcPr>
          <w:p>
            <w:pPr>
              <w:jc w:val="right"/>
              <w:ind w:right="397"/>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1"/>
                <w:szCs w:val="11"/>
                <w:color w:val="auto"/>
              </w:rPr>
            </w:pPr>
          </w:p>
        </w:tc>
        <w:tc>
          <w:tcPr>
            <w:tcW w:w="960" w:type="dxa"/>
            <w:vAlign w:val="bottom"/>
            <w:vMerge w:val="restart"/>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5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200" w:type="dxa"/>
            <w:vAlign w:val="bottom"/>
            <w:tcBorders>
              <w:bottom w:val="single" w:sz="8" w:color="auto"/>
            </w:tcBorders>
          </w:tcPr>
          <w:p>
            <w:pPr>
              <w:jc w:val="center"/>
              <w:ind w:left="36"/>
              <w:spacing w:after="0"/>
              <w:rPr>
                <w:sz w:val="20"/>
                <w:szCs w:val="20"/>
                <w:color w:val="auto"/>
              </w:rPr>
            </w:pPr>
            <w:r>
              <w:rPr>
                <w:rFonts w:ascii="Arial" w:cs="Arial" w:eastAsia="Arial" w:hAnsi="Arial"/>
                <w:sz w:val="14"/>
                <w:szCs w:val="14"/>
                <w:b w:val="1"/>
                <w:bCs w:val="1"/>
                <w:color w:val="auto"/>
              </w:rPr>
              <w:t>Change</w:t>
            </w: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980" w:type="dxa"/>
            <w:vAlign w:val="bottom"/>
            <w:tcBorders>
              <w:bottom w:val="single" w:sz="8" w:color="auto"/>
            </w:tcBorders>
          </w:tcPr>
          <w:p>
            <w:pPr>
              <w:jc w:val="center"/>
              <w:ind w:left="1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40" w:type="dxa"/>
            <w:vAlign w:val="bottom"/>
            <w:shd w:val="clear" w:color="auto" w:fill="CCEEFF"/>
          </w:tcPr>
          <w:p>
            <w:pPr>
              <w:jc w:val="right"/>
              <w:ind w:right="97"/>
              <w:spacing w:after="0"/>
              <w:rPr>
                <w:sz w:val="20"/>
                <w:szCs w:val="20"/>
                <w:color w:val="auto"/>
              </w:rPr>
            </w:pPr>
            <w:r>
              <w:rPr>
                <w:rFonts w:ascii="Arial" w:cs="Arial" w:eastAsia="Arial" w:hAnsi="Arial"/>
                <w:sz w:val="18"/>
                <w:szCs w:val="18"/>
                <w:b w:val="1"/>
                <w:bCs w:val="1"/>
                <w:color w:val="auto"/>
              </w:rPr>
              <w:t>3,704.2</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3,144.8</w:t>
            </w:r>
          </w:p>
        </w:tc>
        <w:tc>
          <w:tcPr>
            <w:tcW w:w="1200" w:type="dxa"/>
            <w:vAlign w:val="bottom"/>
            <w:shd w:val="clear" w:color="auto" w:fill="CCEEFF"/>
          </w:tcPr>
          <w:p>
            <w:pPr>
              <w:jc w:val="center"/>
              <w:ind w:left="36"/>
              <w:spacing w:after="0"/>
              <w:rPr>
                <w:sz w:val="20"/>
                <w:szCs w:val="20"/>
                <w:color w:val="auto"/>
              </w:rPr>
            </w:pPr>
            <w:r>
              <w:rPr>
                <w:rFonts w:ascii="Arial" w:cs="Arial" w:eastAsia="Arial" w:hAnsi="Arial"/>
                <w:sz w:val="18"/>
                <w:szCs w:val="18"/>
                <w:color w:val="auto"/>
                <w:w w:val="99"/>
              </w:rPr>
              <w:t>18</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7,645.5</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6,473.6</w:t>
            </w:r>
          </w:p>
        </w:tc>
        <w:tc>
          <w:tcPr>
            <w:tcW w:w="980" w:type="dxa"/>
            <w:vAlign w:val="bottom"/>
            <w:shd w:val="clear" w:color="auto" w:fill="CCEEFF"/>
          </w:tcPr>
          <w:p>
            <w:pPr>
              <w:jc w:val="center"/>
              <w:ind w:left="17"/>
              <w:spacing w:after="0"/>
              <w:rPr>
                <w:sz w:val="20"/>
                <w:szCs w:val="20"/>
                <w:color w:val="auto"/>
              </w:rPr>
            </w:pPr>
            <w:r>
              <w:rPr>
                <w:rFonts w:ascii="Arial" w:cs="Arial" w:eastAsia="Arial" w:hAnsi="Arial"/>
                <w:sz w:val="18"/>
                <w:szCs w:val="18"/>
                <w:color w:val="auto"/>
                <w:w w:val="99"/>
              </w:rPr>
              <w:t>18</w:t>
            </w:r>
          </w:p>
        </w:tc>
        <w:tc>
          <w:tcPr>
            <w:tcW w:w="0" w:type="dxa"/>
            <w:vAlign w:val="bottom"/>
          </w:tcPr>
          <w:p>
            <w:pPr>
              <w:spacing w:after="0"/>
              <w:rPr>
                <w:sz w:val="1"/>
                <w:szCs w:val="1"/>
                <w:color w:val="auto"/>
              </w:rPr>
            </w:pPr>
          </w:p>
        </w:tc>
      </w:tr>
      <w:tr>
        <w:trPr>
          <w:trHeight w:val="229"/>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Outside U.S.</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b w:val="1"/>
                <w:bCs w:val="1"/>
                <w:color w:val="auto"/>
              </w:rPr>
              <w:t>3,035.9</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2,354.6</w:t>
            </w:r>
          </w:p>
        </w:tc>
        <w:tc>
          <w:tcPr>
            <w:tcW w:w="1200" w:type="dxa"/>
            <w:vAlign w:val="bottom"/>
            <w:tcBorders>
              <w:bottom w:val="single" w:sz="8" w:color="CCEEFF"/>
            </w:tcBorders>
          </w:tcPr>
          <w:p>
            <w:pPr>
              <w:jc w:val="center"/>
              <w:ind w:left="36"/>
              <w:spacing w:after="0"/>
              <w:rPr>
                <w:sz w:val="20"/>
                <w:szCs w:val="20"/>
                <w:color w:val="auto"/>
              </w:rPr>
            </w:pPr>
            <w:r>
              <w:rPr>
                <w:rFonts w:ascii="Arial" w:cs="Arial" w:eastAsia="Arial" w:hAnsi="Arial"/>
                <w:sz w:val="18"/>
                <w:szCs w:val="18"/>
                <w:color w:val="auto"/>
                <w:w w:val="99"/>
              </w:rPr>
              <w:t>29</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5,900.2</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4,885.6</w:t>
            </w:r>
          </w:p>
        </w:tc>
        <w:tc>
          <w:tcPr>
            <w:tcW w:w="980" w:type="dxa"/>
            <w:vAlign w:val="bottom"/>
            <w:tcBorders>
              <w:bottom w:val="single" w:sz="8" w:color="CCEEFF"/>
            </w:tcBorders>
          </w:tcPr>
          <w:p>
            <w:pPr>
              <w:jc w:val="center"/>
              <w:ind w:left="17"/>
              <w:spacing w:after="0"/>
              <w:rPr>
                <w:sz w:val="20"/>
                <w:szCs w:val="20"/>
                <w:color w:val="auto"/>
              </w:rPr>
            </w:pPr>
            <w:r>
              <w:rPr>
                <w:rFonts w:ascii="Arial" w:cs="Arial" w:eastAsia="Arial" w:hAnsi="Arial"/>
                <w:sz w:val="18"/>
                <w:szCs w:val="18"/>
                <w:color w:val="auto"/>
                <w:w w:val="99"/>
              </w:rPr>
              <w:t>21</w:t>
            </w:r>
          </w:p>
        </w:tc>
        <w:tc>
          <w:tcPr>
            <w:tcW w:w="0" w:type="dxa"/>
            <w:vAlign w:val="bottom"/>
          </w:tcPr>
          <w:p>
            <w:pPr>
              <w:spacing w:after="0"/>
              <w:rPr>
                <w:sz w:val="1"/>
                <w:szCs w:val="1"/>
                <w:color w:val="auto"/>
              </w:rPr>
            </w:pPr>
          </w:p>
        </w:tc>
      </w:tr>
      <w:tr>
        <w:trPr>
          <w:trHeight w:val="23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8"/>
                <w:szCs w:val="18"/>
                <w:b w:val="1"/>
                <w:bCs w:val="1"/>
                <w:color w:val="auto"/>
              </w:rPr>
              <w:t>6,740.1</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5,499.4</w:t>
            </w:r>
          </w:p>
        </w:tc>
        <w:tc>
          <w:tcPr>
            <w:tcW w:w="1200" w:type="dxa"/>
            <w:vAlign w:val="bottom"/>
            <w:tcBorders>
              <w:bottom w:val="single" w:sz="8" w:color="CCEEFF"/>
            </w:tcBorders>
            <w:shd w:val="clear" w:color="auto" w:fill="CCEEFF"/>
          </w:tcPr>
          <w:p>
            <w:pPr>
              <w:jc w:val="center"/>
              <w:ind w:left="36"/>
              <w:spacing w:after="0"/>
              <w:rPr>
                <w:sz w:val="20"/>
                <w:szCs w:val="20"/>
                <w:color w:val="auto"/>
              </w:rPr>
            </w:pPr>
            <w:r>
              <w:rPr>
                <w:rFonts w:ascii="Arial" w:cs="Arial" w:eastAsia="Arial" w:hAnsi="Arial"/>
                <w:sz w:val="18"/>
                <w:szCs w:val="18"/>
                <w:color w:val="auto"/>
                <w:w w:val="99"/>
              </w:rPr>
              <w:t>23</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13,545.7</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11,359.2</w:t>
            </w:r>
          </w:p>
        </w:tc>
        <w:tc>
          <w:tcPr>
            <w:tcW w:w="980" w:type="dxa"/>
            <w:vAlign w:val="bottom"/>
            <w:tcBorders>
              <w:bottom w:val="single" w:sz="8" w:color="CCEEFF"/>
            </w:tcBorders>
            <w:shd w:val="clear" w:color="auto" w:fill="CCEEFF"/>
          </w:tcPr>
          <w:p>
            <w:pPr>
              <w:jc w:val="center"/>
              <w:ind w:left="17"/>
              <w:spacing w:after="0"/>
              <w:rPr>
                <w:sz w:val="20"/>
                <w:szCs w:val="20"/>
                <w:color w:val="auto"/>
              </w:rPr>
            </w:pPr>
            <w:r>
              <w:rPr>
                <w:rFonts w:ascii="Arial" w:cs="Arial" w:eastAsia="Arial" w:hAnsi="Arial"/>
                <w:sz w:val="18"/>
                <w:szCs w:val="18"/>
                <w:color w:val="auto"/>
                <w:w w:val="99"/>
              </w:rPr>
              <w:t>19</w:t>
            </w:r>
          </w:p>
        </w:tc>
        <w:tc>
          <w:tcPr>
            <w:tcW w:w="0" w:type="dxa"/>
            <w:vAlign w:val="bottom"/>
          </w:tcPr>
          <w:p>
            <w:pPr>
              <w:spacing w:after="0"/>
              <w:rPr>
                <w:sz w:val="1"/>
                <w:szCs w:val="1"/>
                <w:color w:val="auto"/>
              </w:rPr>
            </w:pP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components of the change in revenue compared with the prior year:</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0" w:type="dxa"/>
            <w:vAlign w:val="bottom"/>
            <w:gridSpan w:val="2"/>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1580" w:type="dxa"/>
            <w:vAlign w:val="bottom"/>
          </w:tcPr>
          <w:p>
            <w:pPr>
              <w:spacing w:after="0"/>
              <w:rPr>
                <w:sz w:val="16"/>
                <w:szCs w:val="16"/>
                <w:color w:val="auto"/>
              </w:rPr>
            </w:pPr>
          </w:p>
        </w:tc>
        <w:tc>
          <w:tcPr>
            <w:tcW w:w="3980" w:type="dxa"/>
            <w:vAlign w:val="bottom"/>
            <w:gridSpan w:val="3"/>
          </w:tcPr>
          <w:p>
            <w:pPr>
              <w:jc w:val="right"/>
              <w:ind w:right="1074"/>
              <w:spacing w:after="0"/>
              <w:rPr>
                <w:sz w:val="20"/>
                <w:szCs w:val="20"/>
                <w:color w:val="auto"/>
              </w:rPr>
            </w:pPr>
            <w:r>
              <w:rPr>
                <w:rFonts w:ascii="Arial" w:cs="Arial" w:eastAsia="Arial" w:hAnsi="Arial"/>
                <w:sz w:val="14"/>
                <w:szCs w:val="14"/>
                <w:b w:val="1"/>
                <w:bCs w:val="1"/>
                <w:color w:val="auto"/>
              </w:rPr>
              <w:t>Six Months Ended June 30,</w:t>
            </w:r>
          </w:p>
        </w:tc>
      </w:tr>
      <w:tr>
        <w:trPr>
          <w:trHeight w:val="189"/>
        </w:trPr>
        <w:tc>
          <w:tcPr>
            <w:tcW w:w="23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 vs. 2020</w:t>
            </w:r>
          </w:p>
        </w:tc>
        <w:tc>
          <w:tcPr>
            <w:tcW w:w="15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2021 vs. 2020</w:t>
            </w:r>
          </w:p>
        </w:tc>
        <w:tc>
          <w:tcPr>
            <w:tcW w:w="1320" w:type="dxa"/>
            <w:vAlign w:val="bottom"/>
            <w:tcBorders>
              <w:bottom w:val="single" w:sz="8" w:color="auto"/>
            </w:tcBorders>
          </w:tcPr>
          <w:p>
            <w:pPr>
              <w:spacing w:after="0"/>
              <w:rPr>
                <w:sz w:val="16"/>
                <w:szCs w:val="16"/>
                <w:color w:val="auto"/>
              </w:rPr>
            </w:pPr>
          </w:p>
        </w:tc>
      </w:tr>
      <w:tr>
        <w:trPr>
          <w:trHeight w:val="183"/>
        </w:trPr>
        <w:tc>
          <w:tcPr>
            <w:tcW w:w="232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U.S.</w:t>
            </w:r>
          </w:p>
        </w:tc>
        <w:tc>
          <w:tcPr>
            <w:tcW w:w="6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Outside U.S.</w:t>
            </w:r>
          </w:p>
        </w:tc>
        <w:tc>
          <w:tcPr>
            <w:tcW w:w="15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Consolidated</w:t>
            </w:r>
          </w:p>
        </w:tc>
        <w:tc>
          <w:tcPr>
            <w:tcW w:w="126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U.S.</w:t>
            </w:r>
          </w:p>
        </w:tc>
        <w:tc>
          <w:tcPr>
            <w:tcW w:w="14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Outside U.S.</w:t>
            </w:r>
          </w:p>
        </w:tc>
        <w:tc>
          <w:tcPr>
            <w:tcW w:w="13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Consolidated</w:t>
            </w:r>
          </w:p>
        </w:tc>
      </w:tr>
      <w:tr>
        <w:trPr>
          <w:trHeight w:val="223"/>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Volume</w:t>
            </w:r>
          </w:p>
        </w:tc>
        <w:tc>
          <w:tcPr>
            <w:tcW w:w="6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18 %</w:t>
            </w:r>
          </w:p>
        </w:tc>
        <w:tc>
          <w:tcPr>
            <w:tcW w:w="172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26 %</w:t>
            </w:r>
          </w:p>
        </w:tc>
        <w:tc>
          <w:tcPr>
            <w:tcW w:w="158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22 %</w:t>
            </w:r>
          </w:p>
        </w:tc>
        <w:tc>
          <w:tcPr>
            <w:tcW w:w="12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21 %</w:t>
            </w:r>
          </w:p>
        </w:tc>
        <w:tc>
          <w:tcPr>
            <w:tcW w:w="140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17 %</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r>
      <w:tr>
        <w:trPr>
          <w:trHeight w:val="229"/>
        </w:trPr>
        <w:tc>
          <w:tcPr>
            <w:tcW w:w="3280" w:type="dxa"/>
            <w:vAlign w:val="bottom"/>
            <w:gridSpan w:val="2"/>
          </w:tcPr>
          <w:p>
            <w:pPr>
              <w:ind w:left="20"/>
              <w:spacing w:after="0"/>
              <w:rPr>
                <w:sz w:val="20"/>
                <w:szCs w:val="20"/>
                <w:color w:val="auto"/>
              </w:rPr>
            </w:pPr>
            <w:r>
              <w:rPr>
                <w:rFonts w:ascii="Arial" w:cs="Arial" w:eastAsia="Arial" w:hAnsi="Arial"/>
                <w:sz w:val="18"/>
                <w:szCs w:val="18"/>
                <w:color w:val="auto"/>
              </w:rPr>
              <w:t>Price</w:t>
            </w:r>
          </w:p>
        </w:tc>
        <w:tc>
          <w:tcPr>
            <w:tcW w:w="680" w:type="dxa"/>
            <w:vAlign w:val="bottom"/>
          </w:tcPr>
          <w:p>
            <w:pPr>
              <w:jc w:val="right"/>
              <w:ind w:right="254"/>
              <w:spacing w:after="0"/>
              <w:rPr>
                <w:sz w:val="20"/>
                <w:szCs w:val="20"/>
                <w:color w:val="auto"/>
              </w:rPr>
            </w:pPr>
            <w:r>
              <w:rPr>
                <w:rFonts w:ascii="Arial" w:cs="Arial" w:eastAsia="Arial" w:hAnsi="Arial"/>
                <w:sz w:val="18"/>
                <w:szCs w:val="18"/>
                <w:color w:val="auto"/>
              </w:rPr>
              <w:t>(1)</w:t>
            </w:r>
          </w:p>
        </w:tc>
        <w:tc>
          <w:tcPr>
            <w:tcW w:w="1720" w:type="dxa"/>
            <w:vAlign w:val="bottom"/>
          </w:tcPr>
          <w:p>
            <w:pPr>
              <w:jc w:val="right"/>
              <w:ind w:right="436"/>
              <w:spacing w:after="0"/>
              <w:rPr>
                <w:sz w:val="20"/>
                <w:szCs w:val="20"/>
                <w:color w:val="auto"/>
              </w:rPr>
            </w:pPr>
            <w:r>
              <w:rPr>
                <w:rFonts w:ascii="Arial" w:cs="Arial" w:eastAsia="Arial" w:hAnsi="Arial"/>
                <w:sz w:val="18"/>
                <w:szCs w:val="18"/>
                <w:color w:val="auto"/>
              </w:rPr>
              <w:t>(4)</w:t>
            </w:r>
          </w:p>
        </w:tc>
        <w:tc>
          <w:tcPr>
            <w:tcW w:w="1580" w:type="dxa"/>
            <w:vAlign w:val="bottom"/>
          </w:tcPr>
          <w:p>
            <w:pPr>
              <w:jc w:val="right"/>
              <w:ind w:right="394"/>
              <w:spacing w:after="0"/>
              <w:rPr>
                <w:sz w:val="20"/>
                <w:szCs w:val="20"/>
                <w:color w:val="auto"/>
              </w:rPr>
            </w:pPr>
            <w:r>
              <w:rPr>
                <w:rFonts w:ascii="Arial" w:cs="Arial" w:eastAsia="Arial" w:hAnsi="Arial"/>
                <w:sz w:val="18"/>
                <w:szCs w:val="18"/>
                <w:color w:val="auto"/>
              </w:rPr>
              <w:t>(2)</w:t>
            </w:r>
          </w:p>
        </w:tc>
        <w:tc>
          <w:tcPr>
            <w:tcW w:w="1260" w:type="dxa"/>
            <w:vAlign w:val="bottom"/>
          </w:tcPr>
          <w:p>
            <w:pPr>
              <w:jc w:val="right"/>
              <w:ind w:right="216"/>
              <w:spacing w:after="0"/>
              <w:rPr>
                <w:sz w:val="20"/>
                <w:szCs w:val="20"/>
                <w:color w:val="auto"/>
              </w:rPr>
            </w:pPr>
            <w:r>
              <w:rPr>
                <w:rFonts w:ascii="Arial" w:cs="Arial" w:eastAsia="Arial" w:hAnsi="Arial"/>
                <w:sz w:val="18"/>
                <w:szCs w:val="18"/>
                <w:color w:val="auto"/>
              </w:rPr>
              <w:t>(3)</w:t>
            </w:r>
          </w:p>
        </w:tc>
        <w:tc>
          <w:tcPr>
            <w:tcW w:w="1400" w:type="dxa"/>
            <w:vAlign w:val="bottom"/>
          </w:tcPr>
          <w:p>
            <w:pPr>
              <w:jc w:val="right"/>
              <w:ind w:right="236"/>
              <w:spacing w:after="0"/>
              <w:rPr>
                <w:sz w:val="20"/>
                <w:szCs w:val="20"/>
                <w:color w:val="auto"/>
              </w:rPr>
            </w:pPr>
            <w:r>
              <w:rPr>
                <w:rFonts w:ascii="Arial" w:cs="Arial" w:eastAsia="Arial" w:hAnsi="Arial"/>
                <w:sz w:val="18"/>
                <w:szCs w:val="18"/>
                <w:color w:val="auto"/>
              </w:rPr>
              <w:t>(3)</w:t>
            </w:r>
          </w:p>
        </w:tc>
        <w:tc>
          <w:tcPr>
            <w:tcW w:w="1320" w:type="dxa"/>
            <w:vAlign w:val="bottom"/>
          </w:tcPr>
          <w:p>
            <w:pPr>
              <w:jc w:val="right"/>
              <w:ind w:right="94"/>
              <w:spacing w:after="0"/>
              <w:rPr>
                <w:sz w:val="20"/>
                <w:szCs w:val="20"/>
                <w:color w:val="auto"/>
              </w:rPr>
            </w:pPr>
            <w:r>
              <w:rPr>
                <w:rFonts w:ascii="Arial" w:cs="Arial" w:eastAsia="Arial" w:hAnsi="Arial"/>
                <w:sz w:val="18"/>
                <w:szCs w:val="18"/>
                <w:color w:val="auto"/>
              </w:rPr>
              <w:t>(3)</w:t>
            </w:r>
          </w:p>
        </w:tc>
      </w:tr>
      <w:tr>
        <w:trPr>
          <w:trHeight w:val="229"/>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rates</w:t>
            </w:r>
          </w:p>
        </w:tc>
        <w:tc>
          <w:tcPr>
            <w:tcW w:w="9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8"/>
                <w:szCs w:val="18"/>
                <w:color w:val="auto"/>
              </w:rPr>
              <w:t>6</w:t>
            </w:r>
          </w:p>
        </w:tc>
        <w:tc>
          <w:tcPr>
            <w:tcW w:w="1580" w:type="dxa"/>
            <w:vAlign w:val="bottom"/>
            <w:tcBorders>
              <w:bottom w:val="single" w:sz="8" w:color="auto"/>
            </w:tcBorders>
            <w:shd w:val="clear" w:color="auto" w:fill="CCEEFF"/>
          </w:tcPr>
          <w:p>
            <w:pPr>
              <w:jc w:val="right"/>
              <w:ind w:right="454"/>
              <w:spacing w:after="0"/>
              <w:rPr>
                <w:sz w:val="20"/>
                <w:szCs w:val="20"/>
                <w:color w:val="auto"/>
              </w:rPr>
            </w:pPr>
            <w:r>
              <w:rPr>
                <w:rFonts w:ascii="Arial" w:cs="Arial" w:eastAsia="Arial" w:hAnsi="Arial"/>
                <w:sz w:val="18"/>
                <w:szCs w:val="18"/>
                <w:color w:val="auto"/>
              </w:rPr>
              <w:t>3</w:t>
            </w:r>
          </w:p>
        </w:tc>
        <w:tc>
          <w:tcPr>
            <w:tcW w:w="126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rPr>
              <w:t>6</w:t>
            </w:r>
          </w:p>
        </w:tc>
        <w:tc>
          <w:tcPr>
            <w:tcW w:w="13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3</w:t>
            </w:r>
          </w:p>
        </w:tc>
      </w:tr>
      <w:tr>
        <w:trPr>
          <w:trHeight w:val="230"/>
        </w:trPr>
        <w:tc>
          <w:tcPr>
            <w:tcW w:w="2320" w:type="dxa"/>
            <w:vAlign w:val="bottom"/>
          </w:tcPr>
          <w:p>
            <w:pPr>
              <w:ind w:left="20"/>
              <w:spacing w:after="0"/>
              <w:rPr>
                <w:sz w:val="20"/>
                <w:szCs w:val="20"/>
                <w:color w:val="auto"/>
              </w:rPr>
            </w:pPr>
            <w:r>
              <w:rPr>
                <w:rFonts w:ascii="Arial" w:cs="Arial" w:eastAsia="Arial" w:hAnsi="Arial"/>
                <w:sz w:val="18"/>
                <w:szCs w:val="18"/>
                <w:color w:val="auto"/>
              </w:rPr>
              <w:t>Percent change</w:t>
            </w:r>
          </w:p>
        </w:tc>
        <w:tc>
          <w:tcPr>
            <w:tcW w:w="9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18 %</w:t>
            </w:r>
          </w:p>
        </w:tc>
        <w:tc>
          <w:tcPr>
            <w:tcW w:w="172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rPr>
              <w:t>29 %</w:t>
            </w:r>
          </w:p>
        </w:tc>
        <w:tc>
          <w:tcPr>
            <w:tcW w:w="158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color w:val="auto"/>
              </w:rPr>
              <w:t>23 %</w:t>
            </w:r>
          </w:p>
        </w:tc>
        <w:tc>
          <w:tcPr>
            <w:tcW w:w="12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18 %</w:t>
            </w:r>
          </w:p>
        </w:tc>
        <w:tc>
          <w:tcPr>
            <w:tcW w:w="140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21 %</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19 %</w:t>
            </w: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103"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We estimate that the COVID-19 pandemic negatively impacted worldwide revenue for the three months ended June 30, 2020 by approximately $200 million in the U.S. and approximately $50 million outside the U.S. as a result of decreased customer buying patterns that largely offset product stocking that occurred in the first quarter of 2020. We believe that this decrease in U.S. revenue in the second quarter of 2020 primarily impacted our diabetes portfolio, with estimated decreases of approximately $70 million to $80 million for insulin products and approximately $ 30 million to $40 million for Trulicity</w:t>
      </w:r>
      <w:r>
        <w:rPr>
          <w:rFonts w:ascii="Arial" w:cs="Arial" w:eastAsia="Arial" w:hAnsi="Arial"/>
          <w:sz w:val="23"/>
          <w:szCs w:val="23"/>
          <w:color w:val="auto"/>
          <w:vertAlign w:val="superscript"/>
        </w:rPr>
        <w:t>®</w:t>
      </w:r>
      <w:r>
        <w:rPr>
          <w:rFonts w:ascii="Arial" w:cs="Arial" w:eastAsia="Arial" w:hAnsi="Arial"/>
          <w:sz w:val="18"/>
          <w:szCs w:val="18"/>
          <w:color w:val="auto"/>
        </w:rPr>
        <w:t>. We also estimate that U.S. revenue for Taltz</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the second quarter of 2020 was negatively impacted by approximately $20 million to $25 million.</w:t>
      </w:r>
    </w:p>
    <w:p>
      <w:pPr>
        <w:spacing w:after="0" w:line="110"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In the U.S. for the three months ended June 30, 2021, the increase in volume was primarily driven by Trulicity, Taltz, COVID-19 antibodies, Verzenio, and Jardiance. In The U.S. for the six months ended June 30, 2021, the increase in volume was primarily driven by COVID-19 antibodies, Trulicity, and Taltz. U.S. price performance was not a major driver during the three and six months ended June 30, 2021, as increased utilization in more highly-rebated government segments was offset by lower utilization in the 340B segment, primarily for the diabetes portfolio.</w:t>
      </w:r>
    </w:p>
    <w:p>
      <w:pPr>
        <w:spacing w:after="0" w:line="97" w:lineRule="exact"/>
        <w:rPr>
          <w:sz w:val="20"/>
          <w:szCs w:val="20"/>
          <w:color w:val="auto"/>
        </w:rPr>
      </w:pPr>
    </w:p>
    <w:p>
      <w:pPr>
        <w:ind w:right="400"/>
        <w:spacing w:after="0" w:line="281" w:lineRule="auto"/>
        <w:rPr>
          <w:sz w:val="20"/>
          <w:szCs w:val="20"/>
          <w:color w:val="auto"/>
        </w:rPr>
      </w:pPr>
      <w:r>
        <w:rPr>
          <w:rFonts w:ascii="Arial" w:cs="Arial" w:eastAsia="Arial" w:hAnsi="Arial"/>
          <w:sz w:val="18"/>
          <w:szCs w:val="18"/>
          <w:color w:val="auto"/>
        </w:rPr>
        <w:t>Outside the U.S. for the three and six months ended June 30, 2021, the increase in volume was primarily driven by increased volume for COVID-19 antibodies, Trulicity, Olumiant, Verzenio, and Taltz, as well as the sale of our rights to Cialis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China.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The following table summarizes our revenue activity by product for the three months ended June 30, 2021 and 2020:</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20" w:type="dxa"/>
            <w:vAlign w:val="bottom"/>
          </w:tcPr>
          <w:p>
            <w:pPr>
              <w:spacing w:after="0"/>
              <w:rPr>
                <w:sz w:val="16"/>
                <w:szCs w:val="16"/>
                <w:color w:val="auto"/>
              </w:rPr>
            </w:pPr>
          </w:p>
        </w:tc>
      </w:tr>
      <w:tr>
        <w:trPr>
          <w:trHeight w:val="196"/>
        </w:trPr>
        <w:tc>
          <w:tcPr>
            <w:tcW w:w="4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1420" w:type="dxa"/>
            <w:vAlign w:val="bottom"/>
          </w:tcPr>
          <w:p>
            <w:pPr>
              <w:spacing w:after="0"/>
              <w:rPr>
                <w:sz w:val="17"/>
                <w:szCs w:val="17"/>
                <w:color w:val="auto"/>
              </w:rPr>
            </w:pPr>
          </w:p>
        </w:tc>
      </w:tr>
      <w:tr>
        <w:trPr>
          <w:trHeight w:val="358"/>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Product</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U.S.</w:t>
            </w: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Outside U.S.</w:t>
            </w: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1420" w:type="dxa"/>
            <w:vAlign w:val="bottom"/>
            <w:tcBorders>
              <w:bottom w:val="single" w:sz="8" w:color="auto"/>
            </w:tcBorders>
          </w:tcPr>
          <w:p>
            <w:pPr>
              <w:jc w:val="center"/>
              <w:ind w:left="31"/>
              <w:spacing w:after="0"/>
              <w:rPr>
                <w:sz w:val="20"/>
                <w:szCs w:val="20"/>
                <w:color w:val="auto"/>
              </w:rPr>
            </w:pPr>
            <w:r>
              <w:rPr>
                <w:rFonts w:ascii="Arial" w:cs="Arial" w:eastAsia="Arial" w:hAnsi="Arial"/>
                <w:sz w:val="14"/>
                <w:szCs w:val="14"/>
                <w:b w:val="1"/>
                <w:bCs w:val="1"/>
                <w:color w:val="auto"/>
              </w:rPr>
              <w:t>Percent Change</w:t>
            </w:r>
          </w:p>
        </w:tc>
      </w:tr>
      <w:tr>
        <w:trPr>
          <w:trHeight w:val="223"/>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Trulicity</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1,147.6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388.0</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1,535.6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1,229.8</w:t>
            </w:r>
          </w:p>
        </w:tc>
        <w:tc>
          <w:tcPr>
            <w:tcW w:w="142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99"/>
              </w:rPr>
              <w:t>25</w:t>
            </w:r>
          </w:p>
        </w:tc>
      </w:tr>
      <w:tr>
        <w:trPr>
          <w:trHeight w:val="229"/>
        </w:trPr>
        <w:tc>
          <w:tcPr>
            <w:tcW w:w="4160" w:type="dxa"/>
            <w:vAlign w:val="bottom"/>
          </w:tcPr>
          <w:p>
            <w:pPr>
              <w:ind w:left="20"/>
              <w:spacing w:after="0"/>
              <w:rPr>
                <w:sz w:val="20"/>
                <w:szCs w:val="20"/>
                <w:color w:val="auto"/>
              </w:rPr>
            </w:pPr>
            <w:r>
              <w:rPr>
                <w:rFonts w:ascii="Arial" w:cs="Arial" w:eastAsia="Arial" w:hAnsi="Arial"/>
                <w:sz w:val="18"/>
                <w:szCs w:val="18"/>
                <w:color w:val="auto"/>
              </w:rPr>
              <w:t>Alimta</w:t>
            </w:r>
          </w:p>
        </w:tc>
        <w:tc>
          <w:tcPr>
            <w:tcW w:w="32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b w:val="1"/>
                <w:bCs w:val="1"/>
                <w:color w:val="auto"/>
              </w:rPr>
              <w:t>353.5</w:t>
            </w:r>
          </w:p>
        </w:tc>
        <w:tc>
          <w:tcPr>
            <w:tcW w:w="24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b w:val="1"/>
                <w:bCs w:val="1"/>
                <w:color w:val="auto"/>
              </w:rPr>
              <w:t>257.1</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610.6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539.1</w:t>
            </w:r>
          </w:p>
        </w:tc>
        <w:tc>
          <w:tcPr>
            <w:tcW w:w="1420" w:type="dxa"/>
            <w:vAlign w:val="bottom"/>
          </w:tcPr>
          <w:p>
            <w:pPr>
              <w:jc w:val="center"/>
              <w:ind w:left="51"/>
              <w:spacing w:after="0"/>
              <w:rPr>
                <w:sz w:val="20"/>
                <w:szCs w:val="20"/>
                <w:color w:val="auto"/>
              </w:rPr>
            </w:pPr>
            <w:r>
              <w:rPr>
                <w:rFonts w:ascii="Arial" w:cs="Arial" w:eastAsia="Arial" w:hAnsi="Arial"/>
                <w:sz w:val="18"/>
                <w:szCs w:val="18"/>
                <w:color w:val="auto"/>
                <w:w w:val="99"/>
              </w:rPr>
              <w:t>13</w:t>
            </w:r>
          </w:p>
        </w:tc>
      </w:tr>
      <w:tr>
        <w:trPr>
          <w:trHeight w:val="23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Humalog </w:t>
            </w:r>
            <w:r>
              <w:rPr>
                <w:rFonts w:ascii="Arial" w:cs="Arial" w:eastAsia="Arial" w:hAnsi="Arial"/>
                <w:sz w:val="9"/>
                <w:szCs w:val="9"/>
                <w:b w:val="1"/>
                <w:bCs w:val="1"/>
                <w:color w:val="auto"/>
              </w:rPr>
              <w:t>(1)</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329.1</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278.6</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555.1</w:t>
            </w:r>
          </w:p>
        </w:tc>
        <w:tc>
          <w:tcPr>
            <w:tcW w:w="142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9</w:t>
            </w:r>
          </w:p>
        </w:tc>
      </w:tr>
      <w:tr>
        <w:trPr>
          <w:trHeight w:val="229"/>
        </w:trPr>
        <w:tc>
          <w:tcPr>
            <w:tcW w:w="4160" w:type="dxa"/>
            <w:vAlign w:val="bottom"/>
          </w:tcPr>
          <w:p>
            <w:pPr>
              <w:ind w:left="20"/>
              <w:spacing w:after="0"/>
              <w:rPr>
                <w:sz w:val="20"/>
                <w:szCs w:val="20"/>
                <w:color w:val="auto"/>
              </w:rPr>
            </w:pPr>
            <w:r>
              <w:rPr>
                <w:rFonts w:ascii="Arial" w:cs="Arial" w:eastAsia="Arial" w:hAnsi="Arial"/>
                <w:sz w:val="18"/>
                <w:szCs w:val="18"/>
                <w:color w:val="auto"/>
              </w:rPr>
              <w:t>Taltz</w:t>
            </w:r>
          </w:p>
        </w:tc>
        <w:tc>
          <w:tcPr>
            <w:tcW w:w="32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b w:val="1"/>
                <w:bCs w:val="1"/>
                <w:color w:val="auto"/>
              </w:rPr>
              <w:t>399.8</w:t>
            </w:r>
          </w:p>
        </w:tc>
        <w:tc>
          <w:tcPr>
            <w:tcW w:w="24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b w:val="1"/>
                <w:bCs w:val="1"/>
                <w:color w:val="auto"/>
              </w:rPr>
              <w:t>169.3</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569.1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395.2</w:t>
            </w:r>
          </w:p>
        </w:tc>
        <w:tc>
          <w:tcPr>
            <w:tcW w:w="1420" w:type="dxa"/>
            <w:vAlign w:val="bottom"/>
          </w:tcPr>
          <w:p>
            <w:pPr>
              <w:jc w:val="center"/>
              <w:ind w:left="51"/>
              <w:spacing w:after="0"/>
              <w:rPr>
                <w:sz w:val="20"/>
                <w:szCs w:val="20"/>
                <w:color w:val="auto"/>
              </w:rPr>
            </w:pPr>
            <w:r>
              <w:rPr>
                <w:rFonts w:ascii="Arial" w:cs="Arial" w:eastAsia="Arial" w:hAnsi="Arial"/>
                <w:sz w:val="18"/>
                <w:szCs w:val="18"/>
                <w:color w:val="auto"/>
                <w:w w:val="99"/>
              </w:rPr>
              <w:t>44</w:t>
            </w:r>
          </w:p>
        </w:tc>
      </w:tr>
      <w:tr>
        <w:trPr>
          <w:trHeight w:val="229"/>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Jardiance </w:t>
            </w:r>
            <w:r>
              <w:rPr>
                <w:rFonts w:ascii="Arial" w:cs="Arial" w:eastAsia="Arial" w:hAnsi="Arial"/>
                <w:sz w:val="9"/>
                <w:szCs w:val="9"/>
                <w:b w:val="1"/>
                <w:bCs w:val="1"/>
                <w:color w:val="auto"/>
              </w:rPr>
              <w:t>(2)</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194.4</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162.1</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262.0</w:t>
            </w:r>
          </w:p>
        </w:tc>
        <w:tc>
          <w:tcPr>
            <w:tcW w:w="142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99"/>
              </w:rPr>
              <w:t>36</w:t>
            </w: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Verzenio</w:t>
            </w:r>
          </w:p>
        </w:tc>
        <w:tc>
          <w:tcPr>
            <w:tcW w:w="32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b w:val="1"/>
                <w:bCs w:val="1"/>
                <w:color w:val="auto"/>
              </w:rPr>
              <w:t>209.7</w:t>
            </w:r>
          </w:p>
        </w:tc>
        <w:tc>
          <w:tcPr>
            <w:tcW w:w="24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b w:val="1"/>
                <w:bCs w:val="1"/>
                <w:color w:val="auto"/>
              </w:rPr>
              <w:t>131.6</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341.3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208.6</w:t>
            </w:r>
          </w:p>
        </w:tc>
        <w:tc>
          <w:tcPr>
            <w:tcW w:w="1420" w:type="dxa"/>
            <w:vAlign w:val="bottom"/>
          </w:tcPr>
          <w:p>
            <w:pPr>
              <w:jc w:val="center"/>
              <w:ind w:left="51"/>
              <w:spacing w:after="0"/>
              <w:rPr>
                <w:sz w:val="20"/>
                <w:szCs w:val="20"/>
                <w:color w:val="auto"/>
              </w:rPr>
            </w:pPr>
            <w:r>
              <w:rPr>
                <w:rFonts w:ascii="Arial" w:cs="Arial" w:eastAsia="Arial" w:hAnsi="Arial"/>
                <w:sz w:val="18"/>
                <w:szCs w:val="18"/>
                <w:color w:val="auto"/>
                <w:w w:val="99"/>
              </w:rPr>
              <w:t>64</w:t>
            </w:r>
          </w:p>
        </w:tc>
      </w:tr>
      <w:tr>
        <w:trPr>
          <w:trHeight w:val="229"/>
        </w:trPr>
        <w:tc>
          <w:tcPr>
            <w:tcW w:w="41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Humulin</w:t>
            </w:r>
            <w:r>
              <w:rPr>
                <w:rFonts w:ascii="Arial" w:cs="Arial" w:eastAsia="Arial" w:hAnsi="Arial"/>
                <w:sz w:val="23"/>
                <w:szCs w:val="23"/>
                <w:color w:val="auto"/>
                <w:vertAlign w:val="superscript"/>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221.1</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94.3</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313.6</w:t>
            </w:r>
          </w:p>
        </w:tc>
        <w:tc>
          <w:tcPr>
            <w:tcW w:w="142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1</w:t>
            </w: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Cialis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(5.2)</w:t>
            </w:r>
          </w:p>
        </w:tc>
        <w:tc>
          <w:tcPr>
            <w:tcW w:w="24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b w:val="1"/>
                <w:bCs w:val="1"/>
                <w:color w:val="auto"/>
              </w:rPr>
              <w:t>286.3</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281.0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130.7</w:t>
            </w:r>
          </w:p>
        </w:tc>
        <w:tc>
          <w:tcPr>
            <w:tcW w:w="1420" w:type="dxa"/>
            <w:vAlign w:val="bottom"/>
          </w:tcPr>
          <w:p>
            <w:pPr>
              <w:jc w:val="center"/>
              <w:ind w:left="51"/>
              <w:spacing w:after="0"/>
              <w:rPr>
                <w:sz w:val="20"/>
                <w:szCs w:val="20"/>
                <w:color w:val="auto"/>
              </w:rPr>
            </w:pPr>
            <w:r>
              <w:rPr>
                <w:rFonts w:ascii="Arial" w:cs="Arial" w:eastAsia="Arial" w:hAnsi="Arial"/>
                <w:sz w:val="18"/>
                <w:szCs w:val="18"/>
                <w:color w:val="auto"/>
                <w:w w:val="99"/>
              </w:rPr>
              <w:t>NM</w:t>
            </w:r>
          </w:p>
        </w:tc>
      </w:tr>
      <w:tr>
        <w:trPr>
          <w:trHeight w:val="229"/>
        </w:trPr>
        <w:tc>
          <w:tcPr>
            <w:tcW w:w="41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Cyramza</w:t>
            </w:r>
            <w:r>
              <w:rPr>
                <w:rFonts w:ascii="Arial" w:cs="Arial" w:eastAsia="Arial" w:hAnsi="Arial"/>
                <w:sz w:val="23"/>
                <w:szCs w:val="23"/>
                <w:color w:val="auto"/>
                <w:vertAlign w:val="superscript"/>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101.4</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167.3</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256.7</w:t>
            </w:r>
          </w:p>
        </w:tc>
        <w:tc>
          <w:tcPr>
            <w:tcW w:w="142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5</w:t>
            </w:r>
          </w:p>
        </w:tc>
      </w:tr>
      <w:tr>
        <w:trPr>
          <w:trHeight w:val="229"/>
        </w:trPr>
        <w:tc>
          <w:tcPr>
            <w:tcW w:w="4160" w:type="dxa"/>
            <w:vAlign w:val="bottom"/>
          </w:tcPr>
          <w:p>
            <w:pPr>
              <w:ind w:left="20"/>
              <w:spacing w:after="0"/>
              <w:rPr>
                <w:sz w:val="20"/>
                <w:szCs w:val="20"/>
                <w:color w:val="auto"/>
              </w:rPr>
            </w:pPr>
            <w:r>
              <w:rPr>
                <w:rFonts w:ascii="Arial" w:cs="Arial" w:eastAsia="Arial" w:hAnsi="Arial"/>
                <w:sz w:val="18"/>
                <w:szCs w:val="18"/>
                <w:color w:val="auto"/>
              </w:rPr>
              <w:t>Forteo</w:t>
            </w:r>
          </w:p>
        </w:tc>
        <w:tc>
          <w:tcPr>
            <w:tcW w:w="32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b w:val="1"/>
                <w:bCs w:val="1"/>
                <w:color w:val="auto"/>
              </w:rPr>
              <w:t>122.8</w:t>
            </w:r>
          </w:p>
        </w:tc>
        <w:tc>
          <w:tcPr>
            <w:tcW w:w="24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b w:val="1"/>
                <w:bCs w:val="1"/>
                <w:color w:val="auto"/>
              </w:rPr>
              <w:t>95.6</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218.4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252.7</w:t>
            </w:r>
          </w:p>
        </w:tc>
        <w:tc>
          <w:tcPr>
            <w:tcW w:w="1420" w:type="dxa"/>
            <w:vAlign w:val="bottom"/>
          </w:tcPr>
          <w:p>
            <w:pPr>
              <w:jc w:val="center"/>
              <w:ind w:left="51"/>
              <w:spacing w:after="0"/>
              <w:rPr>
                <w:sz w:val="20"/>
                <w:szCs w:val="20"/>
                <w:color w:val="auto"/>
              </w:rPr>
            </w:pPr>
            <w:r>
              <w:rPr>
                <w:rFonts w:ascii="Arial" w:cs="Arial" w:eastAsia="Arial" w:hAnsi="Arial"/>
                <w:sz w:val="18"/>
                <w:szCs w:val="18"/>
                <w:color w:val="auto"/>
                <w:w w:val="99"/>
              </w:rPr>
              <w:t>(14)</w:t>
            </w:r>
          </w:p>
        </w:tc>
      </w:tr>
      <w:tr>
        <w:trPr>
          <w:trHeight w:val="230"/>
        </w:trPr>
        <w:tc>
          <w:tcPr>
            <w:tcW w:w="41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Basaglar</w:t>
            </w:r>
            <w:r>
              <w:rPr>
                <w:rFonts w:ascii="Arial" w:cs="Arial" w:eastAsia="Arial" w:hAnsi="Arial"/>
                <w:sz w:val="23"/>
                <w:szCs w:val="23"/>
                <w:color w:val="auto"/>
                <w:vertAlign w:val="superscript"/>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133.4</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77.3</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290.4</w:t>
            </w:r>
          </w:p>
        </w:tc>
        <w:tc>
          <w:tcPr>
            <w:tcW w:w="142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99"/>
              </w:rPr>
              <w:t>(27)</w:t>
            </w:r>
          </w:p>
        </w:tc>
      </w:tr>
      <w:tr>
        <w:trPr>
          <w:trHeight w:val="229"/>
        </w:trPr>
        <w:tc>
          <w:tcPr>
            <w:tcW w:w="4160" w:type="dxa"/>
            <w:vAlign w:val="bottom"/>
          </w:tcPr>
          <w:p>
            <w:pPr>
              <w:ind w:left="20"/>
              <w:spacing w:after="0"/>
              <w:rPr>
                <w:sz w:val="20"/>
                <w:szCs w:val="20"/>
                <w:color w:val="auto"/>
              </w:rPr>
            </w:pPr>
            <w:r>
              <w:rPr>
                <w:rFonts w:ascii="Arial" w:cs="Arial" w:eastAsia="Arial" w:hAnsi="Arial"/>
                <w:sz w:val="18"/>
                <w:szCs w:val="18"/>
                <w:color w:val="auto"/>
              </w:rPr>
              <w:t>Olumiant</w:t>
            </w:r>
          </w:p>
        </w:tc>
        <w:tc>
          <w:tcPr>
            <w:tcW w:w="32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b w:val="1"/>
                <w:bCs w:val="1"/>
                <w:color w:val="auto"/>
              </w:rPr>
              <w:t>17.8</w:t>
            </w:r>
          </w:p>
        </w:tc>
        <w:tc>
          <w:tcPr>
            <w:tcW w:w="24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b w:val="1"/>
                <w:bCs w:val="1"/>
                <w:color w:val="auto"/>
              </w:rPr>
              <w:t>190.6</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145.0</w:t>
            </w:r>
          </w:p>
        </w:tc>
        <w:tc>
          <w:tcPr>
            <w:tcW w:w="1420" w:type="dxa"/>
            <w:vAlign w:val="bottom"/>
          </w:tcPr>
          <w:p>
            <w:pPr>
              <w:jc w:val="center"/>
              <w:ind w:left="51"/>
              <w:spacing w:after="0"/>
              <w:rPr>
                <w:sz w:val="20"/>
                <w:szCs w:val="20"/>
                <w:color w:val="auto"/>
              </w:rPr>
            </w:pPr>
            <w:r>
              <w:rPr>
                <w:rFonts w:ascii="Arial" w:cs="Arial" w:eastAsia="Arial" w:hAnsi="Arial"/>
                <w:sz w:val="18"/>
                <w:szCs w:val="18"/>
                <w:color w:val="auto"/>
                <w:w w:val="99"/>
              </w:rPr>
              <w:t>44</w:t>
            </w:r>
          </w:p>
        </w:tc>
      </w:tr>
      <w:tr>
        <w:trPr>
          <w:trHeight w:val="229"/>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Cymbalta</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12.4</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163.3</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142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(2)</w:t>
            </w:r>
          </w:p>
        </w:tc>
      </w:tr>
      <w:tr>
        <w:trPr>
          <w:trHeight w:val="230"/>
        </w:trPr>
        <w:tc>
          <w:tcPr>
            <w:tcW w:w="4160" w:type="dxa"/>
            <w:vAlign w:val="bottom"/>
          </w:tcPr>
          <w:p>
            <w:pPr>
              <w:ind w:left="20"/>
              <w:spacing w:after="0" w:line="230" w:lineRule="exact"/>
              <w:rPr>
                <w:sz w:val="20"/>
                <w:szCs w:val="20"/>
                <w:color w:val="auto"/>
              </w:rPr>
            </w:pPr>
            <w:r>
              <w:rPr>
                <w:rFonts w:ascii="Arial" w:cs="Arial" w:eastAsia="Arial" w:hAnsi="Arial"/>
                <w:sz w:val="18"/>
                <w:szCs w:val="18"/>
                <w:color w:val="auto"/>
              </w:rPr>
              <w:t>Emgality</w:t>
            </w:r>
            <w:r>
              <w:rPr>
                <w:rFonts w:ascii="Arial" w:cs="Arial" w:eastAsia="Arial" w:hAnsi="Arial"/>
                <w:sz w:val="23"/>
                <w:szCs w:val="23"/>
                <w:color w:val="auto"/>
                <w:vertAlign w:val="superscript"/>
              </w:rPr>
              <w:t>®</w:t>
            </w:r>
          </w:p>
        </w:tc>
        <w:tc>
          <w:tcPr>
            <w:tcW w:w="32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b w:val="1"/>
                <w:bCs w:val="1"/>
                <w:color w:val="auto"/>
              </w:rPr>
              <w:t>112.1</w:t>
            </w:r>
          </w:p>
        </w:tc>
        <w:tc>
          <w:tcPr>
            <w:tcW w:w="24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b w:val="1"/>
                <w:bCs w:val="1"/>
                <w:color w:val="auto"/>
              </w:rPr>
              <w:t>44.2</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156.3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87.4</w:t>
            </w:r>
          </w:p>
        </w:tc>
        <w:tc>
          <w:tcPr>
            <w:tcW w:w="1420" w:type="dxa"/>
            <w:vAlign w:val="bottom"/>
          </w:tcPr>
          <w:p>
            <w:pPr>
              <w:jc w:val="center"/>
              <w:ind w:left="51"/>
              <w:spacing w:after="0"/>
              <w:rPr>
                <w:sz w:val="20"/>
                <w:szCs w:val="20"/>
                <w:color w:val="auto"/>
              </w:rPr>
            </w:pPr>
            <w:r>
              <w:rPr>
                <w:rFonts w:ascii="Arial" w:cs="Arial" w:eastAsia="Arial" w:hAnsi="Arial"/>
                <w:sz w:val="18"/>
                <w:szCs w:val="18"/>
                <w:color w:val="auto"/>
                <w:w w:val="99"/>
              </w:rPr>
              <w:t>79</w:t>
            </w:r>
          </w:p>
        </w:tc>
      </w:tr>
      <w:tr>
        <w:trPr>
          <w:trHeight w:val="229"/>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COVID-19 antibodies </w:t>
            </w:r>
            <w:r>
              <w:rPr>
                <w:rFonts w:ascii="Arial" w:cs="Arial" w:eastAsia="Arial" w:hAnsi="Arial"/>
                <w:sz w:val="9"/>
                <w:szCs w:val="9"/>
                <w:b w:val="1"/>
                <w:bCs w:val="1"/>
                <w:color w:val="auto"/>
              </w:rPr>
              <w:t>(3)</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83.4</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65.7</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99"/>
              </w:rPr>
              <w:t>NM</w:t>
            </w:r>
          </w:p>
        </w:tc>
      </w:tr>
      <w:tr>
        <w:trPr>
          <w:trHeight w:val="230"/>
        </w:trPr>
        <w:tc>
          <w:tcPr>
            <w:tcW w:w="4160" w:type="dxa"/>
            <w:vAlign w:val="bottom"/>
          </w:tcPr>
          <w:p>
            <w:pPr>
              <w:ind w:left="20"/>
              <w:spacing w:after="0" w:line="230" w:lineRule="exact"/>
              <w:rPr>
                <w:sz w:val="20"/>
                <w:szCs w:val="20"/>
                <w:color w:val="auto"/>
              </w:rPr>
            </w:pPr>
            <w:r>
              <w:rPr>
                <w:rFonts w:ascii="Arial" w:cs="Arial" w:eastAsia="Arial" w:hAnsi="Arial"/>
                <w:sz w:val="18"/>
                <w:szCs w:val="18"/>
                <w:color w:val="auto"/>
              </w:rPr>
              <w:t>Erbitux</w:t>
            </w:r>
            <w:r>
              <w:rPr>
                <w:rFonts w:ascii="Arial" w:cs="Arial" w:eastAsia="Arial" w:hAnsi="Arial"/>
                <w:sz w:val="23"/>
                <w:szCs w:val="23"/>
                <w:color w:val="auto"/>
                <w:vertAlign w:val="superscript"/>
              </w:rPr>
              <w:t>®</w:t>
            </w:r>
          </w:p>
        </w:tc>
        <w:tc>
          <w:tcPr>
            <w:tcW w:w="32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b w:val="1"/>
                <w:bCs w:val="1"/>
                <w:color w:val="auto"/>
              </w:rPr>
              <w:t>135.8</w:t>
            </w:r>
          </w:p>
        </w:tc>
        <w:tc>
          <w:tcPr>
            <w:tcW w:w="24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b w:val="1"/>
                <w:bCs w:val="1"/>
                <w:color w:val="auto"/>
              </w:rPr>
              <w:t>11.2</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147.0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129.5</w:t>
            </w:r>
          </w:p>
        </w:tc>
        <w:tc>
          <w:tcPr>
            <w:tcW w:w="1420" w:type="dxa"/>
            <w:vAlign w:val="bottom"/>
          </w:tcPr>
          <w:p>
            <w:pPr>
              <w:jc w:val="center"/>
              <w:ind w:left="51"/>
              <w:spacing w:after="0"/>
              <w:rPr>
                <w:sz w:val="20"/>
                <w:szCs w:val="20"/>
                <w:color w:val="auto"/>
              </w:rPr>
            </w:pPr>
            <w:r>
              <w:rPr>
                <w:rFonts w:ascii="Arial" w:cs="Arial" w:eastAsia="Arial" w:hAnsi="Arial"/>
                <w:sz w:val="18"/>
                <w:szCs w:val="18"/>
                <w:color w:val="auto"/>
                <w:w w:val="99"/>
              </w:rPr>
              <w:t>14</w:t>
            </w:r>
          </w:p>
        </w:tc>
      </w:tr>
      <w:tr>
        <w:trPr>
          <w:trHeight w:val="229"/>
        </w:trPr>
        <w:tc>
          <w:tcPr>
            <w:tcW w:w="41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Tyvyt</w:t>
            </w:r>
            <w:r>
              <w:rPr>
                <w:rFonts w:ascii="Arial" w:cs="Arial" w:eastAsia="Arial" w:hAnsi="Arial"/>
                <w:sz w:val="23"/>
                <w:szCs w:val="23"/>
                <w:color w:val="auto"/>
                <w:vertAlign w:val="superscript"/>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105.0</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42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99"/>
              </w:rPr>
              <w:t>64</w:t>
            </w:r>
          </w:p>
        </w:tc>
      </w:tr>
      <w:tr>
        <w:trPr>
          <w:trHeight w:val="229"/>
        </w:trPr>
        <w:tc>
          <w:tcPr>
            <w:tcW w:w="4160" w:type="dxa"/>
            <w:vAlign w:val="bottom"/>
          </w:tcPr>
          <w:p>
            <w:pPr>
              <w:ind w:left="20"/>
              <w:spacing w:after="0" w:line="230" w:lineRule="exact"/>
              <w:rPr>
                <w:sz w:val="20"/>
                <w:szCs w:val="20"/>
                <w:color w:val="auto"/>
              </w:rPr>
            </w:pPr>
            <w:r>
              <w:rPr>
                <w:rFonts w:ascii="Arial" w:cs="Arial" w:eastAsia="Arial" w:hAnsi="Arial"/>
                <w:sz w:val="18"/>
                <w:szCs w:val="18"/>
                <w:color w:val="auto"/>
              </w:rPr>
              <w:t>Zyprexa</w:t>
            </w:r>
            <w:r>
              <w:rPr>
                <w:rFonts w:ascii="Arial" w:cs="Arial" w:eastAsia="Arial" w:hAnsi="Arial"/>
                <w:sz w:val="23"/>
                <w:szCs w:val="23"/>
                <w:color w:val="auto"/>
                <w:vertAlign w:val="superscript"/>
              </w:rPr>
              <w:t>®</w:t>
            </w:r>
          </w:p>
        </w:tc>
        <w:tc>
          <w:tcPr>
            <w:tcW w:w="32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b w:val="1"/>
                <w:bCs w:val="1"/>
                <w:color w:val="auto"/>
              </w:rPr>
              <w:t>8.4</w:t>
            </w:r>
          </w:p>
        </w:tc>
        <w:tc>
          <w:tcPr>
            <w:tcW w:w="24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b w:val="1"/>
                <w:bCs w:val="1"/>
                <w:color w:val="auto"/>
              </w:rPr>
              <w:t>86.9</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95.4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96.6</w:t>
            </w:r>
          </w:p>
        </w:tc>
        <w:tc>
          <w:tcPr>
            <w:tcW w:w="1420" w:type="dxa"/>
            <w:vAlign w:val="bottom"/>
          </w:tcPr>
          <w:p>
            <w:pPr>
              <w:jc w:val="center"/>
              <w:ind w:left="31"/>
              <w:spacing w:after="0"/>
              <w:rPr>
                <w:sz w:val="20"/>
                <w:szCs w:val="20"/>
                <w:color w:val="auto"/>
              </w:rPr>
            </w:pPr>
            <w:r>
              <w:rPr>
                <w:rFonts w:ascii="Arial" w:cs="Arial" w:eastAsia="Arial" w:hAnsi="Arial"/>
                <w:sz w:val="18"/>
                <w:szCs w:val="18"/>
                <w:color w:val="auto"/>
                <w:w w:val="99"/>
              </w:rPr>
              <w:t>(1)</w:t>
            </w:r>
          </w:p>
        </w:tc>
      </w:tr>
      <w:tr>
        <w:trPr>
          <w:trHeight w:val="23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products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126.8</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261.7</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388.7</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363.0</w:t>
            </w:r>
          </w:p>
        </w:tc>
        <w:tc>
          <w:tcPr>
            <w:tcW w:w="142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7</w:t>
            </w: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3,704.2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3,035.9</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6,740.1</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5,499.4</w:t>
            </w:r>
          </w:p>
        </w:tc>
        <w:tc>
          <w:tcPr>
            <w:tcW w:w="1420" w:type="dxa"/>
            <w:vAlign w:val="bottom"/>
          </w:tcPr>
          <w:p>
            <w:pPr>
              <w:jc w:val="center"/>
              <w:ind w:left="51"/>
              <w:spacing w:after="0"/>
              <w:rPr>
                <w:sz w:val="20"/>
                <w:szCs w:val="20"/>
                <w:color w:val="auto"/>
              </w:rPr>
            </w:pPr>
            <w:r>
              <w:rPr>
                <w:rFonts w:ascii="Arial" w:cs="Arial" w:eastAsia="Arial" w:hAnsi="Arial"/>
                <w:sz w:val="18"/>
                <w:szCs w:val="18"/>
                <w:color w:val="auto"/>
                <w:w w:val="99"/>
              </w:rPr>
              <w:t>23</w:t>
            </w: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43" w:lineRule="exact"/>
        <w:rPr>
          <w:sz w:val="20"/>
          <w:szCs w:val="20"/>
          <w:color w:val="auto"/>
        </w:rPr>
      </w:pPr>
    </w:p>
    <w:p>
      <w:pPr>
        <w:ind w:left="140" w:hanging="132"/>
        <w:spacing w:after="0"/>
        <w:tabs>
          <w:tab w:leader="none" w:pos="140" w:val="left"/>
        </w:tabs>
        <w:numPr>
          <w:ilvl w:val="0"/>
          <w:numId w:val="25"/>
        </w:numPr>
        <w:rPr>
          <w:rFonts w:ascii="Arial" w:cs="Arial" w:eastAsia="Arial" w:hAnsi="Arial"/>
          <w:sz w:val="16"/>
          <w:szCs w:val="16"/>
          <w:color w:val="auto"/>
          <w:vertAlign w:val="superscript"/>
        </w:rPr>
      </w:pPr>
      <w:r>
        <w:rPr>
          <w:rFonts w:ascii="Arial" w:cs="Arial" w:eastAsia="Arial" w:hAnsi="Arial"/>
          <w:sz w:val="12"/>
          <w:szCs w:val="12"/>
          <w:color w:val="auto"/>
        </w:rPr>
        <w:t>Humalog revenue includes insulin lispro.</w:t>
      </w:r>
    </w:p>
    <w:p>
      <w:pPr>
        <w:spacing w:after="0" w:line="43"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25"/>
        </w:numPr>
        <w:rPr>
          <w:rFonts w:ascii="Arial" w:cs="Arial" w:eastAsia="Arial" w:hAnsi="Arial"/>
          <w:sz w:val="16"/>
          <w:szCs w:val="16"/>
          <w:color w:val="auto"/>
          <w:vertAlign w:val="superscript"/>
        </w:rPr>
      </w:pPr>
      <w:r>
        <w:rPr>
          <w:rFonts w:ascii="Arial" w:cs="Arial" w:eastAsia="Arial" w:hAnsi="Arial"/>
          <w:sz w:val="12"/>
          <w:szCs w:val="12"/>
          <w:color w:val="auto"/>
        </w:rPr>
        <w:t>Jardiance revenue includes Glyxambi</w:t>
      </w:r>
      <w:r>
        <w:rPr>
          <w:rFonts w:ascii="Arial" w:cs="Arial" w:eastAsia="Arial" w:hAnsi="Arial"/>
          <w:sz w:val="15"/>
          <w:szCs w:val="15"/>
          <w:color w:val="auto"/>
          <w:vertAlign w:val="superscript"/>
        </w:rPr>
        <w:t>®</w:t>
      </w:r>
      <w:r>
        <w:rPr>
          <w:rFonts w:ascii="Arial" w:cs="Arial" w:eastAsia="Arial" w:hAnsi="Arial"/>
          <w:sz w:val="12"/>
          <w:szCs w:val="12"/>
          <w:color w:val="auto"/>
        </w:rPr>
        <w:t>, Synjardy</w:t>
      </w:r>
      <w:r>
        <w:rPr>
          <w:rFonts w:ascii="Arial" w:cs="Arial" w:eastAsia="Arial" w:hAnsi="Arial"/>
          <w:sz w:val="15"/>
          <w:szCs w:val="15"/>
          <w:color w:val="auto"/>
          <w:vertAlign w:val="superscript"/>
        </w:rPr>
        <w:t>®</w:t>
      </w:r>
      <w:r>
        <w:rPr>
          <w:rFonts w:ascii="Arial" w:cs="Arial" w:eastAsia="Arial" w:hAnsi="Arial"/>
          <w:sz w:val="12"/>
          <w:szCs w:val="12"/>
          <w:color w:val="auto"/>
        </w:rPr>
        <w:t>, and Trijardy</w:t>
      </w:r>
      <w:r>
        <w:rPr>
          <w:rFonts w:ascii="Arial" w:cs="Arial" w:eastAsia="Arial" w:hAnsi="Arial"/>
          <w:sz w:val="15"/>
          <w:szCs w:val="15"/>
          <w:color w:val="auto"/>
          <w:vertAlign w:val="superscript"/>
        </w:rPr>
        <w:t>®</w:t>
      </w:r>
      <w:r>
        <w:rPr>
          <w:rFonts w:ascii="Arial" w:cs="Arial" w:eastAsia="Arial" w:hAnsi="Arial"/>
          <w:sz w:val="12"/>
          <w:szCs w:val="12"/>
          <w:color w:val="auto"/>
        </w:rPr>
        <w:t xml:space="preserve"> XR.</w:t>
      </w:r>
    </w:p>
    <w:p>
      <w:pPr>
        <w:spacing w:after="0" w:line="32" w:lineRule="exact"/>
        <w:rPr>
          <w:rFonts w:ascii="Arial" w:cs="Arial" w:eastAsia="Arial" w:hAnsi="Arial"/>
          <w:sz w:val="16"/>
          <w:szCs w:val="16"/>
          <w:color w:val="auto"/>
          <w:vertAlign w:val="superscript"/>
        </w:rPr>
      </w:pPr>
    </w:p>
    <w:p>
      <w:pPr>
        <w:ind w:firstLine="8"/>
        <w:spacing w:after="0"/>
        <w:tabs>
          <w:tab w:leader="none" w:pos="140" w:val="left"/>
        </w:tabs>
        <w:numPr>
          <w:ilvl w:val="0"/>
          <w:numId w:val="25"/>
        </w:numPr>
        <w:rPr>
          <w:rFonts w:ascii="Arial" w:cs="Arial" w:eastAsia="Arial" w:hAnsi="Arial"/>
          <w:sz w:val="16"/>
          <w:szCs w:val="16"/>
          <w:color w:val="auto"/>
          <w:vertAlign w:val="superscript"/>
        </w:rPr>
      </w:pPr>
      <w:r>
        <w:rPr>
          <w:rFonts w:ascii="Arial" w:cs="Arial" w:eastAsia="Arial" w:hAnsi="Arial"/>
          <w:sz w:val="12"/>
          <w:szCs w:val="12"/>
          <w:color w:val="auto"/>
        </w:rPr>
        <w:t>COVID-19 antibodies include sales for bamlanivimab administered alone as well as sales for bamlanivimab and etesevimab administered together and were made pursuant to EUAs.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The following table summarizes our revenue activity by product for the six months ended June 30, 2021 and 2020:</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Six Months Ended June 30,</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20" w:type="dxa"/>
            <w:vAlign w:val="bottom"/>
          </w:tcPr>
          <w:p>
            <w:pPr>
              <w:spacing w:after="0"/>
              <w:rPr>
                <w:sz w:val="16"/>
                <w:szCs w:val="16"/>
                <w:color w:val="auto"/>
              </w:rPr>
            </w:pPr>
          </w:p>
        </w:tc>
      </w:tr>
      <w:tr>
        <w:trPr>
          <w:trHeight w:val="196"/>
        </w:trPr>
        <w:tc>
          <w:tcPr>
            <w:tcW w:w="4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1420" w:type="dxa"/>
            <w:vAlign w:val="bottom"/>
          </w:tcPr>
          <w:p>
            <w:pPr>
              <w:spacing w:after="0"/>
              <w:rPr>
                <w:sz w:val="17"/>
                <w:szCs w:val="17"/>
                <w:color w:val="auto"/>
              </w:rPr>
            </w:pPr>
          </w:p>
        </w:tc>
      </w:tr>
      <w:tr>
        <w:trPr>
          <w:trHeight w:val="358"/>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Product</w:t>
            </w: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 xml:space="preserve">U.S. </w:t>
            </w:r>
            <w:r>
              <w:rPr>
                <w:rFonts w:ascii="Arial" w:cs="Arial" w:eastAsia="Arial" w:hAnsi="Arial"/>
                <w:sz w:val="18"/>
                <w:szCs w:val="18"/>
                <w:b w:val="1"/>
                <w:bCs w:val="1"/>
                <w:color w:val="auto"/>
                <w:vertAlign w:val="superscript"/>
              </w:rPr>
              <w:t>(1)</w:t>
            </w: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Outside U.S.</w:t>
            </w: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1420" w:type="dxa"/>
            <w:vAlign w:val="bottom"/>
            <w:tcBorders>
              <w:bottom w:val="single" w:sz="8" w:color="auto"/>
            </w:tcBorders>
          </w:tcPr>
          <w:p>
            <w:pPr>
              <w:jc w:val="center"/>
              <w:ind w:left="31"/>
              <w:spacing w:after="0"/>
              <w:rPr>
                <w:sz w:val="20"/>
                <w:szCs w:val="20"/>
                <w:color w:val="auto"/>
              </w:rPr>
            </w:pPr>
            <w:r>
              <w:rPr>
                <w:rFonts w:ascii="Arial" w:cs="Arial" w:eastAsia="Arial" w:hAnsi="Arial"/>
                <w:sz w:val="14"/>
                <w:szCs w:val="14"/>
                <w:b w:val="1"/>
                <w:bCs w:val="1"/>
                <w:color w:val="auto"/>
              </w:rPr>
              <w:t>Percent Change</w:t>
            </w:r>
          </w:p>
        </w:tc>
      </w:tr>
      <w:tr>
        <w:trPr>
          <w:trHeight w:val="223"/>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Trulicity</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2,264.3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723.7</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2,988.1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2,459.1</w:t>
            </w:r>
          </w:p>
        </w:tc>
        <w:tc>
          <w:tcPr>
            <w:tcW w:w="142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99"/>
              </w:rPr>
              <w:t>22</w:t>
            </w:r>
          </w:p>
        </w:tc>
      </w:tr>
      <w:tr>
        <w:trPr>
          <w:trHeight w:val="230"/>
        </w:trPr>
        <w:tc>
          <w:tcPr>
            <w:tcW w:w="4140" w:type="dxa"/>
            <w:vAlign w:val="bottom"/>
          </w:tcPr>
          <w:p>
            <w:pPr>
              <w:ind w:left="20"/>
              <w:spacing w:after="0"/>
              <w:rPr>
                <w:sz w:val="20"/>
                <w:szCs w:val="20"/>
                <w:color w:val="auto"/>
              </w:rPr>
            </w:pPr>
            <w:r>
              <w:rPr>
                <w:rFonts w:ascii="Arial" w:cs="Arial" w:eastAsia="Arial" w:hAnsi="Arial"/>
                <w:sz w:val="18"/>
                <w:szCs w:val="18"/>
                <w:color w:val="auto"/>
              </w:rPr>
              <w:t xml:space="preserve">Humalog </w:t>
            </w:r>
            <w:r>
              <w:rPr>
                <w:rFonts w:ascii="Arial" w:cs="Arial" w:eastAsia="Arial" w:hAnsi="Arial"/>
                <w:sz w:val="9"/>
                <w:szCs w:val="9"/>
                <w:b w:val="1"/>
                <w:bCs w:val="1"/>
                <w:color w:val="auto"/>
              </w:rPr>
              <w:t>(1)</w:t>
            </w:r>
          </w:p>
        </w:tc>
        <w:tc>
          <w:tcPr>
            <w:tcW w:w="28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b w:val="1"/>
                <w:bCs w:val="1"/>
                <w:color w:val="auto"/>
              </w:rPr>
              <w:t>661.7</w:t>
            </w:r>
          </w:p>
        </w:tc>
        <w:tc>
          <w:tcPr>
            <w:tcW w:w="26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b w:val="1"/>
                <w:bCs w:val="1"/>
                <w:color w:val="auto"/>
              </w:rPr>
              <w:t>562.9</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1,224.6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1,250.8</w:t>
            </w:r>
          </w:p>
        </w:tc>
        <w:tc>
          <w:tcPr>
            <w:tcW w:w="1420" w:type="dxa"/>
            <w:vAlign w:val="bottom"/>
          </w:tcPr>
          <w:p>
            <w:pPr>
              <w:jc w:val="center"/>
              <w:ind w:left="31"/>
              <w:spacing w:after="0"/>
              <w:rPr>
                <w:sz w:val="20"/>
                <w:szCs w:val="20"/>
                <w:color w:val="auto"/>
              </w:rPr>
            </w:pPr>
            <w:r>
              <w:rPr>
                <w:rFonts w:ascii="Arial" w:cs="Arial" w:eastAsia="Arial" w:hAnsi="Arial"/>
                <w:sz w:val="18"/>
                <w:szCs w:val="18"/>
                <w:color w:val="auto"/>
                <w:w w:val="99"/>
              </w:rPr>
              <w:t>(2)</w:t>
            </w:r>
          </w:p>
        </w:tc>
      </w:tr>
      <w:tr>
        <w:trPr>
          <w:trHeight w:val="229"/>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Alimta</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614.6</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554.9</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1,169.6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1,099.2</w:t>
            </w:r>
          </w:p>
        </w:tc>
        <w:tc>
          <w:tcPr>
            <w:tcW w:w="142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6</w:t>
            </w:r>
          </w:p>
        </w:tc>
      </w:tr>
      <w:tr>
        <w:trPr>
          <w:trHeight w:val="229"/>
        </w:trPr>
        <w:tc>
          <w:tcPr>
            <w:tcW w:w="4140" w:type="dxa"/>
            <w:vAlign w:val="bottom"/>
          </w:tcPr>
          <w:p>
            <w:pPr>
              <w:ind w:left="20"/>
              <w:spacing w:after="0"/>
              <w:rPr>
                <w:sz w:val="20"/>
                <w:szCs w:val="20"/>
                <w:color w:val="auto"/>
              </w:rPr>
            </w:pPr>
            <w:r>
              <w:rPr>
                <w:rFonts w:ascii="Arial" w:cs="Arial" w:eastAsia="Arial" w:hAnsi="Arial"/>
                <w:sz w:val="18"/>
                <w:szCs w:val="18"/>
                <w:color w:val="auto"/>
              </w:rPr>
              <w:t>Taltz</w:t>
            </w:r>
          </w:p>
        </w:tc>
        <w:tc>
          <w:tcPr>
            <w:tcW w:w="28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b w:val="1"/>
                <w:bCs w:val="1"/>
                <w:color w:val="auto"/>
              </w:rPr>
              <w:t>649.4</w:t>
            </w:r>
          </w:p>
        </w:tc>
        <w:tc>
          <w:tcPr>
            <w:tcW w:w="26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b w:val="1"/>
                <w:bCs w:val="1"/>
                <w:color w:val="auto"/>
              </w:rPr>
              <w:t>322.9</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972.4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838.7</w:t>
            </w:r>
          </w:p>
        </w:tc>
        <w:tc>
          <w:tcPr>
            <w:tcW w:w="1420" w:type="dxa"/>
            <w:vAlign w:val="bottom"/>
          </w:tcPr>
          <w:p>
            <w:pPr>
              <w:jc w:val="center"/>
              <w:ind w:left="51"/>
              <w:spacing w:after="0"/>
              <w:rPr>
                <w:sz w:val="20"/>
                <w:szCs w:val="20"/>
                <w:color w:val="auto"/>
              </w:rPr>
            </w:pPr>
            <w:r>
              <w:rPr>
                <w:rFonts w:ascii="Arial" w:cs="Arial" w:eastAsia="Arial" w:hAnsi="Arial"/>
                <w:sz w:val="18"/>
                <w:szCs w:val="18"/>
                <w:color w:val="auto"/>
                <w:w w:val="99"/>
              </w:rPr>
              <w:t>16</w:t>
            </w:r>
          </w:p>
        </w:tc>
      </w:tr>
      <w:tr>
        <w:trPr>
          <w:trHeight w:val="230"/>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COVID-19 antibodies </w:t>
            </w:r>
            <w:r>
              <w:rPr>
                <w:rFonts w:ascii="Arial" w:cs="Arial" w:eastAsia="Arial" w:hAnsi="Arial"/>
                <w:sz w:val="9"/>
                <w:szCs w:val="9"/>
                <w:b w:val="1"/>
                <w:bCs w:val="1"/>
                <w:color w:val="auto"/>
              </w:rPr>
              <w:t>(2)</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734.0</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225.1</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99"/>
              </w:rPr>
              <w:t>NM</w:t>
            </w:r>
          </w:p>
        </w:tc>
      </w:tr>
      <w:tr>
        <w:trPr>
          <w:trHeight w:val="229"/>
        </w:trPr>
        <w:tc>
          <w:tcPr>
            <w:tcW w:w="4140" w:type="dxa"/>
            <w:vAlign w:val="bottom"/>
          </w:tcPr>
          <w:p>
            <w:pPr>
              <w:ind w:left="20"/>
              <w:spacing w:after="0"/>
              <w:rPr>
                <w:sz w:val="20"/>
                <w:szCs w:val="20"/>
                <w:color w:val="auto"/>
              </w:rPr>
            </w:pPr>
            <w:r>
              <w:rPr>
                <w:rFonts w:ascii="Arial" w:cs="Arial" w:eastAsia="Arial" w:hAnsi="Arial"/>
                <w:sz w:val="18"/>
                <w:szCs w:val="18"/>
                <w:color w:val="auto"/>
              </w:rPr>
              <w:t xml:space="preserve">Jardiance </w:t>
            </w:r>
            <w:r>
              <w:rPr>
                <w:rFonts w:ascii="Arial" w:cs="Arial" w:eastAsia="Arial" w:hAnsi="Arial"/>
                <w:sz w:val="9"/>
                <w:szCs w:val="9"/>
                <w:b w:val="1"/>
                <w:bCs w:val="1"/>
                <w:color w:val="auto"/>
              </w:rPr>
              <w:t>(3)</w:t>
            </w:r>
          </w:p>
        </w:tc>
        <w:tc>
          <w:tcPr>
            <w:tcW w:w="28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b w:val="1"/>
                <w:bCs w:val="1"/>
                <w:color w:val="auto"/>
              </w:rPr>
              <w:t>345.6</w:t>
            </w:r>
          </w:p>
        </w:tc>
        <w:tc>
          <w:tcPr>
            <w:tcW w:w="26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b w:val="1"/>
                <w:bCs w:val="1"/>
                <w:color w:val="auto"/>
              </w:rPr>
              <w:t>322.9</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668.5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529.5</w:t>
            </w:r>
          </w:p>
        </w:tc>
        <w:tc>
          <w:tcPr>
            <w:tcW w:w="1420" w:type="dxa"/>
            <w:vAlign w:val="bottom"/>
          </w:tcPr>
          <w:p>
            <w:pPr>
              <w:jc w:val="center"/>
              <w:ind w:left="51"/>
              <w:spacing w:after="0"/>
              <w:rPr>
                <w:sz w:val="20"/>
                <w:szCs w:val="20"/>
                <w:color w:val="auto"/>
              </w:rPr>
            </w:pPr>
            <w:r>
              <w:rPr>
                <w:rFonts w:ascii="Arial" w:cs="Arial" w:eastAsia="Arial" w:hAnsi="Arial"/>
                <w:sz w:val="18"/>
                <w:szCs w:val="18"/>
                <w:color w:val="auto"/>
                <w:w w:val="99"/>
              </w:rPr>
              <w:t>26</w:t>
            </w:r>
          </w:p>
        </w:tc>
      </w:tr>
      <w:tr>
        <w:trPr>
          <w:trHeight w:val="230"/>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Humulin</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440.1</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196.9</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629.3</w:t>
            </w:r>
          </w:p>
        </w:tc>
        <w:tc>
          <w:tcPr>
            <w:tcW w:w="142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1</w:t>
            </w:r>
          </w:p>
        </w:tc>
      </w:tr>
      <w:tr>
        <w:trPr>
          <w:trHeight w:val="229"/>
        </w:trPr>
        <w:tc>
          <w:tcPr>
            <w:tcW w:w="4140" w:type="dxa"/>
            <w:vAlign w:val="bottom"/>
          </w:tcPr>
          <w:p>
            <w:pPr>
              <w:ind w:left="20"/>
              <w:spacing w:after="0"/>
              <w:rPr>
                <w:sz w:val="20"/>
                <w:szCs w:val="20"/>
                <w:color w:val="auto"/>
              </w:rPr>
            </w:pPr>
            <w:r>
              <w:rPr>
                <w:rFonts w:ascii="Arial" w:cs="Arial" w:eastAsia="Arial" w:hAnsi="Arial"/>
                <w:sz w:val="18"/>
                <w:szCs w:val="18"/>
                <w:color w:val="auto"/>
              </w:rPr>
              <w:t>Verzenio</w:t>
            </w:r>
          </w:p>
        </w:tc>
        <w:tc>
          <w:tcPr>
            <w:tcW w:w="28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b w:val="1"/>
                <w:bCs w:val="1"/>
                <w:color w:val="auto"/>
              </w:rPr>
              <w:t>382.5</w:t>
            </w:r>
          </w:p>
        </w:tc>
        <w:tc>
          <w:tcPr>
            <w:tcW w:w="26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b w:val="1"/>
                <w:bCs w:val="1"/>
                <w:color w:val="auto"/>
              </w:rPr>
              <w:t>227.8</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610.3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396.7</w:t>
            </w:r>
          </w:p>
        </w:tc>
        <w:tc>
          <w:tcPr>
            <w:tcW w:w="1420" w:type="dxa"/>
            <w:vAlign w:val="bottom"/>
          </w:tcPr>
          <w:p>
            <w:pPr>
              <w:jc w:val="center"/>
              <w:ind w:left="51"/>
              <w:spacing w:after="0"/>
              <w:rPr>
                <w:sz w:val="20"/>
                <w:szCs w:val="20"/>
                <w:color w:val="auto"/>
              </w:rPr>
            </w:pPr>
            <w:r>
              <w:rPr>
                <w:rFonts w:ascii="Arial" w:cs="Arial" w:eastAsia="Arial" w:hAnsi="Arial"/>
                <w:sz w:val="18"/>
                <w:szCs w:val="18"/>
                <w:color w:val="auto"/>
                <w:w w:val="99"/>
              </w:rPr>
              <w:t>54</w:t>
            </w:r>
          </w:p>
        </w:tc>
      </w:tr>
      <w:tr>
        <w:trPr>
          <w:trHeight w:val="229"/>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Cyramza</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181.5</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327.7</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495.7</w:t>
            </w:r>
          </w:p>
        </w:tc>
        <w:tc>
          <w:tcPr>
            <w:tcW w:w="142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3</w:t>
            </w:r>
          </w:p>
        </w:tc>
      </w:tr>
      <w:tr>
        <w:trPr>
          <w:trHeight w:val="230"/>
        </w:trPr>
        <w:tc>
          <w:tcPr>
            <w:tcW w:w="4140" w:type="dxa"/>
            <w:vAlign w:val="bottom"/>
          </w:tcPr>
          <w:p>
            <w:pPr>
              <w:ind w:left="20"/>
              <w:spacing w:after="0"/>
              <w:rPr>
                <w:sz w:val="20"/>
                <w:szCs w:val="20"/>
                <w:color w:val="auto"/>
              </w:rPr>
            </w:pPr>
            <w:r>
              <w:rPr>
                <w:rFonts w:ascii="Arial" w:cs="Arial" w:eastAsia="Arial" w:hAnsi="Arial"/>
                <w:sz w:val="18"/>
                <w:szCs w:val="18"/>
                <w:color w:val="auto"/>
              </w:rPr>
              <w:t>Basaglar</w:t>
            </w:r>
          </w:p>
        </w:tc>
        <w:tc>
          <w:tcPr>
            <w:tcW w:w="28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b w:val="1"/>
                <w:bCs w:val="1"/>
                <w:color w:val="auto"/>
              </w:rPr>
              <w:t>308.6</w:t>
            </w:r>
          </w:p>
        </w:tc>
        <w:tc>
          <w:tcPr>
            <w:tcW w:w="26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b w:val="1"/>
                <w:bCs w:val="1"/>
                <w:color w:val="auto"/>
              </w:rPr>
              <w:t>148.7</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457.3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594.1</w:t>
            </w:r>
          </w:p>
        </w:tc>
        <w:tc>
          <w:tcPr>
            <w:tcW w:w="1420" w:type="dxa"/>
            <w:vAlign w:val="bottom"/>
          </w:tcPr>
          <w:p>
            <w:pPr>
              <w:jc w:val="center"/>
              <w:ind w:left="51"/>
              <w:spacing w:after="0"/>
              <w:rPr>
                <w:sz w:val="20"/>
                <w:szCs w:val="20"/>
                <w:color w:val="auto"/>
              </w:rPr>
            </w:pPr>
            <w:r>
              <w:rPr>
                <w:rFonts w:ascii="Arial" w:cs="Arial" w:eastAsia="Arial" w:hAnsi="Arial"/>
                <w:sz w:val="18"/>
                <w:szCs w:val="18"/>
                <w:color w:val="auto"/>
                <w:w w:val="99"/>
              </w:rPr>
              <w:t>(23)</w:t>
            </w:r>
          </w:p>
        </w:tc>
      </w:tr>
      <w:tr>
        <w:trPr>
          <w:trHeight w:val="229"/>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Forteo</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220.5</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196.4</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w:t>
            </w:r>
          </w:p>
        </w:tc>
        <w:tc>
          <w:tcPr>
            <w:tcW w:w="142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99"/>
              </w:rPr>
              <w:t>(21)</w:t>
            </w:r>
          </w:p>
        </w:tc>
      </w:tr>
      <w:tr>
        <w:trPr>
          <w:trHeight w:val="230"/>
        </w:trPr>
        <w:tc>
          <w:tcPr>
            <w:tcW w:w="4140" w:type="dxa"/>
            <w:vAlign w:val="bottom"/>
          </w:tcPr>
          <w:p>
            <w:pPr>
              <w:ind w:left="20"/>
              <w:spacing w:after="0"/>
              <w:rPr>
                <w:sz w:val="20"/>
                <w:szCs w:val="20"/>
                <w:color w:val="auto"/>
              </w:rPr>
            </w:pPr>
            <w:r>
              <w:rPr>
                <w:rFonts w:ascii="Arial" w:cs="Arial" w:eastAsia="Arial" w:hAnsi="Arial"/>
                <w:sz w:val="18"/>
                <w:szCs w:val="18"/>
                <w:color w:val="auto"/>
              </w:rPr>
              <w:t>Cialis</w:t>
            </w:r>
          </w:p>
        </w:tc>
        <w:tc>
          <w:tcPr>
            <w:tcW w:w="28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b w:val="1"/>
                <w:bCs w:val="1"/>
                <w:color w:val="auto"/>
              </w:rPr>
              <w:t>3.4</w:t>
            </w:r>
          </w:p>
        </w:tc>
        <w:tc>
          <w:tcPr>
            <w:tcW w:w="26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b w:val="1"/>
                <w:bCs w:val="1"/>
                <w:color w:val="auto"/>
              </w:rPr>
              <w:t>404.4</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407.8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323.8</w:t>
            </w:r>
          </w:p>
        </w:tc>
        <w:tc>
          <w:tcPr>
            <w:tcW w:w="1420" w:type="dxa"/>
            <w:vAlign w:val="bottom"/>
          </w:tcPr>
          <w:p>
            <w:pPr>
              <w:jc w:val="center"/>
              <w:ind w:left="51"/>
              <w:spacing w:after="0"/>
              <w:rPr>
                <w:sz w:val="20"/>
                <w:szCs w:val="20"/>
                <w:color w:val="auto"/>
              </w:rPr>
            </w:pPr>
            <w:r>
              <w:rPr>
                <w:rFonts w:ascii="Arial" w:cs="Arial" w:eastAsia="Arial" w:hAnsi="Arial"/>
                <w:sz w:val="18"/>
                <w:szCs w:val="18"/>
                <w:color w:val="auto"/>
                <w:w w:val="99"/>
              </w:rPr>
              <w:t>26</w:t>
            </w:r>
          </w:p>
        </w:tc>
      </w:tr>
      <w:tr>
        <w:trPr>
          <w:trHeight w:val="229"/>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Olumiant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42.5</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359.7</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284.7</w:t>
            </w:r>
          </w:p>
        </w:tc>
        <w:tc>
          <w:tcPr>
            <w:tcW w:w="142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99"/>
              </w:rPr>
              <w:t>41</w:t>
            </w:r>
          </w:p>
        </w:tc>
      </w:tr>
      <w:tr>
        <w:trPr>
          <w:trHeight w:val="229"/>
        </w:trPr>
        <w:tc>
          <w:tcPr>
            <w:tcW w:w="4140" w:type="dxa"/>
            <w:vAlign w:val="bottom"/>
          </w:tcPr>
          <w:p>
            <w:pPr>
              <w:ind w:left="20"/>
              <w:spacing w:after="0"/>
              <w:rPr>
                <w:sz w:val="20"/>
                <w:szCs w:val="20"/>
                <w:color w:val="auto"/>
              </w:rPr>
            </w:pPr>
            <w:r>
              <w:rPr>
                <w:rFonts w:ascii="Arial" w:cs="Arial" w:eastAsia="Arial" w:hAnsi="Arial"/>
                <w:sz w:val="18"/>
                <w:szCs w:val="18"/>
                <w:color w:val="auto"/>
              </w:rPr>
              <w:t>Cymbalta</w:t>
            </w:r>
          </w:p>
        </w:tc>
        <w:tc>
          <w:tcPr>
            <w:tcW w:w="28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b w:val="1"/>
                <w:bCs w:val="1"/>
                <w:color w:val="auto"/>
              </w:rPr>
              <w:t>23.3</w:t>
            </w:r>
          </w:p>
        </w:tc>
        <w:tc>
          <w:tcPr>
            <w:tcW w:w="26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b w:val="1"/>
                <w:bCs w:val="1"/>
                <w:color w:val="auto"/>
              </w:rPr>
              <w:t>328.9</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352.3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390.3</w:t>
            </w:r>
          </w:p>
        </w:tc>
        <w:tc>
          <w:tcPr>
            <w:tcW w:w="1420" w:type="dxa"/>
            <w:vAlign w:val="bottom"/>
          </w:tcPr>
          <w:p>
            <w:pPr>
              <w:jc w:val="center"/>
              <w:ind w:left="51"/>
              <w:spacing w:after="0"/>
              <w:rPr>
                <w:sz w:val="20"/>
                <w:szCs w:val="20"/>
                <w:color w:val="auto"/>
              </w:rPr>
            </w:pPr>
            <w:r>
              <w:rPr>
                <w:rFonts w:ascii="Arial" w:cs="Arial" w:eastAsia="Arial" w:hAnsi="Arial"/>
                <w:sz w:val="18"/>
                <w:szCs w:val="18"/>
                <w:color w:val="auto"/>
                <w:w w:val="99"/>
              </w:rPr>
              <w:t>(10)</w:t>
            </w:r>
          </w:p>
        </w:tc>
      </w:tr>
      <w:tr>
        <w:trPr>
          <w:trHeight w:val="230"/>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Emgality</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213.6</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62.2</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w:t>
            </w:r>
          </w:p>
        </w:tc>
        <w:tc>
          <w:tcPr>
            <w:tcW w:w="142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99"/>
              </w:rPr>
              <w:t>71</w:t>
            </w:r>
          </w:p>
        </w:tc>
      </w:tr>
      <w:tr>
        <w:trPr>
          <w:trHeight w:val="229"/>
        </w:trPr>
        <w:tc>
          <w:tcPr>
            <w:tcW w:w="4140" w:type="dxa"/>
            <w:vAlign w:val="bottom"/>
          </w:tcPr>
          <w:p>
            <w:pPr>
              <w:ind w:left="20"/>
              <w:spacing w:after="0"/>
              <w:rPr>
                <w:sz w:val="20"/>
                <w:szCs w:val="20"/>
                <w:color w:val="auto"/>
              </w:rPr>
            </w:pPr>
            <w:r>
              <w:rPr>
                <w:rFonts w:ascii="Arial" w:cs="Arial" w:eastAsia="Arial" w:hAnsi="Arial"/>
                <w:sz w:val="18"/>
                <w:szCs w:val="18"/>
                <w:color w:val="auto"/>
              </w:rPr>
              <w:t>Erbitux</w:t>
            </w:r>
          </w:p>
        </w:tc>
        <w:tc>
          <w:tcPr>
            <w:tcW w:w="28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b w:val="1"/>
                <w:bCs w:val="1"/>
                <w:color w:val="auto"/>
              </w:rPr>
              <w:t>243.7</w:t>
            </w:r>
          </w:p>
        </w:tc>
        <w:tc>
          <w:tcPr>
            <w:tcW w:w="26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b w:val="1"/>
                <w:bCs w:val="1"/>
                <w:color w:val="auto"/>
              </w:rPr>
              <w:t>25.7</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269.4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260.3</w:t>
            </w:r>
          </w:p>
        </w:tc>
        <w:tc>
          <w:tcPr>
            <w:tcW w:w="1420" w:type="dxa"/>
            <w:vAlign w:val="bottom"/>
          </w:tcPr>
          <w:p>
            <w:pPr>
              <w:jc w:val="center"/>
              <w:ind w:left="31"/>
              <w:spacing w:after="0"/>
              <w:rPr>
                <w:sz w:val="20"/>
                <w:szCs w:val="20"/>
                <w:color w:val="auto"/>
              </w:rPr>
            </w:pPr>
            <w:r>
              <w:rPr>
                <w:rFonts w:ascii="Arial" w:cs="Arial" w:eastAsia="Arial" w:hAnsi="Arial"/>
                <w:sz w:val="18"/>
                <w:szCs w:val="18"/>
                <w:color w:val="auto"/>
                <w:w w:val="99"/>
              </w:rPr>
              <w:t>3</w:t>
            </w:r>
          </w:p>
        </w:tc>
      </w:tr>
      <w:tr>
        <w:trPr>
          <w:trHeight w:val="230"/>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Tyvyt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214.6</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142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99"/>
              </w:rPr>
              <w:t>77</w:t>
            </w:r>
          </w:p>
        </w:tc>
      </w:tr>
      <w:tr>
        <w:trPr>
          <w:trHeight w:val="230"/>
        </w:trPr>
        <w:tc>
          <w:tcPr>
            <w:tcW w:w="4140" w:type="dxa"/>
            <w:vAlign w:val="bottom"/>
          </w:tcPr>
          <w:p>
            <w:pPr>
              <w:ind w:left="20"/>
              <w:spacing w:after="0"/>
              <w:rPr>
                <w:sz w:val="20"/>
                <w:szCs w:val="20"/>
                <w:color w:val="auto"/>
              </w:rPr>
            </w:pPr>
            <w:r>
              <w:rPr>
                <w:rFonts w:ascii="Arial" w:cs="Arial" w:eastAsia="Arial" w:hAnsi="Arial"/>
                <w:sz w:val="18"/>
                <w:szCs w:val="18"/>
                <w:color w:val="auto"/>
              </w:rPr>
              <w:t>Zyprexa</w:t>
            </w:r>
          </w:p>
        </w:tc>
        <w:tc>
          <w:tcPr>
            <w:tcW w:w="28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b w:val="1"/>
                <w:bCs w:val="1"/>
                <w:color w:val="auto"/>
              </w:rPr>
              <w:t>15.3</w:t>
            </w:r>
          </w:p>
        </w:tc>
        <w:tc>
          <w:tcPr>
            <w:tcW w:w="26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b w:val="1"/>
                <w:bCs w:val="1"/>
                <w:color w:val="auto"/>
              </w:rPr>
              <w:t>175.8</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191.1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195.0</w:t>
            </w:r>
          </w:p>
        </w:tc>
        <w:tc>
          <w:tcPr>
            <w:tcW w:w="1420" w:type="dxa"/>
            <w:vAlign w:val="bottom"/>
          </w:tcPr>
          <w:p>
            <w:pPr>
              <w:jc w:val="center"/>
              <w:ind w:left="31"/>
              <w:spacing w:after="0"/>
              <w:rPr>
                <w:sz w:val="20"/>
                <w:szCs w:val="20"/>
                <w:color w:val="auto"/>
              </w:rPr>
            </w:pPr>
            <w:r>
              <w:rPr>
                <w:rFonts w:ascii="Arial" w:cs="Arial" w:eastAsia="Arial" w:hAnsi="Arial"/>
                <w:sz w:val="18"/>
                <w:szCs w:val="18"/>
                <w:color w:val="auto"/>
                <w:w w:val="99"/>
              </w:rPr>
              <w:t>(2)</w:t>
            </w:r>
          </w:p>
        </w:tc>
      </w:tr>
      <w:tr>
        <w:trPr>
          <w:trHeight w:val="229"/>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products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300.6</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518.9</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819.6</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804.2</w:t>
            </w:r>
          </w:p>
        </w:tc>
        <w:tc>
          <w:tcPr>
            <w:tcW w:w="142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2</w:t>
            </w:r>
          </w:p>
        </w:tc>
      </w:tr>
      <w:tr>
        <w:trPr>
          <w:trHeight w:val="230"/>
        </w:trPr>
        <w:tc>
          <w:tcPr>
            <w:tcW w:w="4140" w:type="dxa"/>
            <w:vAlign w:val="bottom"/>
          </w:tcPr>
          <w:p>
            <w:pPr>
              <w:ind w:left="22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7,645.5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5,900.2</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13,545.7</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11,359.2</w:t>
            </w:r>
          </w:p>
        </w:tc>
        <w:tc>
          <w:tcPr>
            <w:tcW w:w="1420" w:type="dxa"/>
            <w:vAlign w:val="bottom"/>
          </w:tcPr>
          <w:p>
            <w:pPr>
              <w:jc w:val="center"/>
              <w:ind w:left="51"/>
              <w:spacing w:after="0"/>
              <w:rPr>
                <w:sz w:val="20"/>
                <w:szCs w:val="20"/>
                <w:color w:val="auto"/>
              </w:rPr>
            </w:pPr>
            <w:r>
              <w:rPr>
                <w:rFonts w:ascii="Arial" w:cs="Arial" w:eastAsia="Arial" w:hAnsi="Arial"/>
                <w:sz w:val="18"/>
                <w:szCs w:val="18"/>
                <w:color w:val="auto"/>
                <w:w w:val="99"/>
              </w:rPr>
              <w:t>19</w:t>
            </w: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43" w:lineRule="exact"/>
        <w:rPr>
          <w:sz w:val="20"/>
          <w:szCs w:val="20"/>
          <w:color w:val="auto"/>
        </w:rPr>
      </w:pPr>
    </w:p>
    <w:p>
      <w:pPr>
        <w:ind w:left="140" w:hanging="132"/>
        <w:spacing w:after="0"/>
        <w:tabs>
          <w:tab w:leader="none" w:pos="140" w:val="left"/>
        </w:tabs>
        <w:numPr>
          <w:ilvl w:val="0"/>
          <w:numId w:val="26"/>
        </w:numPr>
        <w:rPr>
          <w:rFonts w:ascii="Arial" w:cs="Arial" w:eastAsia="Arial" w:hAnsi="Arial"/>
          <w:sz w:val="16"/>
          <w:szCs w:val="16"/>
          <w:color w:val="auto"/>
          <w:vertAlign w:val="superscript"/>
        </w:rPr>
      </w:pPr>
      <w:r>
        <w:rPr>
          <w:rFonts w:ascii="Arial" w:cs="Arial" w:eastAsia="Arial" w:hAnsi="Arial"/>
          <w:sz w:val="12"/>
          <w:szCs w:val="12"/>
          <w:color w:val="auto"/>
        </w:rPr>
        <w:t>Humalog revenue includes insulin lispro.</w:t>
      </w:r>
    </w:p>
    <w:p>
      <w:pPr>
        <w:spacing w:after="0" w:line="43" w:lineRule="exact"/>
        <w:rPr>
          <w:rFonts w:ascii="Arial" w:cs="Arial" w:eastAsia="Arial" w:hAnsi="Arial"/>
          <w:sz w:val="16"/>
          <w:szCs w:val="16"/>
          <w:color w:val="auto"/>
          <w:vertAlign w:val="superscript"/>
        </w:rPr>
      </w:pPr>
    </w:p>
    <w:p>
      <w:pPr>
        <w:ind w:firstLine="8"/>
        <w:spacing w:after="0"/>
        <w:tabs>
          <w:tab w:leader="none" w:pos="140" w:val="left"/>
        </w:tabs>
        <w:numPr>
          <w:ilvl w:val="0"/>
          <w:numId w:val="26"/>
        </w:numPr>
        <w:rPr>
          <w:rFonts w:ascii="Arial" w:cs="Arial" w:eastAsia="Arial" w:hAnsi="Arial"/>
          <w:sz w:val="16"/>
          <w:szCs w:val="16"/>
          <w:color w:val="auto"/>
          <w:vertAlign w:val="superscript"/>
        </w:rPr>
      </w:pPr>
      <w:r>
        <w:rPr>
          <w:rFonts w:ascii="Arial" w:cs="Arial" w:eastAsia="Arial" w:hAnsi="Arial"/>
          <w:sz w:val="12"/>
          <w:szCs w:val="12"/>
          <w:color w:val="auto"/>
        </w:rPr>
        <w:t>COVID-19 antibodies include sales for bamlanivimab administered alone as well as sales for bamlanivimab and etesevimab administered together and were made pursuant to EUAs.</w:t>
      </w:r>
    </w:p>
    <w:p>
      <w:pPr>
        <w:spacing w:after="0" w:line="182"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26"/>
        </w:numPr>
        <w:rPr>
          <w:rFonts w:ascii="Arial" w:cs="Arial" w:eastAsia="Arial" w:hAnsi="Arial"/>
          <w:sz w:val="16"/>
          <w:szCs w:val="16"/>
          <w:color w:val="auto"/>
          <w:vertAlign w:val="superscript"/>
        </w:rPr>
      </w:pPr>
      <w:r>
        <w:rPr>
          <w:rFonts w:ascii="Arial" w:cs="Arial" w:eastAsia="Arial" w:hAnsi="Arial"/>
          <w:sz w:val="12"/>
          <w:szCs w:val="12"/>
          <w:color w:val="auto"/>
        </w:rPr>
        <w:t>Jardiance revenue includes Glyxambi, Synjardy, and Trijardy XR.</w:t>
      </w:r>
    </w:p>
    <w:p>
      <w:pPr>
        <w:spacing w:after="0" w:line="38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Revenue of Trulicity, a treatment for type 2 diabetes and to reduce the risk of major adverse cardiovascular events in adult patients with type 2 diabetes and established cardiovascular disease or multiple cardiovascular risk factors, increased 20 percent in the U.S. during the three and six months ended June 30, 2021, driven by increased demand, partially offset by lower realized prices. Trulicity's lower realized prices in the U.S. during the three months ended June 30, 2021 were primarily due to higher contracted rebates, partially offset by modest list price increases. Trulicity's lower realized prices in the U.S. during the six months ended June 30, 2021 were primarily due to higher contracted rebates, partially offset by a favorable segment mix that reflected lower utilization in the 340B segment and modest list price increases. Revenue outside the U.S. increased 40 percent and 25 percent during the three and six months ended June 30, 2021, respectively, driven by increased volume and, to a lesser extent, the favorable foreign exchange rates, partially offset by lower realized prices.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54" w:name="page55"/>
    <w:bookmarkEnd w:id="54"/>
    <w:p>
      <w:pPr>
        <w:ind w:right="20"/>
        <w:spacing w:after="0" w:line="251" w:lineRule="auto"/>
        <w:rPr>
          <w:sz w:val="20"/>
          <w:szCs w:val="20"/>
          <w:color w:val="auto"/>
        </w:rPr>
      </w:pPr>
      <w:r>
        <w:rPr>
          <w:rFonts w:ascii="Arial" w:cs="Arial" w:eastAsia="Arial" w:hAnsi="Arial"/>
          <w:sz w:val="18"/>
          <w:szCs w:val="18"/>
          <w:color w:val="auto"/>
        </w:rPr>
        <w:t>Revenue of Humalog, an injectable human insulin analog for the treatment of diabetes, increased 17 percent in the U.S. during the three months ended June 30, 2021, driven by increased demand and higher realized prices due to changes to estimates in rebates and discounts. Revenue decreased 3 percent in the U.S. during the six months ended June 30, 2021, driven by lower realized prices, partially offset by increased demand. Humalog's lower realized prices in the U.S. during the six months ended June 30, 2021 were driven by higher contracted rebates and discounts, partially offset by changes to estimates in rebates and discounts and lower utilization in the 340B segment. Revenue outside the U.S. increased 2 percent during the three months ended June 30, 2021, driven by the favorable impact of foreign exchange rates, partially offset by decreased volume and, to a lesser extent, lower realized prices. Revenue outside the U.S. decreased 1 percent during the six months ended June 30, 2021, primarily driven by decreased volume, largely offset by the favorable impact of foreign exchange rates. While it is difficult to estimate the severity of the impact of insulin lispro products entering the market, we do not expect and have not experienced a rapid and severe decline in revenue. However, due to the impact of competition and due to pricing pressure in the U.S. and some international markets, we expect some price decline and loss of market share to continue over time.</w:t>
      </w:r>
    </w:p>
    <w:p>
      <w:pPr>
        <w:spacing w:after="0" w:line="10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Revenue of Alimta, a treatment for various cancers, increased 11 percent in the U.S. during the three months ended June 30, 2021, primarily driven by higher volume as a result of customer buying patterns and, to a lesser extent, higher realized prices. Revenue decreased 4 percent in the U.S. during the six months ended June 30, 2021, primarily driven by lower demand. Revenue outside the U.S. increased 16 percent and 21 percent during the three and six months ended June 30, 2021, respectively, primarily driven by increased volume and, to a lesser extent, the favorable impact of foreign exchange rates, partially offset by lower realized prices. We lost our patent protection for Alimta in Japan and major European countries in June 2021. We expect the limited entry of generic competition in the U.S. starting February 2022 and subsequent unlimited entry starting April 2022. We expect that the entry of generic competition following the loss of exclusivity will cause a rapid and severe decline in revenue. See "Executive Overview - Other Matters- Patent Matters" for more information.</w:t>
      </w:r>
    </w:p>
    <w:p>
      <w:pPr>
        <w:spacing w:after="0" w:line="9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Revenue of Taltz, a treatment for moderate-to-severe plaque psoriasis, active psoriatic arthritis, ankylosing spondylitis, and active non-radiographic axial spondyloarthritis, increased 38 percent and 5 percent in the U.S. during the three and six months ended June 30, 2021, respectively, primarily driven by increased demand, partially offset by lower realized prices. Taltz's lower realized prices in the U.S. during the three and six months ended June 30, 2021 were driven by increased rebates to gain commercial access. Taltz's revenue increase in the U.S. for the three months ended June 30, 2021 was favorably impacted by inventory destocking in the three month ended June 30, 2020. Revenue outside the U.S. increased 60 percent and 45 percent during the three and six months ended June 30, 2021, respectively, driven by increased volume and, to a lesser extent, the favorable impact of foreign exchange rates.</w:t>
      </w:r>
    </w:p>
    <w:p>
      <w:pPr>
        <w:spacing w:after="0" w:line="9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Revenue of COVID-19 antibodies, treatments that were authorized pursuant to EUAs for mild to moderate COVID-19 for higher-risk patients, was $83.4 million and $734.0 million in the U.S. during the three and six months ended June 30, 2021, respectively. Revenue outside the U.S. was $65.7 million and $225.1 million during the three and six months ended June 30, 2021, respectively. The availability of superior or competitive therapies, or preventative measures, such as vaccines, coupled with the transient nature of pandemics, have and could further negatively impact or eliminate demand for these COVID-19 antibodies. In addition, mutations or the spread of other variants of the coronavirus have in some cases reduced the effectiveness of our COVID-19 antibodies, and may further render our antibodies less effective or ineffective.</w:t>
      </w:r>
    </w:p>
    <w:p>
      <w:pPr>
        <w:spacing w:after="0" w:line="99"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Revenue of Jardiance, a treatment for type 2 diabetes and to reduce the risk of cardiovascular death in adult patients with type 2 diabetes and established cardiovascular disease, increased 34 percent and 19 percent in the U.S. during the three and six months ended June 30, 2021, respectively, primarily driven by increased demand. Revenue outside the U.S. increased 39 percent and 35 percent during the three and six months ended June 30, 2021, respectively, driven by increased volume and, to a lesser extent, the favorable impact of foreign exchange rates. See Note 4 to the consolidated condensed financial statements for information regarding our collaboration with Boehringer Ingelheim involving Jardiance.</w:t>
      </w:r>
    </w:p>
    <w:p>
      <w:pPr>
        <w:spacing w:after="0" w:line="10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Revenue of Humulin, an injectable human insulin for the treatment of diabetes, increased 3 percent in the U.S. during the three months ended June 30, 2021, driven by increased volume, partially offset by lower realized prices. Revenue increased 3 percent in the U.S. during the six months ended June 30, 2021, driven by higher realized prices, and, to a lesser extent, increased demand. Revenue outside the U.S. decreased 5 percent and 2 percent during the three and six months ended June 30, 2021, respectively, driven by decreased volume, partially offset by the favorable impact of foreign exchange rates and higher realized prices.</w:t>
      </w: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6" w:right="359" w:bottom="1440" w:gutter="0" w:footer="0" w:header="0"/>
        </w:sectPr>
      </w:pPr>
    </w:p>
    <w:bookmarkStart w:id="55" w:name="page56"/>
    <w:bookmarkEnd w:id="55"/>
    <w:p>
      <w:pPr>
        <w:spacing w:after="0" w:line="254" w:lineRule="auto"/>
        <w:rPr>
          <w:sz w:val="20"/>
          <w:szCs w:val="20"/>
          <w:color w:val="auto"/>
        </w:rPr>
      </w:pPr>
      <w:r>
        <w:rPr>
          <w:rFonts w:ascii="Arial" w:cs="Arial" w:eastAsia="Arial" w:hAnsi="Arial"/>
          <w:sz w:val="18"/>
          <w:szCs w:val="18"/>
          <w:color w:val="auto"/>
        </w:rPr>
        <w:t>Revenue of Verzenio, a treatment for HR+, HER2- metastatic breast cancer, increased 48 percent and 41 percent in the U.S. during the three and six months ended June 30, 2021, respectively, driven by increased demand and, to a lesser extent, higher realized prices. Revenue outside the U.S. increased 97 percent and 81 percent during the three and six months ended June 30, 2021, respectively, primarily driven by increased volume.</w:t>
      </w:r>
    </w:p>
    <w:p>
      <w:pPr>
        <w:spacing w:after="0" w:line="9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Revenue of Cyramza, a treatment for various cancers, increased 8 percent in the U.S. during the three months ended June 30, 2021, primarily driven by increased volume. Revenue decreased 1 percent in the U.S. during the six months ended June 30, 2021, driven by lower realized prices, partially offset by increased volume. Revenue outside the U.S. increased 3 percent for the three months ended June 30, 2021, primarily driven by increased volume. Revenue increased 5 percent for the six months ended June 30, 2021, driven by the favorable impact of foreign exchange rates and increased volume.</w:t>
      </w:r>
    </w:p>
    <w:p>
      <w:pPr>
        <w:spacing w:after="0" w:line="9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Revenue of Basaglar, a long-acting human insulin analog for the treatment of diabetes, decreased 42 percent and 33 percent in the U.S. during the three and six months ended June 30, 2021, respectively, driven by continued competitive pressures that resulted in lower realized prices and, to a lesser extent, decreased demand. Revenue outside the U.S. increased 27 percent during the three months ended June 30, 2021, driven by increased volume and, to a lesser extent, the favorable impact of foreign exchange rates. Revenue outside the U.S. increased 11 percent during the six months ended June 30, 2021, driven by increased volume and the favorable impact of foreign exchange rates, partially offset by lower realized prices. See Note 4 to the consolidated condensed financial statements for information regarding our collaboration with Boehringer Ingelheim involving Basaglar. A competitor launched a similar version of glargine in the U.S. in 2020. Due to competitive pressures, we expect some price decline and loss of market share in the U.S. over time.</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Gross Margin, Costs, and Expenses</w:t>
      </w:r>
    </w:p>
    <w:p>
      <w:pPr>
        <w:spacing w:after="0" w:line="139"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Gross margin as a percent of revenue decreased 6.8 percentage points to 71.0 percent and 71.7 percent for the three and six months ended June 30 2021, respectively. The decrease in gross margin percent for the three and six months ended June 30, 2021 was primarily driven by $423.0 million and $504.5 million, respectively, of excess inventory charges related to our COVID-19 antibodies. As part of our response to the COVID-19 pandemic, and at the request of the U.S. and international governments, we invested in large-scale manufacturing of COVID-19 antibodies at risk, in order to ensure rapid access to patients around the world. As the COVID-19 pandemic has continued to evolve during 2021, we incurred excess inventory charges primarily due to the combination of changes to current and forecasted demand from U.S. and international governments</w:t>
      </w:r>
      <w:r>
        <w:rPr>
          <w:rFonts w:ascii="Arial" w:cs="Arial" w:eastAsia="Arial" w:hAnsi="Arial"/>
          <w:sz w:val="18"/>
          <w:szCs w:val="18"/>
          <w:color w:val="212121"/>
        </w:rPr>
        <w:t>, including changes to our agreement with the U.S. government, and near-term expiry dates of COVID-19</w:t>
      </w:r>
      <w:r>
        <w:rPr>
          <w:rFonts w:ascii="Arial" w:cs="Arial" w:eastAsia="Arial" w:hAnsi="Arial"/>
          <w:sz w:val="18"/>
          <w:szCs w:val="18"/>
          <w:color w:val="auto"/>
        </w:rPr>
        <w:t xml:space="preserve"> </w:t>
      </w:r>
      <w:r>
        <w:rPr>
          <w:rFonts w:ascii="Arial" w:cs="Arial" w:eastAsia="Arial" w:hAnsi="Arial"/>
          <w:sz w:val="18"/>
          <w:szCs w:val="18"/>
          <w:color w:val="212121"/>
        </w:rPr>
        <w:t xml:space="preserve">antibodies. </w:t>
      </w:r>
      <w:r>
        <w:rPr>
          <w:rFonts w:ascii="Arial" w:cs="Arial" w:eastAsia="Arial" w:hAnsi="Arial"/>
          <w:sz w:val="18"/>
          <w:szCs w:val="18"/>
          <w:color w:val="000000"/>
        </w:rPr>
        <w:t>The decrease in gross margin percent for the six months ended June 30, 2021 was also due to the unfavorable effect of foreign</w:t>
      </w:r>
      <w:r>
        <w:rPr>
          <w:rFonts w:ascii="Arial" w:cs="Arial" w:eastAsia="Arial" w:hAnsi="Arial"/>
          <w:sz w:val="18"/>
          <w:szCs w:val="18"/>
          <w:color w:val="212121"/>
        </w:rPr>
        <w:t xml:space="preserve"> </w:t>
      </w:r>
      <w:r>
        <w:rPr>
          <w:rFonts w:ascii="Arial" w:cs="Arial" w:eastAsia="Arial" w:hAnsi="Arial"/>
          <w:sz w:val="18"/>
          <w:szCs w:val="18"/>
          <w:color w:val="000000"/>
        </w:rPr>
        <w:t>exchange rates on international inventories sold.</w:t>
      </w:r>
    </w:p>
    <w:p>
      <w:pPr>
        <w:spacing w:after="0" w:line="104" w:lineRule="exact"/>
        <w:rPr>
          <w:sz w:val="20"/>
          <w:szCs w:val="20"/>
          <w:color w:val="auto"/>
        </w:rPr>
      </w:pPr>
    </w:p>
    <w:p>
      <w:pPr>
        <w:ind w:right="340"/>
        <w:spacing w:after="0" w:line="254" w:lineRule="auto"/>
        <w:rPr>
          <w:sz w:val="20"/>
          <w:szCs w:val="20"/>
          <w:color w:val="auto"/>
        </w:rPr>
      </w:pPr>
      <w:r>
        <w:rPr>
          <w:rFonts w:ascii="Arial" w:cs="Arial" w:eastAsia="Arial" w:hAnsi="Arial"/>
          <w:sz w:val="18"/>
          <w:szCs w:val="18"/>
          <w:color w:val="auto"/>
        </w:rPr>
        <w:t>Research and development expenses increased 20 percent to $1.67 billion and increased 21 percent to $3.36 billion for the three and six months ended June 30, 2021, respectively. The increase in research and development expenses for the three and six months ended June 30, 2021 was driven primarily by higher development expenses for late-stage assets, as well as higher research and development expenses for COVID-19 therapies.</w:t>
      </w:r>
    </w:p>
    <w:p>
      <w:pPr>
        <w:spacing w:after="0" w:line="96"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Marketing, selling, and administrative expenses increased 16 percent to $1.69 billion and 9 percent to $3.26 billion for the three and six months ended June 30, 2021, respectively. The increase in marketing, selling, and administrative expenses for the three and six months ended June 30, 2021, was primarily due to lower marketing and selling expenses for the three and six months ended June 30, 2020 due to pandemic-related spending reductions.</w:t>
      </w:r>
    </w:p>
    <w:p>
      <w:pPr>
        <w:spacing w:after="0" w:line="96" w:lineRule="exact"/>
        <w:rPr>
          <w:sz w:val="20"/>
          <w:szCs w:val="20"/>
          <w:color w:val="auto"/>
        </w:rPr>
      </w:pPr>
    </w:p>
    <w:p>
      <w:pPr>
        <w:jc w:val="both"/>
        <w:ind w:right="40"/>
        <w:spacing w:after="0" w:line="250" w:lineRule="auto"/>
        <w:rPr>
          <w:sz w:val="20"/>
          <w:szCs w:val="20"/>
          <w:color w:val="auto"/>
        </w:rPr>
      </w:pPr>
      <w:r>
        <w:rPr>
          <w:rFonts w:ascii="Arial" w:cs="Arial" w:eastAsia="Arial" w:hAnsi="Arial"/>
          <w:sz w:val="18"/>
          <w:szCs w:val="18"/>
          <w:color w:val="auto"/>
        </w:rPr>
        <w:t>We recognized $25.0 million and $324.3 million of acquired IPR&amp;D charges for the three and six months ended June 30, 2021, respectively. The charge for the three months ended June 30, 2021 was related to a business development transaction with MiNA. The charges for the six months ended June 30, 2021 also included charges related to business development transactions with Rigel, Precision, Merus, and Asahi.</w:t>
      </w:r>
    </w:p>
    <w:p>
      <w:pPr>
        <w:spacing w:after="0" w:line="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recognized $241.8 million and $294.1 million of acquired IPR&amp;D charges for the three and six months ended June 30, 2020, respectively. The charges for the three months ended June 30, 2020 were related to the acquisition of a pre-clinical stage company, as well as business development transactions with AbCellera, Evox, and Junshi Biosciences. The charges for the six months ended June 30, 2020 also included a charge related to a business development transaction with Sitryx.</w:t>
      </w:r>
    </w:p>
    <w:p>
      <w:pPr>
        <w:spacing w:after="0" w:line="9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recognized asset impairment, restructuring, and other special charges of $ 211.6 million for the six months ended June 30, 2021, primarily related to an intangible asset impairment resulting from the decision to sell the rights to Qbrexza, as well as acquisition and integration costs associated with the acquisition of Prevail. We recognized asset impairment, restructuring, and other special charges of $59.9 million for the six months ended June 30, 2020, primarily related to acquisition and integration costs associated with the acquisition of Dermira.</w:t>
      </w:r>
    </w:p>
    <w:p>
      <w:pPr>
        <w:spacing w:after="0" w:line="8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Other–net, (income) expense was income of $ 190.5 million and $ 511.6 million for the three and six months ended June 30, 2021, respectively, compared with income of $446.9 million and $536.0 million for the three and six months ended June 30, 2020, respectively. The decrease in other income for the three and six months ended June 30, 2021 was driven primarily by lower net investment gains on equity securities, partially offset by income from patent settlements in Europe for Alimta.</w:t>
      </w:r>
    </w:p>
    <w:p>
      <w:pPr>
        <w:spacing w:after="0" w:line="9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effective tax rate was 12.8 percent for the three months ended June 30, 2021, compared with 14.1 percent for the three months ended June 30, 2020. The effective tax rate was 10.6 percent for the six months ended June 30, 2021, compared with 13.7 percent for the six months ended June 30, 2020. The lower effective tax rates for the three and six months ended June 30, 2021 were primarily due to the income tax impact of the excess inventory charges related to our COVID-19 antibodies and lower income tax expense related to lower net gains on investment securities compared to the same period in 2020, partially offset by a lower net discrete tax benefit compared to the same period in 2020 and a nondeductible acquired IPR&amp;D charge in the second quarter of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Financial Condition and Liquidity</w:t>
      </w:r>
    </w:p>
    <w:p>
      <w:pPr>
        <w:spacing w:after="0" w:line="139" w:lineRule="exact"/>
        <w:rPr>
          <w:sz w:val="20"/>
          <w:szCs w:val="20"/>
          <w:color w:val="auto"/>
        </w:rPr>
      </w:pPr>
    </w:p>
    <w:p>
      <w:pPr>
        <w:ind w:right="120"/>
        <w:spacing w:after="0" w:line="254" w:lineRule="auto"/>
        <w:rPr>
          <w:rFonts w:ascii="Arial" w:cs="Arial" w:eastAsia="Arial" w:hAnsi="Arial"/>
          <w:sz w:val="18"/>
          <w:szCs w:val="18"/>
          <w:color w:val="0000FF"/>
        </w:rPr>
      </w:pPr>
      <w:r>
        <w:rPr>
          <w:rFonts w:ascii="Arial" w:cs="Arial" w:eastAsia="Arial" w:hAnsi="Arial"/>
          <w:sz w:val="18"/>
          <w:szCs w:val="18"/>
          <w:color w:val="auto"/>
        </w:rPr>
        <w:t xml:space="preserve">We believe our available cash and cash equivalents, together with our ability to generate operating cash flow and our access to short-term and long-term borrowings, are sufficient to fund our existing and planned capital requirements. For a discussion of our capital requirements, see “Management's Discussion and Analysis of Results of Operations and Financial Condition” in Part II, Item 7 of our Annual Report on </w:t>
      </w:r>
      <w:hyperlink r:id="rId14">
        <w:r>
          <w:rPr>
            <w:rFonts w:ascii="Arial" w:cs="Arial" w:eastAsia="Arial" w:hAnsi="Arial"/>
            <w:sz w:val="18"/>
            <w:szCs w:val="18"/>
            <w:u w:val="single" w:color="auto"/>
            <w:color w:val="0000FF"/>
          </w:rPr>
          <w:t>Form 10-K</w:t>
        </w:r>
        <w:r>
          <w:rPr>
            <w:rFonts w:ascii="Arial" w:cs="Arial" w:eastAsia="Arial" w:hAnsi="Arial"/>
            <w:sz w:val="18"/>
            <w:szCs w:val="18"/>
            <w:color w:val="0000FF"/>
          </w:rPr>
          <w:t xml:space="preserve"> </w:t>
        </w:r>
      </w:hyperlink>
      <w:r>
        <w:rPr>
          <w:rFonts w:ascii="Arial" w:cs="Arial" w:eastAsia="Arial" w:hAnsi="Arial"/>
          <w:sz w:val="18"/>
          <w:szCs w:val="18"/>
          <w:color w:val="000000"/>
        </w:rPr>
        <w:t>for</w:t>
      </w:r>
      <w:r>
        <w:rPr>
          <w:rFonts w:ascii="Arial" w:cs="Arial" w:eastAsia="Arial" w:hAnsi="Arial"/>
          <w:sz w:val="18"/>
          <w:szCs w:val="18"/>
          <w:color w:val="0000FF"/>
        </w:rPr>
        <w:t xml:space="preserve"> </w:t>
      </w:r>
      <w:r>
        <w:rPr>
          <w:rFonts w:ascii="Arial" w:cs="Arial" w:eastAsia="Arial" w:hAnsi="Arial"/>
          <w:sz w:val="18"/>
          <w:szCs w:val="18"/>
          <w:color w:val="000000"/>
        </w:rPr>
        <w:t>the year ended December 31, 2020.</w:t>
      </w:r>
    </w:p>
    <w:p>
      <w:pPr>
        <w:spacing w:after="0" w:line="9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Cash and cash equivalents decreased to $ 3.22 billion as of June 30, 2021, compared with $3.66 billion as of December 31, 2020. Refer to the consolidated condensed statements of cash flows for additional information on the significant sources and uses of cash for the six months ended June 30, 2021 and 2020.</w:t>
      </w:r>
    </w:p>
    <w:p>
      <w:pPr>
        <w:spacing w:after="0" w:line="94" w:lineRule="exact"/>
        <w:rPr>
          <w:sz w:val="20"/>
          <w:szCs w:val="20"/>
          <w:color w:val="auto"/>
        </w:rPr>
      </w:pPr>
    </w:p>
    <w:p>
      <w:pPr>
        <w:ind w:right="1000"/>
        <w:spacing w:after="0" w:line="261" w:lineRule="auto"/>
        <w:rPr>
          <w:sz w:val="20"/>
          <w:szCs w:val="20"/>
          <w:color w:val="auto"/>
        </w:rPr>
      </w:pPr>
      <w:r>
        <w:rPr>
          <w:rFonts w:ascii="Arial" w:cs="Arial" w:eastAsia="Arial" w:hAnsi="Arial"/>
          <w:sz w:val="18"/>
          <w:szCs w:val="18"/>
          <w:color w:val="auto"/>
        </w:rPr>
        <w:t>In addition to our cash and cash equivalents, we held total investments of $3.53 billion and $2.99 billion as of June 30, 2021 and December 31, 2020, respectively. See Note 6 to the consolidated condensed financial statements for additional information.</w:t>
      </w:r>
    </w:p>
    <w:p>
      <w:pPr>
        <w:spacing w:after="0" w:line="90" w:lineRule="exact"/>
        <w:rPr>
          <w:sz w:val="20"/>
          <w:szCs w:val="20"/>
          <w:color w:val="auto"/>
        </w:rPr>
      </w:pPr>
    </w:p>
    <w:p>
      <w:pPr>
        <w:jc w:val="both"/>
        <w:ind w:right="160"/>
        <w:spacing w:after="0" w:line="254" w:lineRule="auto"/>
        <w:rPr>
          <w:sz w:val="20"/>
          <w:szCs w:val="20"/>
          <w:color w:val="auto"/>
        </w:rPr>
      </w:pPr>
      <w:r>
        <w:rPr>
          <w:rFonts w:ascii="Arial" w:cs="Arial" w:eastAsia="Arial" w:hAnsi="Arial"/>
          <w:sz w:val="18"/>
          <w:szCs w:val="18"/>
          <w:color w:val="auto"/>
        </w:rPr>
        <w:t>In January 2021, we acquired all shares of Prevail for a purchase price that included $22.50 per share in cash (or an aggregate of $747.4 million, net of cash acquired) plus one non-tradable CVR per share. The CVR entitles Prevail stockholders to up to an additional $4.00 per share in cash (or an aggregate of approximately $160 million) payable, subject to certain terms and conditions. The acquisition was funded primarily through cash on hand. See Note 3 to the consolidated condensed financial statements for additional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 total debt was $16.52 billion, a decrease of $80.2 million compared with $16.60 billion as of December 31, 2020.</w:t>
      </w:r>
    </w:p>
    <w:p>
      <w:pPr>
        <w:spacing w:after="0" w:line="11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As of June 30, 2021, we had a total of $5.24 billion of unused committed bank credit facilities, $5.00 billion of which is available to support our commercial paper program. We believe that amounts accessible through existing commercial paper markets should be adequate to fund short-term borrowing needs.</w:t>
      </w:r>
    </w:p>
    <w:p>
      <w:pPr>
        <w:spacing w:after="0" w:line="9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During the six months ended June 30, 2021, we repurchased $500.0 million of shares under our $8.00 billion share repurchase program authorized in June 2018. As of June 30, 2021, we had $500.0 million remaining under this program. In May 2021 we authorized an additional $5.00 billion share repurchase program. There were no shares repurchased under the $5.00 billion share repurchase program during the six months ended June 30, 2021.</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2021, we paid dividends of approximately $1.54 billion, or $1.70 per share, to our shareholders.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See "Executive Overview - Other Matters - Patent Matters" for information regarding recent and upcoming losses of patent protection.</w:t>
      </w:r>
    </w:p>
    <w:p>
      <w:pPr>
        <w:spacing w:after="0" w:line="117" w:lineRule="exact"/>
        <w:rPr>
          <w:sz w:val="20"/>
          <w:szCs w:val="20"/>
          <w:color w:val="auto"/>
        </w:rPr>
      </w:pPr>
    </w:p>
    <w:p>
      <w:pPr>
        <w:ind w:right="640"/>
        <w:spacing w:after="0" w:line="254" w:lineRule="auto"/>
        <w:rPr>
          <w:sz w:val="20"/>
          <w:szCs w:val="20"/>
          <w:color w:val="auto"/>
        </w:rPr>
      </w:pPr>
      <w:r>
        <w:rPr>
          <w:rFonts w:ascii="Arial" w:cs="Arial" w:eastAsia="Arial" w:hAnsi="Arial"/>
          <w:sz w:val="18"/>
          <w:szCs w:val="18"/>
          <w:color w:val="auto"/>
        </w:rPr>
        <w:t>Both domestically and abroad, we continue to monitor the potential impacts of the economic environment; the creditworthiness of our wholesalers and other customers, including foreign government-backed agencies and suppliers; the uncertain impact of health care legislation; various international government funding levels; and fluctuations in interest rates, foreign currency exchange rates (see "Executive Overview - Other Matters - Foreign Currency Exchange Rates"), and fair values of equity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6" w:right="37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auto"/>
        </w:rPr>
        <w:t>Financial Expectations</w:t>
      </w:r>
    </w:p>
    <w:p>
      <w:pPr>
        <w:spacing w:after="0" w:line="13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have updated certain elements of our 2021 financial guidance on a reported basis. The update to our 2021 financial guidance reflects the excess inventory charges related to our COVID-19 antibodies and acquired IPR&amp;D charge recognized during the three months ended June 30, 2021. The update also reflects acquired IPR&amp;D charges for Protomer Technologies Inc. and Kumquat Biosciences Inc.</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for 2021 are now expected to be in the range of $6.73 to $6.93.</w:t>
      </w:r>
    </w:p>
    <w:p>
      <w:pPr>
        <w:spacing w:after="0" w:line="11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now anticipate 2021 revenue to be between $26.8 billion and $27.4 billion. This modest change reflects an increase of $200 million in estimated revenue from products in our core business, reflecting strong performance and, to a lesser extent, the favorable impact of foreign exchange rates, and a reduction in estimated revenue from COVID-19 therapies, which is now expected to be in the range of $1.0 billion to $1.1 billion.</w:t>
      </w:r>
    </w:p>
    <w:p>
      <w:pPr>
        <w:spacing w:after="0" w:line="9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Gross margin as a percent of revenue for 2021 is now expected to be approximately 75 percent, reflecting the impact of the excess inventory charges for our COVID-19 antibodies. Research and development expenses for 2021 are unchanged and remain in the range of $6.9 billion to $7.1 billion. Marketing, selling, and administrative expenses for 2021 are unchanged and remain in the range of $6.2 billion to $6.4 billion. Other—net, (income) expense for 2021 is now expected to be income in the range of $375 million to $475 million, reflecting the impact of net investment gains on equity securities and the income from patent settlements in Europe for Alimta recognized during the three months ended June 30, 2021. The 2021 effective tax rate is now expected to be approximately 12 percent, reflecting primarily the tax impact of the excess inventory charges related to our COVID-19 antibodies.</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Available Information on our Website</w:t>
      </w:r>
    </w:p>
    <w:p>
      <w:pPr>
        <w:spacing w:after="0" w:line="193" w:lineRule="exact"/>
        <w:rPr>
          <w:sz w:val="20"/>
          <w:szCs w:val="20"/>
          <w:color w:val="auto"/>
        </w:rPr>
      </w:pPr>
    </w:p>
    <w:p>
      <w:pPr>
        <w:jc w:val="both"/>
        <w:ind w:right="140"/>
        <w:spacing w:after="0" w:line="254" w:lineRule="auto"/>
        <w:rPr>
          <w:sz w:val="20"/>
          <w:szCs w:val="20"/>
          <w:color w:val="auto"/>
        </w:rPr>
      </w:pPr>
      <w:r>
        <w:rPr>
          <w:rFonts w:ascii="Arial" w:cs="Arial" w:eastAsia="Arial" w:hAnsi="Arial"/>
          <w:sz w:val="18"/>
          <w:szCs w:val="18"/>
          <w:color w:val="auto"/>
        </w:rPr>
        <w:t>We make available through our company website, free of charge, our company filings with the Securities and Exchange Commission (SEC) as soon as reasonably practicable after we electronically file them with, or furnish them to, the SEC. The reports we make available include annual reports on Form 10-K, quarterly reports on Form 10-Q, current reports on Form 8-K, proxy statements, registration statements, and any amendments to those documents.</w:t>
      </w:r>
    </w:p>
    <w:p>
      <w:pPr>
        <w:spacing w:after="0" w:line="74"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 xml:space="preserve">The website link to our SEC filings is </w:t>
      </w:r>
      <w:r>
        <w:rPr>
          <w:rFonts w:ascii="Arial" w:cs="Arial" w:eastAsia="Arial" w:hAnsi="Arial"/>
          <w:sz w:val="18"/>
          <w:szCs w:val="18"/>
          <w:b w:val="1"/>
          <w:bCs w:val="1"/>
          <w:color w:val="auto"/>
        </w:rPr>
        <w:t>investor.lilly.com/financial-information/sec-filings</w:t>
      </w:r>
      <w:r>
        <w:rPr>
          <w:rFonts w:ascii="Arial" w:cs="Arial" w:eastAsia="Arial" w:hAnsi="Arial"/>
          <w:sz w:val="18"/>
          <w:szCs w:val="18"/>
          <w:color w:val="auto"/>
        </w:rPr>
        <w:t>. The information contained in, or that can be accessed through, our website is not a part of, or incorporated by reference in, this Quarterly Report.</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i w:val="1"/>
          <w:iCs w:val="1"/>
          <w:color w:val="auto"/>
        </w:rPr>
        <w:t>Item 4. Controls and Procedures</w:t>
      </w:r>
    </w:p>
    <w:p>
      <w:pPr>
        <w:spacing w:after="0" w:line="175" w:lineRule="exact"/>
        <w:rPr>
          <w:sz w:val="20"/>
          <w:szCs w:val="20"/>
          <w:color w:val="auto"/>
        </w:rPr>
      </w:pPr>
    </w:p>
    <w:p>
      <w:pPr>
        <w:ind w:left="660" w:hanging="652"/>
        <w:spacing w:after="0" w:line="258" w:lineRule="auto"/>
        <w:tabs>
          <w:tab w:leader="none" w:pos="65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Evaluation of Disclosure Controls and Procedures</w:t>
      </w:r>
      <w:r>
        <w:rPr>
          <w:rFonts w:ascii="Arial" w:cs="Arial" w:eastAsia="Arial" w:hAnsi="Arial"/>
          <w:sz w:val="18"/>
          <w:szCs w:val="18"/>
          <w:color w:val="auto"/>
        </w:rPr>
        <w:t>. Under applicable SEC regulations, management of a reporting company,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participation of the principal executive officer and principal financial officer, must periodically evaluate the company’s “disclosure controls and procedures,” which are defined generally as controls and other procedures of a reporting company designed to ensure that information required to be disclosed by the reporting company in its periodic reports filed with the SEC (such as this Quarterly Report on Form 10-Q) is recorded, processed, summarized, and reported on a timely basis.</w:t>
      </w:r>
    </w:p>
    <w:p>
      <w:pPr>
        <w:spacing w:after="0" w:line="93" w:lineRule="exact"/>
        <w:rPr>
          <w:rFonts w:ascii="Arial" w:cs="Arial" w:eastAsia="Arial" w:hAnsi="Arial"/>
          <w:sz w:val="18"/>
          <w:szCs w:val="18"/>
          <w:color w:val="auto"/>
        </w:rPr>
      </w:pPr>
    </w:p>
    <w:p>
      <w:pPr>
        <w:ind w:left="660" w:right="320"/>
        <w:spacing w:after="0" w:line="278" w:lineRule="auto"/>
        <w:rPr>
          <w:rFonts w:ascii="Arial" w:cs="Arial" w:eastAsia="Arial" w:hAnsi="Arial"/>
          <w:sz w:val="17"/>
          <w:szCs w:val="17"/>
          <w:color w:val="auto"/>
        </w:rPr>
      </w:pPr>
      <w:r>
        <w:rPr>
          <w:rFonts w:ascii="Arial" w:cs="Arial" w:eastAsia="Arial" w:hAnsi="Arial"/>
          <w:sz w:val="17"/>
          <w:szCs w:val="17"/>
          <w:color w:val="auto"/>
        </w:rPr>
        <w:t xml:space="preserve">Our management, with the participation of David A. Ricks, president and chief executive officer, and Anat Ashkenazi, senior vice president and chief financial officer, evaluated our disclosure controls and procedures (as such terms are defined in our Annual Report on </w:t>
      </w:r>
      <w:hyperlink r:id="rId14">
        <w:r>
          <w:rPr>
            <w:rFonts w:ascii="Arial" w:cs="Arial" w:eastAsia="Arial" w:hAnsi="Arial"/>
            <w:sz w:val="17"/>
            <w:szCs w:val="17"/>
            <w:u w:val="single" w:color="auto"/>
            <w:color w:val="0000FF"/>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year ended December 31, 2020) as of June 30, 2021, and concluded that they were effective.</w:t>
      </w:r>
    </w:p>
    <w:p>
      <w:pPr>
        <w:spacing w:after="0" w:line="58" w:lineRule="exact"/>
        <w:rPr>
          <w:rFonts w:ascii="Arial" w:cs="Arial" w:eastAsia="Arial" w:hAnsi="Arial"/>
          <w:sz w:val="17"/>
          <w:szCs w:val="17"/>
          <w:color w:val="auto"/>
        </w:rPr>
      </w:pPr>
    </w:p>
    <w:p>
      <w:pPr>
        <w:ind w:left="660" w:right="640" w:hanging="652"/>
        <w:spacing w:after="0" w:line="313" w:lineRule="auto"/>
        <w:tabs>
          <w:tab w:leader="none" w:pos="650" w:val="left"/>
        </w:tabs>
        <w:numPr>
          <w:ilvl w:val="0"/>
          <w:numId w:val="27"/>
        </w:numPr>
        <w:rPr>
          <w:rFonts w:ascii="Arial" w:cs="Arial" w:eastAsia="Arial" w:hAnsi="Arial"/>
          <w:sz w:val="17"/>
          <w:szCs w:val="17"/>
          <w:color w:val="auto"/>
        </w:rPr>
      </w:pPr>
      <w:r>
        <w:rPr>
          <w:rFonts w:ascii="Arial" w:cs="Arial" w:eastAsia="Arial" w:hAnsi="Arial"/>
          <w:sz w:val="17"/>
          <w:szCs w:val="17"/>
          <w:i w:val="1"/>
          <w:iCs w:val="1"/>
          <w:color w:val="auto"/>
        </w:rPr>
        <w:t>Changes in Internal Controls</w:t>
      </w:r>
      <w:r>
        <w:rPr>
          <w:rFonts w:ascii="Arial" w:cs="Arial" w:eastAsia="Arial" w:hAnsi="Arial"/>
          <w:sz w:val="17"/>
          <w:szCs w:val="17"/>
          <w:color w:val="auto"/>
        </w:rPr>
        <w:t>. During the second quarter of 2021, there were no changes in our internal control over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reporting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86" w:right="419" w:bottom="1440" w:gutter="0" w:footer="0" w:header="0"/>
        </w:sectPr>
      </w:pPr>
    </w:p>
    <w:bookmarkStart w:id="60" w:name="page61"/>
    <w:bookmarkEnd w:id="60"/>
    <w:p>
      <w:pPr>
        <w:spacing w:after="0"/>
        <w:rPr>
          <w:sz w:val="20"/>
          <w:szCs w:val="20"/>
          <w:color w:val="auto"/>
        </w:rPr>
      </w:pPr>
      <w:r>
        <w:rPr>
          <w:rFonts w:ascii="Arial" w:cs="Arial" w:eastAsia="Arial" w:hAnsi="Arial"/>
          <w:sz w:val="29"/>
          <w:szCs w:val="29"/>
          <w:u w:val="single" w:color="auto"/>
          <w:color w:val="auto"/>
        </w:rPr>
        <w:t>PART II. Other Information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Legal Proceedings</w:t>
      </w:r>
    </w:p>
    <w:p>
      <w:pPr>
        <w:spacing w:after="0" w:line="193"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We are a party to various currently pending legal actions, government investigations, and environmental proceedings. See Note 9 to the consolidated condensed financial statements for information on various legal proceedings.</w:t>
      </w:r>
    </w:p>
    <w:p>
      <w:pPr>
        <w:spacing w:after="0" w:line="90" w:lineRule="exact"/>
        <w:rPr>
          <w:sz w:val="20"/>
          <w:szCs w:val="20"/>
          <w:color w:val="auto"/>
        </w:rPr>
      </w:pPr>
    </w:p>
    <w:p>
      <w:pPr>
        <w:ind w:right="400"/>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This Item should be read in conjunction with "Legal Proceedings" in Part I, Item 3 of our Annual Report on </w:t>
      </w:r>
      <w:hyperlink r:id="rId14">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2020.</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1A. Risk Factors</w:t>
      </w:r>
    </w:p>
    <w:p>
      <w:pPr>
        <w:spacing w:after="0" w:line="193"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Our material risk factors are disclosed in "Risk Factors" in Part I, Item 1A of our Annual Report on </w:t>
      </w:r>
      <w:hyperlink r:id="rId14">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w:t>
      </w:r>
    </w:p>
    <w:p>
      <w:pPr>
        <w:spacing w:after="0" w:line="9"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December 31, 2020. There have been no material changes from the risk factors previously disclosed in our Annual Report on Form 10-K for the year ended December 31, 2020.</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 Unregistered Sales of Equity Securities and Use of Proceeds</w:t>
      </w:r>
    </w:p>
    <w:p>
      <w:pPr>
        <w:spacing w:after="0" w:line="193" w:lineRule="exact"/>
        <w:rPr>
          <w:sz w:val="20"/>
          <w:szCs w:val="20"/>
          <w:color w:val="auto"/>
        </w:rPr>
      </w:pPr>
    </w:p>
    <w:p>
      <w:pPr>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Information relating to the principal market for our common stock and related shareholder matters is described in "Management's Discussion and Analysis of Results of Operations and Financial Condition" in Part II, Item 7 and in "Security Ownership of Certain Beneficial Owners and Management and Related Stockholder Matters" in Part III, Item 12 of our Annual Report on </w:t>
      </w:r>
      <w:hyperlink r:id="rId14">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2020.</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repurchases of our equity securities during the three months ended June 30, 2021:</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300" w:type="dxa"/>
            <w:vAlign w:val="bottom"/>
          </w:tcPr>
          <w:p>
            <w:pPr>
              <w:spacing w:after="0"/>
              <w:rPr>
                <w:sz w:val="13"/>
                <w:szCs w:val="13"/>
                <w:color w:val="auto"/>
              </w:rPr>
            </w:pPr>
          </w:p>
        </w:tc>
        <w:tc>
          <w:tcPr>
            <w:tcW w:w="2160" w:type="dxa"/>
            <w:vAlign w:val="bottom"/>
          </w:tcPr>
          <w:p>
            <w:pPr>
              <w:jc w:val="center"/>
              <w:ind w:right="141"/>
              <w:spacing w:after="0"/>
              <w:rPr>
                <w:sz w:val="20"/>
                <w:szCs w:val="20"/>
                <w:color w:val="auto"/>
              </w:rPr>
            </w:pPr>
            <w:r>
              <w:rPr>
                <w:rFonts w:ascii="Arial" w:cs="Arial" w:eastAsia="Arial" w:hAnsi="Arial"/>
                <w:sz w:val="14"/>
                <w:szCs w:val="14"/>
                <w:b w:val="1"/>
                <w:bCs w:val="1"/>
                <w:color w:val="auto"/>
              </w:rPr>
              <w:t>Approximate Dollar Value</w:t>
            </w:r>
          </w:p>
        </w:tc>
        <w:tc>
          <w:tcPr>
            <w:tcW w:w="0" w:type="dxa"/>
            <w:vAlign w:val="bottom"/>
          </w:tcPr>
          <w:p>
            <w:pPr>
              <w:spacing w:after="0"/>
              <w:rPr>
                <w:sz w:val="1"/>
                <w:szCs w:val="1"/>
                <w:color w:val="auto"/>
              </w:rPr>
            </w:pPr>
          </w:p>
        </w:tc>
      </w:tr>
      <w:tr>
        <w:trPr>
          <w:trHeight w:val="135"/>
        </w:trPr>
        <w:tc>
          <w:tcPr>
            <w:tcW w:w="2700" w:type="dxa"/>
            <w:vAlign w:val="bottom"/>
          </w:tcPr>
          <w:p>
            <w:pPr>
              <w:spacing w:after="0"/>
              <w:rPr>
                <w:sz w:val="11"/>
                <w:szCs w:val="11"/>
                <w:color w:val="auto"/>
              </w:rPr>
            </w:pPr>
          </w:p>
        </w:tc>
        <w:tc>
          <w:tcPr>
            <w:tcW w:w="17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Total Number of</w:t>
            </w:r>
          </w:p>
        </w:tc>
        <w:tc>
          <w:tcPr>
            <w:tcW w:w="2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3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Purchased as Part of</w:t>
            </w:r>
          </w:p>
        </w:tc>
        <w:tc>
          <w:tcPr>
            <w:tcW w:w="300" w:type="dxa"/>
            <w:vAlign w:val="bottom"/>
          </w:tcPr>
          <w:p>
            <w:pPr>
              <w:spacing w:after="0"/>
              <w:rPr>
                <w:sz w:val="11"/>
                <w:szCs w:val="11"/>
                <w:color w:val="auto"/>
              </w:rPr>
            </w:pPr>
          </w:p>
        </w:tc>
        <w:tc>
          <w:tcPr>
            <w:tcW w:w="2160" w:type="dxa"/>
            <w:vAlign w:val="bottom"/>
          </w:tcPr>
          <w:p>
            <w:pPr>
              <w:jc w:val="center"/>
              <w:ind w:right="161"/>
              <w:spacing w:after="0" w:line="135" w:lineRule="exact"/>
              <w:rPr>
                <w:sz w:val="20"/>
                <w:szCs w:val="20"/>
                <w:color w:val="auto"/>
              </w:rPr>
            </w:pPr>
            <w:r>
              <w:rPr>
                <w:rFonts w:ascii="Arial" w:cs="Arial" w:eastAsia="Arial" w:hAnsi="Arial"/>
                <w:sz w:val="14"/>
                <w:szCs w:val="14"/>
                <w:b w:val="1"/>
                <w:bCs w:val="1"/>
                <w:color w:val="auto"/>
              </w:rPr>
              <w:t>of Shares that May Yet Be</w:t>
            </w:r>
          </w:p>
        </w:tc>
        <w:tc>
          <w:tcPr>
            <w:tcW w:w="0" w:type="dxa"/>
            <w:vAlign w:val="bottom"/>
          </w:tcPr>
          <w:p>
            <w:pPr>
              <w:spacing w:after="0"/>
              <w:rPr>
                <w:sz w:val="1"/>
                <w:szCs w:val="1"/>
                <w:color w:val="auto"/>
              </w:rPr>
            </w:pPr>
          </w:p>
        </w:tc>
      </w:tr>
      <w:tr>
        <w:trPr>
          <w:trHeight w:val="135"/>
        </w:trPr>
        <w:tc>
          <w:tcPr>
            <w:tcW w:w="2700" w:type="dxa"/>
            <w:vAlign w:val="bottom"/>
          </w:tcPr>
          <w:p>
            <w:pPr>
              <w:spacing w:after="0"/>
              <w:rPr>
                <w:sz w:val="11"/>
                <w:szCs w:val="11"/>
                <w:color w:val="auto"/>
              </w:rPr>
            </w:pPr>
          </w:p>
        </w:tc>
        <w:tc>
          <w:tcPr>
            <w:tcW w:w="174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72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Average Price Paid</w:t>
            </w:r>
          </w:p>
        </w:tc>
        <w:tc>
          <w:tcPr>
            <w:tcW w:w="23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Publicly Announced</w:t>
            </w:r>
          </w:p>
        </w:tc>
        <w:tc>
          <w:tcPr>
            <w:tcW w:w="300" w:type="dxa"/>
            <w:vAlign w:val="bottom"/>
          </w:tcPr>
          <w:p>
            <w:pPr>
              <w:spacing w:after="0"/>
              <w:rPr>
                <w:sz w:val="11"/>
                <w:szCs w:val="11"/>
                <w:color w:val="auto"/>
              </w:rPr>
            </w:pPr>
          </w:p>
        </w:tc>
        <w:tc>
          <w:tcPr>
            <w:tcW w:w="2160" w:type="dxa"/>
            <w:vAlign w:val="bottom"/>
          </w:tcPr>
          <w:p>
            <w:pPr>
              <w:jc w:val="center"/>
              <w:ind w:right="161"/>
              <w:spacing w:after="0" w:line="135" w:lineRule="exact"/>
              <w:rPr>
                <w:sz w:val="20"/>
                <w:szCs w:val="20"/>
                <w:color w:val="auto"/>
              </w:rPr>
            </w:pPr>
            <w:r>
              <w:rPr>
                <w:rFonts w:ascii="Arial" w:cs="Arial" w:eastAsia="Arial" w:hAnsi="Arial"/>
                <w:sz w:val="14"/>
                <w:szCs w:val="14"/>
                <w:b w:val="1"/>
                <w:bCs w:val="1"/>
                <w:color w:val="auto"/>
              </w:rPr>
              <w:t>Purchased Under the</w:t>
            </w:r>
          </w:p>
        </w:tc>
        <w:tc>
          <w:tcPr>
            <w:tcW w:w="0" w:type="dxa"/>
            <w:vAlign w:val="bottom"/>
          </w:tcPr>
          <w:p>
            <w:pPr>
              <w:spacing w:after="0"/>
              <w:rPr>
                <w:sz w:val="1"/>
                <w:szCs w:val="1"/>
                <w:color w:val="auto"/>
              </w:rPr>
            </w:pPr>
          </w:p>
        </w:tc>
      </w:tr>
      <w:tr>
        <w:trPr>
          <w:trHeight w:val="135"/>
        </w:trPr>
        <w:tc>
          <w:tcPr>
            <w:tcW w:w="2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7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Shares Purchased</w:t>
            </w:r>
          </w:p>
        </w:tc>
        <w:tc>
          <w:tcPr>
            <w:tcW w:w="280" w:type="dxa"/>
            <w:vAlign w:val="bottom"/>
          </w:tcPr>
          <w:p>
            <w:pPr>
              <w:spacing w:after="0"/>
              <w:rPr>
                <w:sz w:val="11"/>
                <w:szCs w:val="11"/>
                <w:color w:val="auto"/>
              </w:rPr>
            </w:pPr>
          </w:p>
        </w:tc>
        <w:tc>
          <w:tcPr>
            <w:tcW w:w="1720" w:type="dxa"/>
            <w:vAlign w:val="bottom"/>
            <w:vMerge w:val="continue"/>
          </w:tcPr>
          <w:p>
            <w:pPr>
              <w:spacing w:after="0"/>
              <w:rPr>
                <w:sz w:val="11"/>
                <w:szCs w:val="11"/>
                <w:color w:val="auto"/>
              </w:rPr>
            </w:pPr>
          </w:p>
        </w:tc>
        <w:tc>
          <w:tcPr>
            <w:tcW w:w="23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Plans or Programs</w:t>
            </w:r>
          </w:p>
        </w:tc>
        <w:tc>
          <w:tcPr>
            <w:tcW w:w="300" w:type="dxa"/>
            <w:vAlign w:val="bottom"/>
          </w:tcPr>
          <w:p>
            <w:pPr>
              <w:spacing w:after="0"/>
              <w:rPr>
                <w:sz w:val="11"/>
                <w:szCs w:val="11"/>
                <w:color w:val="auto"/>
              </w:rPr>
            </w:pPr>
          </w:p>
        </w:tc>
        <w:tc>
          <w:tcPr>
            <w:tcW w:w="2160" w:type="dxa"/>
            <w:vAlign w:val="bottom"/>
          </w:tcPr>
          <w:p>
            <w:pPr>
              <w:jc w:val="center"/>
              <w:ind w:right="121"/>
              <w:spacing w:after="0" w:line="135" w:lineRule="exact"/>
              <w:rPr>
                <w:sz w:val="20"/>
                <w:szCs w:val="20"/>
                <w:color w:val="auto"/>
              </w:rPr>
            </w:pPr>
            <w:r>
              <w:rPr>
                <w:rFonts w:ascii="Arial" w:cs="Arial" w:eastAsia="Arial" w:hAnsi="Arial"/>
                <w:sz w:val="14"/>
                <w:szCs w:val="14"/>
                <w:b w:val="1"/>
                <w:bCs w:val="1"/>
                <w:color w:val="auto"/>
              </w:rPr>
              <w:t>Plans or Programs</w:t>
            </w:r>
          </w:p>
        </w:tc>
        <w:tc>
          <w:tcPr>
            <w:tcW w:w="0" w:type="dxa"/>
            <w:vAlign w:val="bottom"/>
          </w:tcPr>
          <w:p>
            <w:pPr>
              <w:spacing w:after="0"/>
              <w:rPr>
                <w:sz w:val="1"/>
                <w:szCs w:val="1"/>
                <w:color w:val="auto"/>
              </w:rPr>
            </w:pPr>
          </w:p>
        </w:tc>
      </w:tr>
      <w:tr>
        <w:trPr>
          <w:trHeight w:val="175"/>
        </w:trPr>
        <w:tc>
          <w:tcPr>
            <w:tcW w:w="2700" w:type="dxa"/>
            <w:vAlign w:val="bottom"/>
            <w:tcBorders>
              <w:bottom w:val="single" w:sz="8" w:color="auto"/>
            </w:tcBorders>
            <w:vMerge w:val="continue"/>
          </w:tcPr>
          <w:p>
            <w:pPr>
              <w:spacing w:after="0"/>
              <w:rPr>
                <w:sz w:val="15"/>
                <w:szCs w:val="15"/>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per Share</w:t>
            </w: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23"/>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2021</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202.67</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555.1</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May 2021</w:t>
            </w: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72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23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160" w:type="dxa"/>
            <w:vAlign w:val="bottom"/>
          </w:tcPr>
          <w:p>
            <w:pPr>
              <w:jc w:val="right"/>
              <w:ind w:right="1"/>
              <w:spacing w:after="0"/>
              <w:rPr>
                <w:sz w:val="20"/>
                <w:szCs w:val="20"/>
                <w:color w:val="auto"/>
              </w:rPr>
            </w:pPr>
            <w:r>
              <w:rPr>
                <w:rFonts w:ascii="Arial" w:cs="Arial" w:eastAsia="Arial" w:hAnsi="Arial"/>
                <w:sz w:val="18"/>
                <w:szCs w:val="18"/>
                <w:color w:val="auto"/>
              </w:rPr>
              <w:t>5,555.1</w:t>
            </w: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2021</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202.67</w:t>
            </w: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300" w:type="dxa"/>
            <w:vAlign w:val="bottom"/>
            <w:shd w:val="clear" w:color="auto" w:fill="CCEEFF"/>
          </w:tcPr>
          <w:p>
            <w:pPr>
              <w:spacing w:after="0"/>
              <w:rPr>
                <w:sz w:val="19"/>
                <w:szCs w:val="19"/>
                <w:color w:val="auto"/>
              </w:rPr>
            </w:pPr>
          </w:p>
        </w:tc>
        <w:tc>
          <w:tcPr>
            <w:tcW w:w="21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5,500.0</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Total</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2,467</w:t>
            </w:r>
          </w:p>
        </w:tc>
        <w:tc>
          <w:tcPr>
            <w:tcW w:w="280" w:type="dxa"/>
            <w:vAlign w:val="bottom"/>
          </w:tcPr>
          <w:p>
            <w:pPr>
              <w:spacing w:after="0"/>
              <w:rPr>
                <w:sz w:val="20"/>
                <w:szCs w:val="20"/>
                <w:color w:val="auto"/>
              </w:rPr>
            </w:pPr>
          </w:p>
        </w:tc>
        <w:tc>
          <w:tcPr>
            <w:tcW w:w="172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2,467</w:t>
            </w:r>
          </w:p>
        </w:tc>
        <w:tc>
          <w:tcPr>
            <w:tcW w:w="3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During the three months ended June 30, 2021, we repurchased $500.0 million of shares under our $8.00 billion share repurchase program authorized in June 2018. A $5.00 billion share repurchase program was authorized in May 2021. There were no shares repurchased under the $5.00 billion share repurchase program during the three months ended June 30, 2021.</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05" w:right="35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t>Item 6. Exhibits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a part of this Quarterly Report:</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44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8640" w:type="dxa"/>
            <w:vAlign w:val="bottom"/>
            <w:gridSpan w:val="9"/>
          </w:tcPr>
          <w:p>
            <w:pPr>
              <w:spacing w:after="0"/>
              <w:rPr>
                <w:sz w:val="20"/>
                <w:szCs w:val="20"/>
                <w:color w:val="auto"/>
              </w:rPr>
            </w:pPr>
            <w:r>
              <w:rPr>
                <w:rFonts w:ascii="Arial" w:cs="Arial" w:eastAsia="Arial" w:hAnsi="Arial"/>
                <w:sz w:val="18"/>
                <w:szCs w:val="18"/>
                <w:color w:val="auto"/>
              </w:rPr>
              <w:t>Description</w:t>
            </w:r>
          </w:p>
        </w:tc>
      </w:tr>
      <w:tr>
        <w:trPr>
          <w:trHeight w:val="20"/>
        </w:trPr>
        <w:tc>
          <w:tcPr>
            <w:tcW w:w="54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440" w:type="dxa"/>
            <w:vAlign w:val="bottom"/>
            <w:gridSpan w:val="2"/>
          </w:tcPr>
          <w:p>
            <w:pPr>
              <w:spacing w:after="0"/>
              <w:rPr>
                <w:sz w:val="20"/>
                <w:szCs w:val="20"/>
                <w:color w:val="auto"/>
              </w:rPr>
            </w:pPr>
            <w:r>
              <w:rPr>
                <w:rFonts w:ascii="Arial" w:cs="Arial" w:eastAsia="Arial" w:hAnsi="Arial"/>
                <w:sz w:val="18"/>
                <w:szCs w:val="18"/>
                <w:color w:val="auto"/>
              </w:rPr>
              <w:t>EXHIBIT 3.1</w:t>
            </w:r>
          </w:p>
        </w:tc>
        <w:tc>
          <w:tcPr>
            <w:tcW w:w="8640" w:type="dxa"/>
            <w:vAlign w:val="bottom"/>
            <w:gridSpan w:val="9"/>
          </w:tcPr>
          <w:p>
            <w:pPr>
              <w:spacing w:after="0"/>
              <w:rPr>
                <w:rFonts w:ascii="Arial" w:cs="Arial" w:eastAsia="Arial" w:hAnsi="Arial"/>
                <w:sz w:val="18"/>
                <w:szCs w:val="18"/>
                <w:color w:val="0000FF"/>
              </w:rPr>
            </w:pPr>
            <w:hyperlink r:id="rId88">
              <w:r>
                <w:rPr>
                  <w:rFonts w:ascii="Arial" w:cs="Arial" w:eastAsia="Arial" w:hAnsi="Arial"/>
                  <w:sz w:val="18"/>
                  <w:szCs w:val="18"/>
                  <w:color w:val="0000FF"/>
                </w:rPr>
                <w:t>Amended Articles of Incorporation are incorporated by reference to Exhibit 3.1 to the Company's Annual</w:t>
              </w:r>
            </w:hyperlink>
          </w:p>
        </w:tc>
      </w:tr>
      <w:tr>
        <w:trPr>
          <w:trHeight w:val="156"/>
        </w:trPr>
        <w:tc>
          <w:tcPr>
            <w:tcW w:w="5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826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r:id="rId88">
              <w:r>
                <w:rPr>
                  <w:rFonts w:ascii="Arial" w:cs="Arial" w:eastAsia="Arial" w:hAnsi="Arial"/>
                  <w:sz w:val="18"/>
                  <w:szCs w:val="18"/>
                  <w:color w:val="0000FF"/>
                </w:rPr>
                <w:t>Report on Form 10-K for the year ended December 31, 2013</w:t>
              </w:r>
            </w:hyperlink>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2440" w:type="dxa"/>
            <w:vAlign w:val="bottom"/>
            <w:gridSpan w:val="2"/>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9"/>
        </w:trPr>
        <w:tc>
          <w:tcPr>
            <w:tcW w:w="2440" w:type="dxa"/>
            <w:vAlign w:val="bottom"/>
            <w:gridSpan w:val="2"/>
          </w:tcPr>
          <w:p>
            <w:pPr>
              <w:spacing w:after="0"/>
              <w:rPr>
                <w:sz w:val="20"/>
                <w:szCs w:val="20"/>
                <w:color w:val="auto"/>
              </w:rPr>
            </w:pPr>
            <w:r>
              <w:rPr>
                <w:rFonts w:ascii="Arial" w:cs="Arial" w:eastAsia="Arial" w:hAnsi="Arial"/>
                <w:sz w:val="18"/>
                <w:szCs w:val="18"/>
                <w:color w:val="auto"/>
              </w:rPr>
              <w:t>EXHIBIT 3.2</w:t>
            </w:r>
          </w:p>
        </w:tc>
        <w:tc>
          <w:tcPr>
            <w:tcW w:w="8640" w:type="dxa"/>
            <w:vAlign w:val="bottom"/>
            <w:gridSpan w:val="9"/>
          </w:tcPr>
          <w:p>
            <w:pPr>
              <w:spacing w:after="0"/>
              <w:rPr>
                <w:rFonts w:ascii="Arial" w:cs="Arial" w:eastAsia="Arial" w:hAnsi="Arial"/>
                <w:sz w:val="18"/>
                <w:szCs w:val="18"/>
                <w:color w:val="0000FF"/>
              </w:rPr>
            </w:pPr>
            <w:hyperlink r:id="rId89">
              <w:r>
                <w:rPr>
                  <w:rFonts w:ascii="Arial" w:cs="Arial" w:eastAsia="Arial" w:hAnsi="Arial"/>
                  <w:sz w:val="18"/>
                  <w:szCs w:val="18"/>
                  <w:color w:val="0000FF"/>
                </w:rPr>
                <w:t>Bylaws, as amended, are incorporated by reference to Exhibit 3.1 to the Company's Current Report on Form</w:t>
              </w:r>
            </w:hyperlink>
          </w:p>
        </w:tc>
      </w:tr>
      <w:tr>
        <w:trPr>
          <w:trHeight w:val="156"/>
        </w:trPr>
        <w:tc>
          <w:tcPr>
            <w:tcW w:w="5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862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r:id="rId89">
              <w:r>
                <w:rPr>
                  <w:rFonts w:ascii="Arial" w:cs="Arial" w:eastAsia="Arial" w:hAnsi="Arial"/>
                  <w:sz w:val="18"/>
                  <w:szCs w:val="18"/>
                  <w:color w:val="0000FF"/>
                </w:rPr>
                <w:t>8-K filed on February 9, 2021</w:t>
              </w:r>
            </w:hyperlink>
          </w:p>
        </w:tc>
        <w:tc>
          <w:tcPr>
            <w:tcW w:w="20" w:type="dxa"/>
            <w:vAlign w:val="bottom"/>
          </w:tcPr>
          <w:p>
            <w:pPr>
              <w:spacing w:after="0"/>
              <w:rPr>
                <w:sz w:val="13"/>
                <w:szCs w:val="13"/>
                <w:color w:val="auto"/>
              </w:rPr>
            </w:pPr>
          </w:p>
        </w:tc>
      </w:tr>
      <w:tr>
        <w:trPr>
          <w:trHeight w:val="20"/>
        </w:trPr>
        <w:tc>
          <w:tcPr>
            <w:tcW w:w="2440" w:type="dxa"/>
            <w:vAlign w:val="bottom"/>
            <w:gridSpan w:val="2"/>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r>
      <w:tr>
        <w:trPr>
          <w:trHeight w:val="479"/>
        </w:trPr>
        <w:tc>
          <w:tcPr>
            <w:tcW w:w="2440" w:type="dxa"/>
            <w:vAlign w:val="bottom"/>
            <w:gridSpan w:val="2"/>
          </w:tcPr>
          <w:p>
            <w:pPr>
              <w:spacing w:after="0"/>
              <w:rPr>
                <w:sz w:val="20"/>
                <w:szCs w:val="20"/>
                <w:color w:val="auto"/>
              </w:rPr>
            </w:pPr>
            <w:r>
              <w:rPr>
                <w:rFonts w:ascii="Arial" w:cs="Arial" w:eastAsia="Arial" w:hAnsi="Arial"/>
                <w:sz w:val="18"/>
                <w:szCs w:val="18"/>
                <w:color w:val="auto"/>
              </w:rPr>
              <w:t>EXHIBIT 31.1</w:t>
            </w:r>
          </w:p>
        </w:tc>
        <w:tc>
          <w:tcPr>
            <w:tcW w:w="7640" w:type="dxa"/>
            <w:vAlign w:val="bottom"/>
            <w:tcBorders>
              <w:bottom w:val="single" w:sz="8" w:color="0000FF"/>
            </w:tcBorders>
            <w:gridSpan w:val="5"/>
          </w:tcPr>
          <w:p>
            <w:pPr>
              <w:spacing w:after="0"/>
              <w:rPr>
                <w:rFonts w:ascii="Arial" w:cs="Arial" w:eastAsia="Arial" w:hAnsi="Arial"/>
                <w:sz w:val="18"/>
                <w:szCs w:val="18"/>
                <w:color w:val="0000FF"/>
                <w:w w:val="99"/>
              </w:rPr>
            </w:pPr>
            <w:hyperlink w:anchor="page63">
              <w:r>
                <w:rPr>
                  <w:rFonts w:ascii="Arial" w:cs="Arial" w:eastAsia="Arial" w:hAnsi="Arial"/>
                  <w:sz w:val="18"/>
                  <w:szCs w:val="18"/>
                  <w:color w:val="0000FF"/>
                  <w:w w:val="99"/>
                </w:rPr>
                <w:t>Rule 13a-14(a) Certification of David A. Ricks, Chairman, President, and Chief Executive Officer</w:t>
              </w:r>
            </w:hyperlink>
          </w:p>
        </w:tc>
        <w:tc>
          <w:tcPr>
            <w:tcW w:w="1000" w:type="dxa"/>
            <w:vAlign w:val="bottom"/>
            <w:gridSpan w:val="4"/>
          </w:tcPr>
          <w:p>
            <w:pPr>
              <w:spacing w:after="0"/>
              <w:rPr>
                <w:sz w:val="24"/>
                <w:szCs w:val="24"/>
                <w:color w:val="auto"/>
              </w:rPr>
            </w:pPr>
          </w:p>
        </w:tc>
      </w:tr>
      <w:tr>
        <w:trPr>
          <w:trHeight w:val="480"/>
        </w:trPr>
        <w:tc>
          <w:tcPr>
            <w:tcW w:w="2440" w:type="dxa"/>
            <w:vAlign w:val="bottom"/>
            <w:gridSpan w:val="2"/>
          </w:tcPr>
          <w:p>
            <w:pPr>
              <w:spacing w:after="0"/>
              <w:rPr>
                <w:sz w:val="20"/>
                <w:szCs w:val="20"/>
                <w:color w:val="auto"/>
              </w:rPr>
            </w:pPr>
            <w:r>
              <w:rPr>
                <w:rFonts w:ascii="Arial" w:cs="Arial" w:eastAsia="Arial" w:hAnsi="Arial"/>
                <w:sz w:val="18"/>
                <w:szCs w:val="18"/>
                <w:color w:val="auto"/>
              </w:rPr>
              <w:t>EXHIBIT 31.2</w:t>
            </w:r>
          </w:p>
        </w:tc>
        <w:tc>
          <w:tcPr>
            <w:tcW w:w="7700" w:type="dxa"/>
            <w:vAlign w:val="bottom"/>
            <w:tcBorders>
              <w:bottom w:val="single" w:sz="8" w:color="0000FF"/>
            </w:tcBorders>
            <w:gridSpan w:val="6"/>
          </w:tcPr>
          <w:p>
            <w:pPr>
              <w:spacing w:after="0"/>
              <w:rPr>
                <w:rFonts w:ascii="Arial" w:cs="Arial" w:eastAsia="Arial" w:hAnsi="Arial"/>
                <w:sz w:val="18"/>
                <w:szCs w:val="18"/>
                <w:color w:val="0000FF"/>
                <w:w w:val="99"/>
              </w:rPr>
            </w:pPr>
            <w:hyperlink w:anchor="page64">
              <w:r>
                <w:rPr>
                  <w:rFonts w:ascii="Arial" w:cs="Arial" w:eastAsia="Arial" w:hAnsi="Arial"/>
                  <w:sz w:val="18"/>
                  <w:szCs w:val="18"/>
                  <w:color w:val="0000FF"/>
                  <w:w w:val="99"/>
                </w:rPr>
                <w:t>Rule 13a-14(a) Certification of Anat Ashkenazi, Senior Vice President and Chief Financial Officer</w:t>
              </w:r>
            </w:hyperlink>
          </w:p>
        </w:tc>
        <w:tc>
          <w:tcPr>
            <w:tcW w:w="940" w:type="dxa"/>
            <w:vAlign w:val="bottom"/>
            <w:gridSpan w:val="3"/>
          </w:tcPr>
          <w:p>
            <w:pPr>
              <w:spacing w:after="0"/>
              <w:rPr>
                <w:sz w:val="24"/>
                <w:szCs w:val="24"/>
                <w:color w:val="auto"/>
              </w:rPr>
            </w:pPr>
          </w:p>
        </w:tc>
      </w:tr>
      <w:tr>
        <w:trPr>
          <w:trHeight w:val="479"/>
        </w:trPr>
        <w:tc>
          <w:tcPr>
            <w:tcW w:w="2440" w:type="dxa"/>
            <w:vAlign w:val="bottom"/>
            <w:gridSpan w:val="2"/>
          </w:tcPr>
          <w:p>
            <w:pPr>
              <w:spacing w:after="0"/>
              <w:rPr>
                <w:sz w:val="20"/>
                <w:szCs w:val="20"/>
                <w:color w:val="auto"/>
              </w:rPr>
            </w:pPr>
            <w:r>
              <w:rPr>
                <w:rFonts w:ascii="Arial" w:cs="Arial" w:eastAsia="Arial" w:hAnsi="Arial"/>
                <w:sz w:val="18"/>
                <w:szCs w:val="18"/>
                <w:color w:val="auto"/>
              </w:rPr>
              <w:t>EXHIBIT 32.</w:t>
            </w:r>
          </w:p>
        </w:tc>
        <w:tc>
          <w:tcPr>
            <w:tcW w:w="8640" w:type="dxa"/>
            <w:vAlign w:val="bottom"/>
            <w:gridSpan w:val="9"/>
          </w:tcPr>
          <w:p>
            <w:pPr>
              <w:spacing w:after="0"/>
              <w:rPr>
                <w:rFonts w:ascii="Arial" w:cs="Arial" w:eastAsia="Arial" w:hAnsi="Arial"/>
                <w:sz w:val="18"/>
                <w:szCs w:val="18"/>
                <w:color w:val="0000FF"/>
              </w:rPr>
            </w:pPr>
            <w:hyperlink w:anchor="page65">
              <w:r>
                <w:rPr>
                  <w:rFonts w:ascii="Arial" w:cs="Arial" w:eastAsia="Arial" w:hAnsi="Arial"/>
                  <w:sz w:val="18"/>
                  <w:szCs w:val="18"/>
                  <w:color w:val="0000FF"/>
                </w:rPr>
                <w:t>Section 1350 Certification</w:t>
              </w:r>
            </w:hyperlink>
          </w:p>
        </w:tc>
      </w:tr>
      <w:tr>
        <w:trPr>
          <w:trHeight w:val="20"/>
        </w:trPr>
        <w:tc>
          <w:tcPr>
            <w:tcW w:w="2440" w:type="dxa"/>
            <w:vAlign w:val="bottom"/>
            <w:gridSpan w:val="2"/>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6600" w:type="dxa"/>
            <w:vAlign w:val="bottom"/>
            <w:gridSpan w:val="7"/>
          </w:tcPr>
          <w:p>
            <w:pPr>
              <w:spacing w:after="0" w:line="20" w:lineRule="exact"/>
              <w:rPr>
                <w:sz w:val="1"/>
                <w:szCs w:val="1"/>
                <w:color w:val="auto"/>
              </w:rPr>
            </w:pPr>
          </w:p>
        </w:tc>
      </w:tr>
      <w:tr>
        <w:trPr>
          <w:trHeight w:val="520"/>
        </w:trPr>
        <w:tc>
          <w:tcPr>
            <w:tcW w:w="2440" w:type="dxa"/>
            <w:vAlign w:val="bottom"/>
            <w:gridSpan w:val="2"/>
          </w:tcPr>
          <w:p>
            <w:pPr>
              <w:spacing w:after="0"/>
              <w:rPr>
                <w:sz w:val="20"/>
                <w:szCs w:val="20"/>
                <w:color w:val="auto"/>
              </w:rPr>
            </w:pPr>
            <w:r>
              <w:rPr>
                <w:rFonts w:ascii="Arial" w:cs="Arial" w:eastAsia="Arial" w:hAnsi="Arial"/>
                <w:sz w:val="18"/>
                <w:szCs w:val="18"/>
                <w:color w:val="auto"/>
              </w:rPr>
              <w:t>EXHIBIT 101.</w:t>
            </w:r>
          </w:p>
        </w:tc>
        <w:tc>
          <w:tcPr>
            <w:tcW w:w="8640" w:type="dxa"/>
            <w:vAlign w:val="bottom"/>
            <w:gridSpan w:val="9"/>
          </w:tcPr>
          <w:p>
            <w:pPr>
              <w:spacing w:after="0"/>
              <w:rPr>
                <w:sz w:val="20"/>
                <w:szCs w:val="20"/>
                <w:color w:val="auto"/>
              </w:rPr>
            </w:pPr>
            <w:r>
              <w:rPr>
                <w:rFonts w:ascii="Arial" w:cs="Arial" w:eastAsia="Arial" w:hAnsi="Arial"/>
                <w:sz w:val="18"/>
                <w:szCs w:val="18"/>
                <w:color w:val="auto"/>
              </w:rPr>
              <w:t>Interactive Data Files (embedded within the Inline XBRL document)</w:t>
            </w:r>
          </w:p>
        </w:tc>
      </w:tr>
      <w:tr>
        <w:trPr>
          <w:trHeight w:val="499"/>
        </w:trPr>
        <w:tc>
          <w:tcPr>
            <w:tcW w:w="2440" w:type="dxa"/>
            <w:vAlign w:val="bottom"/>
            <w:gridSpan w:val="2"/>
          </w:tcPr>
          <w:p>
            <w:pPr>
              <w:spacing w:after="0"/>
              <w:rPr>
                <w:sz w:val="20"/>
                <w:szCs w:val="20"/>
                <w:color w:val="auto"/>
              </w:rPr>
            </w:pPr>
            <w:r>
              <w:rPr>
                <w:rFonts w:ascii="Arial" w:cs="Arial" w:eastAsia="Arial" w:hAnsi="Arial"/>
                <w:sz w:val="18"/>
                <w:szCs w:val="18"/>
                <w:color w:val="auto"/>
              </w:rPr>
              <w:t>EXHIBIT 104.</w:t>
            </w:r>
          </w:p>
        </w:tc>
        <w:tc>
          <w:tcPr>
            <w:tcW w:w="8640" w:type="dxa"/>
            <w:vAlign w:val="bottom"/>
            <w:gridSpan w:val="9"/>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96" w:lineRule="exact"/>
        <w:rPr>
          <w:sz w:val="20"/>
          <w:szCs w:val="20"/>
          <w:color w:val="auto"/>
        </w:rPr>
      </w:pPr>
    </w:p>
    <w:p>
      <w:pPr>
        <w:ind w:firstLine="8"/>
        <w:spacing w:after="0" w:line="246" w:lineRule="auto"/>
        <w:tabs>
          <w:tab w:leader="none" w:pos="21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Long-term debt instruments under which the total amount of securities authorized does not exceed 10% of our consolidated assets are not filed as exhibits to this Quarterly Report. We will furnish a copy of these agreements to the SEC upon request.</w:t>
      </w: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79" w:lineRule="exact"/>
        <w:rPr>
          <w:sz w:val="20"/>
          <w:szCs w:val="20"/>
          <w:color w:val="auto"/>
        </w:rPr>
      </w:pPr>
    </w:p>
    <w:p>
      <w:pPr>
        <w:ind w:left="2520"/>
        <w:spacing w:after="0"/>
        <w:rPr>
          <w:sz w:val="20"/>
          <w:szCs w:val="20"/>
          <w:color w:val="auto"/>
        </w:rPr>
      </w:pPr>
      <w:r>
        <w:rPr>
          <w:rFonts w:ascii="Arial" w:cs="Arial" w:eastAsia="Arial" w:hAnsi="Arial"/>
          <w:sz w:val="18"/>
          <w:szCs w:val="18"/>
          <w:u w:val="single" w:color="auto"/>
          <w:color w:val="auto"/>
        </w:rPr>
        <w:t>ELI LILLY AND COMPANY</w:t>
      </w:r>
    </w:p>
    <w:p>
      <w:pPr>
        <w:spacing w:after="0" w:line="23"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(Registrant)</w:t>
      </w:r>
    </w:p>
    <w:p>
      <w:pPr>
        <w:spacing w:after="0" w:line="293" w:lineRule="exact"/>
        <w:rPr>
          <w:sz w:val="20"/>
          <w:szCs w:val="20"/>
          <w:color w:val="auto"/>
        </w:rPr>
      </w:pPr>
    </w:p>
    <w:p>
      <w:pPr>
        <w:ind w:left="20"/>
        <w:spacing w:after="0"/>
        <w:tabs>
          <w:tab w:leader="none" w:pos="660" w:val="left"/>
          <w:tab w:leader="none" w:pos="2500" w:val="left"/>
        </w:tabs>
        <w:rPr>
          <w:sz w:val="20"/>
          <w:szCs w:val="20"/>
          <w:color w:val="auto"/>
        </w:rPr>
      </w:pPr>
      <w:r>
        <w:rPr>
          <w:rFonts w:ascii="Arial" w:cs="Arial" w:eastAsia="Arial" w:hAnsi="Arial"/>
          <w:sz w:val="18"/>
          <w:szCs w:val="18"/>
          <w:color w:val="auto"/>
        </w:rPr>
        <w:t>Date:</w:t>
        <w:tab/>
        <w:t>August 3, 2021</w:t>
      </w:r>
      <w:r>
        <w:rPr>
          <w:sz w:val="20"/>
          <w:szCs w:val="20"/>
          <w:color w:val="auto"/>
        </w:rPr>
        <w:tab/>
      </w:r>
      <w:r>
        <w:rPr>
          <w:rFonts w:ascii="Arial" w:cs="Arial" w:eastAsia="Arial" w:hAnsi="Arial"/>
          <w:sz w:val="17"/>
          <w:szCs w:val="17"/>
          <w:color w:val="auto"/>
        </w:rPr>
        <w:t>/s/Anat Ashkenazi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6350</wp:posOffset>
            </wp:positionV>
            <wp:extent cx="55378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5537835" cy="8255"/>
                    </a:xfrm>
                    <a:prstGeom prst="rect">
                      <a:avLst/>
                    </a:prstGeom>
                    <a:noFill/>
                  </pic:spPr>
                </pic:pic>
              </a:graphicData>
            </a:graphic>
          </wp:anchor>
        </w:drawing>
      </w:r>
    </w:p>
    <w:p>
      <w:pPr>
        <w:spacing w:after="0" w:line="16"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Anat Ashkenazi</w:t>
      </w:r>
    </w:p>
    <w:p>
      <w:pPr>
        <w:spacing w:after="0" w:line="23"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Senior Vice President and Chief Financial Officer</w:t>
      </w:r>
    </w:p>
    <w:p>
      <w:pPr>
        <w:spacing w:after="0" w:line="23" w:lineRule="exact"/>
        <w:rPr>
          <w:sz w:val="20"/>
          <w:szCs w:val="20"/>
          <w:color w:val="auto"/>
        </w:rPr>
      </w:pPr>
    </w:p>
    <w:p>
      <w:pPr>
        <w:ind w:left="20"/>
        <w:spacing w:after="0"/>
        <w:tabs>
          <w:tab w:leader="none" w:pos="660" w:val="left"/>
          <w:tab w:leader="none" w:pos="2500" w:val="left"/>
        </w:tabs>
        <w:rPr>
          <w:sz w:val="20"/>
          <w:szCs w:val="20"/>
          <w:color w:val="auto"/>
        </w:rPr>
      </w:pPr>
      <w:r>
        <w:rPr>
          <w:rFonts w:ascii="Arial" w:cs="Arial" w:eastAsia="Arial" w:hAnsi="Arial"/>
          <w:sz w:val="18"/>
          <w:szCs w:val="18"/>
          <w:color w:val="auto"/>
        </w:rPr>
        <w:t>Date:</w:t>
        <w:tab/>
        <w:t>August 3, 2021</w:t>
      </w:r>
      <w:r>
        <w:rPr>
          <w:sz w:val="20"/>
          <w:szCs w:val="20"/>
          <w:color w:val="auto"/>
        </w:rPr>
        <w:tab/>
      </w:r>
      <w:r>
        <w:rPr>
          <w:rFonts w:ascii="Arial" w:cs="Arial" w:eastAsia="Arial" w:hAnsi="Arial"/>
          <w:sz w:val="17"/>
          <w:szCs w:val="17"/>
          <w:color w:val="auto"/>
        </w:rPr>
        <w:t>/s/Donald A. Zakrowski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6350</wp:posOffset>
            </wp:positionV>
            <wp:extent cx="55378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5537835" cy="8255"/>
                    </a:xfrm>
                    <a:prstGeom prst="rect">
                      <a:avLst/>
                    </a:prstGeom>
                    <a:noFill/>
                  </pic:spPr>
                </pic:pic>
              </a:graphicData>
            </a:graphic>
          </wp:anchor>
        </w:drawing>
      </w:r>
    </w:p>
    <w:p>
      <w:pPr>
        <w:spacing w:after="0" w:line="16"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Donald A. Zakrowski</w:t>
      </w:r>
    </w:p>
    <w:p>
      <w:pPr>
        <w:spacing w:after="0" w:line="23"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Vice President, Finance, and Chief Accounting Officer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20"/>
          </w:cols>
          <w:pgMar w:left="320" w:top="994" w:right="35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t>EXHIBIT 31.1 Rule 13a-14(a) Certification of David A. Ricks, Chairman, President, and Chief Executive Officer</w:t>
      </w:r>
    </w:p>
    <w:p>
      <w:pPr>
        <w:spacing w:after="0" w:line="230" w:lineRule="exact"/>
        <w:rPr>
          <w:sz w:val="20"/>
          <w:szCs w:val="20"/>
          <w:color w:val="auto"/>
        </w:rPr>
      </w:pPr>
    </w:p>
    <w:p>
      <w:pPr>
        <w:jc w:val="right"/>
        <w:ind w:right="4840"/>
        <w:spacing w:after="0"/>
        <w:rPr>
          <w:sz w:val="20"/>
          <w:szCs w:val="20"/>
          <w:color w:val="auto"/>
        </w:rPr>
      </w:pPr>
      <w:r>
        <w:rPr>
          <w:rFonts w:ascii="Arial" w:cs="Arial" w:eastAsia="Arial" w:hAnsi="Arial"/>
          <w:sz w:val="18"/>
          <w:szCs w:val="18"/>
          <w:b w:val="1"/>
          <w:bCs w:val="1"/>
          <w:color w:val="auto"/>
        </w:rPr>
        <w:t>CERTIFICATIONS</w:t>
      </w:r>
    </w:p>
    <w:p>
      <w:pPr>
        <w:spacing w:after="0" w:line="193" w:lineRule="exact"/>
        <w:rPr>
          <w:sz w:val="20"/>
          <w:szCs w:val="20"/>
          <w:color w:val="auto"/>
        </w:rPr>
      </w:pPr>
    </w:p>
    <w:p>
      <w:pPr>
        <w:jc w:val="right"/>
        <w:ind w:right="4900"/>
        <w:spacing w:after="0"/>
        <w:rPr>
          <w:sz w:val="20"/>
          <w:szCs w:val="20"/>
          <w:color w:val="auto"/>
        </w:rPr>
      </w:pPr>
      <w:r>
        <w:rPr>
          <w:rFonts w:ascii="Arial" w:cs="Arial" w:eastAsia="Arial" w:hAnsi="Arial"/>
          <w:sz w:val="17"/>
          <w:szCs w:val="17"/>
          <w:color w:val="auto"/>
        </w:rPr>
        <w:t>I, David A. Ricks, Chairman, President, and Chief Executive Officer, certify that:</w:t>
      </w:r>
    </w:p>
    <w:p>
      <w:pPr>
        <w:spacing w:after="0" w:line="183" w:lineRule="exact"/>
        <w:rPr>
          <w:sz w:val="20"/>
          <w:szCs w:val="20"/>
          <w:color w:val="auto"/>
        </w:rPr>
      </w:pPr>
    </w:p>
    <w:p>
      <w:pPr>
        <w:ind w:left="320" w:hanging="312"/>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report on Form 10-Q of Eli Lilly and Company;</w:t>
      </w:r>
    </w:p>
    <w:p>
      <w:pPr>
        <w:spacing w:after="0" w:line="171" w:lineRule="exact"/>
        <w:rPr>
          <w:rFonts w:ascii="Arial" w:cs="Arial" w:eastAsia="Arial" w:hAnsi="Arial"/>
          <w:sz w:val="18"/>
          <w:szCs w:val="18"/>
          <w:color w:val="auto"/>
        </w:rPr>
      </w:pPr>
    </w:p>
    <w:p>
      <w:pPr>
        <w:ind w:left="340" w:right="60" w:hanging="332"/>
        <w:spacing w:after="0" w:line="256" w:lineRule="auto"/>
        <w:tabs>
          <w:tab w:leader="none" w:pos="3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340" w:right="140" w:hanging="332"/>
        <w:spacing w:after="0" w:line="291" w:lineRule="auto"/>
        <w:tabs>
          <w:tab w:leader="none" w:pos="328"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ind w:left="340" w:right="120" w:hanging="332"/>
        <w:spacing w:after="0" w:line="265" w:lineRule="auto"/>
        <w:tabs>
          <w:tab w:leader="none" w:pos="328"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71" w:lineRule="exact"/>
        <w:rPr>
          <w:rFonts w:ascii="Arial" w:cs="Arial" w:eastAsia="Arial" w:hAnsi="Arial"/>
          <w:sz w:val="17"/>
          <w:szCs w:val="17"/>
          <w:color w:val="auto"/>
        </w:rPr>
      </w:pPr>
    </w:p>
    <w:p>
      <w:pPr>
        <w:ind w:left="980" w:hanging="324"/>
        <w:spacing w:after="0" w:line="256" w:lineRule="auto"/>
        <w:tabs>
          <w:tab w:leader="none" w:pos="978"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980" w:right="300" w:hanging="324"/>
        <w:spacing w:after="0" w:line="256" w:lineRule="auto"/>
        <w:tabs>
          <w:tab w:leader="none" w:pos="978"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jc w:val="both"/>
        <w:ind w:left="980" w:right="240" w:hanging="324"/>
        <w:spacing w:after="0" w:line="256" w:lineRule="auto"/>
        <w:tabs>
          <w:tab w:leader="none" w:pos="968" w:val="left"/>
        </w:tabs>
        <w:numPr>
          <w:ilvl w:val="1"/>
          <w:numId w:val="2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980" w:right="40" w:hanging="324"/>
        <w:spacing w:after="0" w:line="256" w:lineRule="auto"/>
        <w:tabs>
          <w:tab w:leader="none" w:pos="978"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340" w:right="80" w:hanging="332"/>
        <w:spacing w:after="0" w:line="256" w:lineRule="auto"/>
        <w:tabs>
          <w:tab w:leader="none" w:pos="3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jc w:val="both"/>
        <w:ind w:left="980" w:right="240" w:hanging="324"/>
        <w:spacing w:after="0" w:line="256" w:lineRule="auto"/>
        <w:tabs>
          <w:tab w:leader="none" w:pos="978"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980" w:right="160" w:hanging="324"/>
        <w:spacing w:after="0" w:line="261" w:lineRule="auto"/>
        <w:tabs>
          <w:tab w:leader="none" w:pos="978"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5800" w:type="dxa"/>
            <w:vAlign w:val="bottom"/>
          </w:tcPr>
          <w:p>
            <w:pPr>
              <w:ind w:left="20"/>
              <w:spacing w:after="0"/>
              <w:rPr>
                <w:sz w:val="20"/>
                <w:szCs w:val="20"/>
                <w:color w:val="auto"/>
              </w:rPr>
            </w:pPr>
            <w:r>
              <w:rPr>
                <w:rFonts w:ascii="Arial" w:cs="Arial" w:eastAsia="Arial" w:hAnsi="Arial"/>
                <w:sz w:val="18"/>
                <w:szCs w:val="18"/>
                <w:color w:val="auto"/>
              </w:rPr>
              <w:t>August 3, 2021</w:t>
            </w:r>
          </w:p>
        </w:tc>
      </w:tr>
      <w:tr>
        <w:trPr>
          <w:trHeight w:val="50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8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/s/David A. Ricks</w:t>
            </w:r>
          </w:p>
        </w:tc>
      </w:tr>
      <w:tr>
        <w:trPr>
          <w:trHeight w:val="223"/>
        </w:trPr>
        <w:tc>
          <w:tcPr>
            <w:tcW w:w="640" w:type="dxa"/>
            <w:vAlign w:val="bottom"/>
          </w:tcPr>
          <w:p>
            <w:pPr>
              <w:spacing w:after="0"/>
              <w:rPr>
                <w:sz w:val="19"/>
                <w:szCs w:val="19"/>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rPr>
              <w:t>David A. Ricks</w:t>
            </w:r>
          </w:p>
        </w:tc>
      </w:tr>
      <w:tr>
        <w:trPr>
          <w:trHeight w:val="229"/>
        </w:trPr>
        <w:tc>
          <w:tcPr>
            <w:tcW w:w="640" w:type="dxa"/>
            <w:vAlign w:val="bottom"/>
          </w:tcPr>
          <w:p>
            <w:pPr>
              <w:spacing w:after="0"/>
              <w:rPr>
                <w:sz w:val="19"/>
                <w:szCs w:val="19"/>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rPr>
              <w:t>Chairman, President, and Chief Executive Officer</w:t>
            </w:r>
          </w:p>
        </w:tc>
      </w:tr>
    </w:tbl>
    <w:p>
      <w:pPr>
        <w:sectPr>
          <w:pgSz w:w="11900" w:h="16838" w:orient="portrait"/>
          <w:cols w:equalWidth="0" w:num="1">
            <w:col w:w="11220"/>
          </w:cols>
          <w:pgMar w:left="320" w:top="1165" w:right="35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t>EXHIBIT 31.2 Rule 13a-14(a) Certification of Anat Ashkenazi, Senior Vice President and Chief Financial Officer</w:t>
      </w:r>
    </w:p>
    <w:p>
      <w:pPr>
        <w:spacing w:after="0" w:line="230" w:lineRule="exact"/>
        <w:rPr>
          <w:sz w:val="20"/>
          <w:szCs w:val="20"/>
          <w:color w:val="auto"/>
        </w:rPr>
      </w:pPr>
    </w:p>
    <w:p>
      <w:pPr>
        <w:jc w:val="right"/>
        <w:ind w:right="4840"/>
        <w:spacing w:after="0"/>
        <w:rPr>
          <w:sz w:val="20"/>
          <w:szCs w:val="20"/>
          <w:color w:val="auto"/>
        </w:rPr>
      </w:pPr>
      <w:r>
        <w:rPr>
          <w:rFonts w:ascii="Arial" w:cs="Arial" w:eastAsia="Arial" w:hAnsi="Arial"/>
          <w:sz w:val="18"/>
          <w:szCs w:val="18"/>
          <w:b w:val="1"/>
          <w:bCs w:val="1"/>
          <w:color w:val="auto"/>
        </w:rPr>
        <w:t>CERTIFICATIONS</w:t>
      </w:r>
    </w:p>
    <w:p>
      <w:pPr>
        <w:spacing w:after="0" w:line="193" w:lineRule="exact"/>
        <w:rPr>
          <w:sz w:val="20"/>
          <w:szCs w:val="20"/>
          <w:color w:val="auto"/>
        </w:rPr>
      </w:pPr>
    </w:p>
    <w:p>
      <w:pPr>
        <w:jc w:val="right"/>
        <w:ind w:right="4840"/>
        <w:spacing w:after="0"/>
        <w:rPr>
          <w:sz w:val="20"/>
          <w:szCs w:val="20"/>
          <w:color w:val="auto"/>
        </w:rPr>
      </w:pPr>
      <w:r>
        <w:rPr>
          <w:rFonts w:ascii="Arial" w:cs="Arial" w:eastAsia="Arial" w:hAnsi="Arial"/>
          <w:sz w:val="17"/>
          <w:szCs w:val="17"/>
          <w:color w:val="auto"/>
        </w:rPr>
        <w:t>I, Anat Ashkenazi, Senior Vice President and Chief Financial Officer, certify that:</w:t>
      </w:r>
    </w:p>
    <w:p>
      <w:pPr>
        <w:spacing w:after="0" w:line="183" w:lineRule="exact"/>
        <w:rPr>
          <w:sz w:val="20"/>
          <w:szCs w:val="20"/>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report on Form 10-Q of Eli Lilly and Company;</w:t>
      </w:r>
    </w:p>
    <w:p>
      <w:pPr>
        <w:spacing w:after="0" w:line="171" w:lineRule="exact"/>
        <w:rPr>
          <w:rFonts w:ascii="Arial" w:cs="Arial" w:eastAsia="Arial" w:hAnsi="Arial"/>
          <w:sz w:val="18"/>
          <w:szCs w:val="18"/>
          <w:color w:val="auto"/>
        </w:rPr>
      </w:pPr>
    </w:p>
    <w:p>
      <w:pPr>
        <w:ind w:left="340" w:right="60" w:hanging="332"/>
        <w:spacing w:after="0" w:line="256" w:lineRule="auto"/>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340" w:right="140" w:hanging="332"/>
        <w:spacing w:after="0" w:line="291" w:lineRule="auto"/>
        <w:tabs>
          <w:tab w:leader="none" w:pos="328"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ind w:left="340" w:right="120" w:hanging="332"/>
        <w:spacing w:after="0" w:line="265" w:lineRule="auto"/>
        <w:tabs>
          <w:tab w:leader="none" w:pos="328"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71" w:lineRule="exact"/>
        <w:rPr>
          <w:rFonts w:ascii="Arial" w:cs="Arial" w:eastAsia="Arial" w:hAnsi="Arial"/>
          <w:sz w:val="17"/>
          <w:szCs w:val="17"/>
          <w:color w:val="auto"/>
        </w:rPr>
      </w:pPr>
    </w:p>
    <w:p>
      <w:pPr>
        <w:ind w:left="980" w:hanging="324"/>
        <w:spacing w:after="0" w:line="256" w:lineRule="auto"/>
        <w:tabs>
          <w:tab w:leader="none" w:pos="978"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980" w:right="300" w:hanging="324"/>
        <w:spacing w:after="0" w:line="256" w:lineRule="auto"/>
        <w:tabs>
          <w:tab w:leader="none" w:pos="978"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jc w:val="both"/>
        <w:ind w:left="980" w:right="240" w:hanging="324"/>
        <w:spacing w:after="0" w:line="256" w:lineRule="auto"/>
        <w:tabs>
          <w:tab w:leader="none" w:pos="968" w:val="left"/>
        </w:tabs>
        <w:numPr>
          <w:ilvl w:val="1"/>
          <w:numId w:val="3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980" w:right="40" w:hanging="324"/>
        <w:spacing w:after="0" w:line="256" w:lineRule="auto"/>
        <w:tabs>
          <w:tab w:leader="none" w:pos="978"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340" w:right="80" w:hanging="332"/>
        <w:spacing w:after="0" w:line="256" w:lineRule="auto"/>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jc w:val="both"/>
        <w:ind w:left="980" w:right="240" w:hanging="324"/>
        <w:spacing w:after="0" w:line="256" w:lineRule="auto"/>
        <w:tabs>
          <w:tab w:leader="none" w:pos="978"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980" w:right="160" w:hanging="324"/>
        <w:spacing w:after="0" w:line="261" w:lineRule="auto"/>
        <w:tabs>
          <w:tab w:leader="none" w:pos="978"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5800" w:type="dxa"/>
            <w:vAlign w:val="bottom"/>
          </w:tcPr>
          <w:p>
            <w:pPr>
              <w:ind w:left="20"/>
              <w:spacing w:after="0"/>
              <w:rPr>
                <w:sz w:val="20"/>
                <w:szCs w:val="20"/>
                <w:color w:val="auto"/>
              </w:rPr>
            </w:pPr>
            <w:r>
              <w:rPr>
                <w:rFonts w:ascii="Arial" w:cs="Arial" w:eastAsia="Arial" w:hAnsi="Arial"/>
                <w:sz w:val="18"/>
                <w:szCs w:val="18"/>
                <w:color w:val="auto"/>
              </w:rPr>
              <w:t>August 3, 2021</w:t>
            </w:r>
          </w:p>
        </w:tc>
      </w:tr>
      <w:tr>
        <w:trPr>
          <w:trHeight w:val="50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8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/s/Anat Ashkenazi</w:t>
            </w:r>
          </w:p>
        </w:tc>
      </w:tr>
      <w:tr>
        <w:trPr>
          <w:trHeight w:val="223"/>
        </w:trPr>
        <w:tc>
          <w:tcPr>
            <w:tcW w:w="640" w:type="dxa"/>
            <w:vAlign w:val="bottom"/>
          </w:tcPr>
          <w:p>
            <w:pPr>
              <w:spacing w:after="0"/>
              <w:rPr>
                <w:sz w:val="19"/>
                <w:szCs w:val="19"/>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rPr>
              <w:t>Anat Ashkenazi</w:t>
            </w:r>
          </w:p>
        </w:tc>
      </w:tr>
      <w:tr>
        <w:trPr>
          <w:trHeight w:val="229"/>
        </w:trPr>
        <w:tc>
          <w:tcPr>
            <w:tcW w:w="640" w:type="dxa"/>
            <w:vAlign w:val="bottom"/>
          </w:tcPr>
          <w:p>
            <w:pPr>
              <w:spacing w:after="0"/>
              <w:rPr>
                <w:sz w:val="19"/>
                <w:szCs w:val="19"/>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rPr>
              <w:t>Senior Vice President and Chief Financial Officer</w:t>
            </w:r>
          </w:p>
        </w:tc>
      </w:tr>
    </w:tbl>
    <w:p>
      <w:pPr>
        <w:sectPr>
          <w:pgSz w:w="11900" w:h="16838" w:orient="portrait"/>
          <w:cols w:equalWidth="0" w:num="1">
            <w:col w:w="11220"/>
          </w:cols>
          <w:pgMar w:left="320" w:top="1165" w:right="35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EXHIBIT 32. Section 1350 Certification</w:t>
      </w:r>
    </w:p>
    <w:p>
      <w:pPr>
        <w:spacing w:after="0" w:line="171" w:lineRule="exact"/>
        <w:rPr>
          <w:sz w:val="20"/>
          <w:szCs w:val="20"/>
          <w:color w:val="auto"/>
        </w:rPr>
      </w:pPr>
    </w:p>
    <w:p>
      <w:pPr>
        <w:jc w:val="both"/>
        <w:ind w:right="300"/>
        <w:spacing w:after="0" w:line="256"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Eli Lilly and Company, an Indiana corporation (the “Company”), does hereby certify that, to the best of their knowledge:</w:t>
      </w:r>
    </w:p>
    <w:p>
      <w:pPr>
        <w:spacing w:after="0" w:line="14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Quarterly Report on Form 10-Q for the quarter ended June 30, 2021 (the “Form 10-Q”) of the Company fully complies with the requirements of section 13(a) or 15(d) of the Securities Exchange Act of 1934 and information contained in the Form 10-Q fairly presents, in all material respects, the financial condition and results of operations of the Company.</w:t>
      </w:r>
    </w:p>
    <w:p>
      <w:pPr>
        <w:spacing w:after="0" w:line="310"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5020" w:type="dxa"/>
            <w:vAlign w:val="bottom"/>
          </w:tcPr>
          <w:p>
            <w:pPr>
              <w:ind w:left="120"/>
              <w:spacing w:after="0"/>
              <w:rPr>
                <w:sz w:val="20"/>
                <w:szCs w:val="20"/>
                <w:color w:val="auto"/>
              </w:rPr>
            </w:pPr>
            <w:r>
              <w:rPr>
                <w:rFonts w:ascii="Arial" w:cs="Arial" w:eastAsia="Arial" w:hAnsi="Arial"/>
                <w:sz w:val="18"/>
                <w:szCs w:val="18"/>
                <w:color w:val="auto"/>
              </w:rPr>
              <w:t>August 3, 2021</w:t>
            </w:r>
          </w:p>
        </w:tc>
        <w:tc>
          <w:tcPr>
            <w:tcW w:w="56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/s/David A. Ricks</w:t>
            </w:r>
          </w:p>
        </w:tc>
      </w:tr>
      <w:tr>
        <w:trPr>
          <w:trHeight w:val="223"/>
        </w:trPr>
        <w:tc>
          <w:tcPr>
            <w:tcW w:w="54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5620" w:type="dxa"/>
            <w:vAlign w:val="bottom"/>
          </w:tcPr>
          <w:p>
            <w:pPr>
              <w:ind w:left="260"/>
              <w:spacing w:after="0"/>
              <w:rPr>
                <w:sz w:val="20"/>
                <w:szCs w:val="20"/>
                <w:color w:val="auto"/>
              </w:rPr>
            </w:pPr>
            <w:r>
              <w:rPr>
                <w:rFonts w:ascii="Arial" w:cs="Arial" w:eastAsia="Arial" w:hAnsi="Arial"/>
                <w:sz w:val="18"/>
                <w:szCs w:val="18"/>
                <w:color w:val="auto"/>
              </w:rPr>
              <w:t>David A. Ricks</w:t>
            </w:r>
          </w:p>
        </w:tc>
      </w:tr>
      <w:tr>
        <w:trPr>
          <w:trHeight w:val="230"/>
        </w:trPr>
        <w:tc>
          <w:tcPr>
            <w:tcW w:w="54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5620" w:type="dxa"/>
            <w:vAlign w:val="bottom"/>
          </w:tcPr>
          <w:p>
            <w:pPr>
              <w:ind w:left="260"/>
              <w:spacing w:after="0"/>
              <w:rPr>
                <w:sz w:val="20"/>
                <w:szCs w:val="20"/>
                <w:color w:val="auto"/>
              </w:rPr>
            </w:pPr>
            <w:r>
              <w:rPr>
                <w:rFonts w:ascii="Arial" w:cs="Arial" w:eastAsia="Arial" w:hAnsi="Arial"/>
                <w:sz w:val="18"/>
                <w:szCs w:val="18"/>
                <w:color w:val="auto"/>
              </w:rPr>
              <w:t>Chairman, President, and Chief Executive Officer</w:t>
            </w:r>
          </w:p>
        </w:tc>
      </w:tr>
      <w:tr>
        <w:trPr>
          <w:trHeight w:val="958"/>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5020" w:type="dxa"/>
            <w:vAlign w:val="bottom"/>
          </w:tcPr>
          <w:p>
            <w:pPr>
              <w:ind w:left="120"/>
              <w:spacing w:after="0"/>
              <w:rPr>
                <w:sz w:val="20"/>
                <w:szCs w:val="20"/>
                <w:color w:val="auto"/>
              </w:rPr>
            </w:pPr>
            <w:r>
              <w:rPr>
                <w:rFonts w:ascii="Arial" w:cs="Arial" w:eastAsia="Arial" w:hAnsi="Arial"/>
                <w:sz w:val="18"/>
                <w:szCs w:val="18"/>
                <w:color w:val="auto"/>
              </w:rPr>
              <w:t>August 3, 2021</w:t>
            </w:r>
          </w:p>
        </w:tc>
        <w:tc>
          <w:tcPr>
            <w:tcW w:w="56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/s/ Anat Ashkenazi</w:t>
            </w:r>
          </w:p>
        </w:tc>
      </w:tr>
      <w:tr>
        <w:trPr>
          <w:trHeight w:val="223"/>
        </w:trPr>
        <w:tc>
          <w:tcPr>
            <w:tcW w:w="54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5620" w:type="dxa"/>
            <w:vAlign w:val="bottom"/>
          </w:tcPr>
          <w:p>
            <w:pPr>
              <w:ind w:left="260"/>
              <w:spacing w:after="0"/>
              <w:rPr>
                <w:sz w:val="20"/>
                <w:szCs w:val="20"/>
                <w:color w:val="auto"/>
              </w:rPr>
            </w:pPr>
            <w:r>
              <w:rPr>
                <w:rFonts w:ascii="Arial" w:cs="Arial" w:eastAsia="Arial" w:hAnsi="Arial"/>
                <w:sz w:val="18"/>
                <w:szCs w:val="18"/>
                <w:color w:val="auto"/>
              </w:rPr>
              <w:t>Anat Ashkenazi</w:t>
            </w:r>
          </w:p>
        </w:tc>
      </w:tr>
      <w:tr>
        <w:trPr>
          <w:trHeight w:val="229"/>
        </w:trPr>
        <w:tc>
          <w:tcPr>
            <w:tcW w:w="54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5620" w:type="dxa"/>
            <w:vAlign w:val="bottom"/>
          </w:tcPr>
          <w:p>
            <w:pPr>
              <w:ind w:left="260"/>
              <w:spacing w:after="0"/>
              <w:rPr>
                <w:sz w:val="20"/>
                <w:szCs w:val="20"/>
                <w:color w:val="auto"/>
              </w:rPr>
            </w:pPr>
            <w:r>
              <w:rPr>
                <w:rFonts w:ascii="Arial" w:cs="Arial" w:eastAsia="Arial" w:hAnsi="Arial"/>
                <w:sz w:val="18"/>
                <w:szCs w:val="18"/>
                <w:color w:val="auto"/>
              </w:rPr>
              <w:t>Senior Vice President and Chief Financial Officer</w:t>
            </w:r>
          </w:p>
        </w:tc>
      </w:tr>
    </w:tbl>
    <w:p>
      <w:pPr>
        <w:spacing w:after="0" w:line="1" w:lineRule="exact"/>
        <w:rPr>
          <w:sz w:val="20"/>
          <w:szCs w:val="20"/>
          <w:color w:val="auto"/>
        </w:rPr>
      </w:pPr>
    </w:p>
    <w:sectPr>
      <w:pgSz w:w="11900" w:h="16838" w:orient="portrait"/>
      <w:cols w:equalWidth="0" w:num="1">
        <w:col w:w="11200"/>
      </w:cols>
      <w:pgMar w:left="320" w:top="107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1)"/>
      <w:numFmt w:val="decimal"/>
      <w:start w:val="1"/>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1)"/>
      <w:numFmt w:val="decimal"/>
      <w:start w:val="1"/>
    </w:lvl>
  </w:abstractNum>
  <w:abstractNum w:abstractNumId="4">
    <w:nsid w:val="519B500D"/>
    <w:multiLevelType w:val="hybridMultilevel"/>
    <w:lvl w:ilvl="0">
      <w:lvlJc w:val="left"/>
      <w:lvlText w:val="%1."/>
      <w:numFmt w:val="decimal"/>
      <w:start w:val="4"/>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1)"/>
      <w:numFmt w:val="decimal"/>
      <w:start w:val="1"/>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1)"/>
      <w:numFmt w:val="decimal"/>
      <w:start w:val="1"/>
    </w:lvl>
  </w:abstractNum>
  <w:abstractNum w:abstractNumId="9">
    <w:nsid w:val="62BBD95A"/>
    <w:multiLevelType w:val="hybridMultilevel"/>
    <w:lvl w:ilvl="0">
      <w:lvlJc w:val="left"/>
      <w:lvlText w:val="(%1)"/>
      <w:numFmt w:val="decimal"/>
      <w:start w:val="1"/>
    </w:lvl>
  </w:abstractNum>
  <w:abstractNum w:abstractNumId="10">
    <w:nsid w:val="436C6125"/>
    <w:multiLevelType w:val="hybridMultilevel"/>
    <w:lvl w:ilvl="0">
      <w:lvlJc w:val="left"/>
      <w:lvlText w:val="(%1)"/>
      <w:numFmt w:val="decimal"/>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1)"/>
      <w:numFmt w:val="decimal"/>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1)"/>
      <w:numFmt w:val="decimal"/>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1)"/>
      <w:numFmt w:val="decimal"/>
      <w:start w:val="1"/>
    </w:lvl>
  </w:abstractNum>
  <w:abstractNum w:abstractNumId="25">
    <w:nsid w:val="2CA88611"/>
    <w:multiLevelType w:val="hybridMultilevel"/>
    <w:lvl w:ilvl="0">
      <w:lvlJc w:val="left"/>
      <w:lvlText w:val="(%1)"/>
      <w:numFmt w:val="decimal"/>
      <w:start w:val="1"/>
    </w:lvl>
  </w:abstractNum>
  <w:abstractNum w:abstractNumId="26">
    <w:nsid w:val="836C40E"/>
    <w:multiLevelType w:val="hybridMultilevel"/>
    <w:lvl w:ilvl="0">
      <w:lvlJc w:val="left"/>
      <w:lvlText w:val="(%1)"/>
      <w:numFmt w:val="lowerLetter"/>
      <w:start w:val="1"/>
    </w:lvl>
  </w:abstractNum>
  <w:abstractNum w:abstractNumId="27">
    <w:nsid w:val="2901D82"/>
    <w:multiLevelType w:val="hybridMultilevel"/>
    <w:lvl w:ilvl="0">
      <w:lvlJc w:val="left"/>
      <w:lvlText w:val="(%1)"/>
      <w:numFmt w:val="lowerRoman"/>
      <w:start w:val="1"/>
    </w:lvl>
  </w:abstractNum>
  <w:abstractNum w:abstractNumId="28">
    <w:nsid w:val="3A95F874"/>
    <w:multiLevelType w:val="hybridMultilevel"/>
    <w:lvl w:ilvl="0">
      <w:lvlJc w:val="left"/>
      <w:lvlText w:val="%1."/>
      <w:numFmt w:val="decimal"/>
      <w:start w:val="1"/>
    </w:lvl>
    <w:lvl w:ilvl="1">
      <w:lvlJc w:val="left"/>
      <w:lvlText w:val="%2)"/>
      <w:numFmt w:val="lowerLetter"/>
      <w:start w:val="1"/>
    </w:lvl>
  </w:abstractNum>
  <w:abstractNum w:abstractNumId="29">
    <w:nsid w:val="813864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14" Type="http://schemas.openxmlformats.org/officeDocument/2006/relationships/hyperlink" Target="https://www.sec.gov/Archives/edgar/data/0000059478/000005947821000083/lly-20201231.htm" TargetMode="External"/><Relationship Id="rId88" Type="http://schemas.openxmlformats.org/officeDocument/2006/relationships/hyperlink" Target="http://www.sec.gov/Archives/edgar/data/59478/000005947814000078/lly-20131231x10kexhibit31.htm" TargetMode="External"/><Relationship Id="rId89" Type="http://schemas.openxmlformats.org/officeDocument/2006/relationships/hyperlink" Target="https://www.sec.gov/Archives/edgar/data/0000059478/000119312521033302/d111779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2021-08-03T11:06:20Z</dcterms:created>
  <dcterms:modified xsi:type="dcterms:W3CDTF">2021-08-03T11:06:20Z</dcterms:modified>
</cp:coreProperties>
</file>