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SEC Form 4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7" w:lineRule="exact"/>
        <w:rPr>
          <w:sz w:val="24"/>
          <w:szCs w:val="24"/>
          <w:color w:val="auto"/>
        </w:rPr>
      </w:pPr>
    </w:p>
    <w:p>
      <w:pPr>
        <w:jc w:val="both"/>
        <w:ind w:left="240" w:right="6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8"/>
          <w:szCs w:val="8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8"/>
          <w:szCs w:val="8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8"/>
          <w:szCs w:val="8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17780</wp:posOffset>
            </wp:positionH>
            <wp:positionV relativeFrom="paragraph">
              <wp:posOffset>-107950</wp:posOffset>
            </wp:positionV>
            <wp:extent cx="91440" cy="914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" cy="91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7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5560" w:type="dxa"/>
            <w:vAlign w:val="bottom"/>
          </w:tcPr>
          <w:p>
            <w:pPr>
              <w:jc w:val="center"/>
              <w:ind w:right="1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560" w:type="dxa"/>
            <w:vAlign w:val="bottom"/>
            <w:vMerge w:val="restart"/>
          </w:tcPr>
          <w:p>
            <w:pPr>
              <w:jc w:val="center"/>
              <w:ind w:right="1281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  <w:w w:val="99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5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6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APPROVAL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5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808080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560" w:type="dxa"/>
            <w:vAlign w:val="bottom"/>
            <w:vMerge w:val="restart"/>
          </w:tcPr>
          <w:p>
            <w:pPr>
              <w:jc w:val="center"/>
              <w:ind w:right="1261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5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OMB Number: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5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5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Estimated average burden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5560" w:type="dxa"/>
            <w:vAlign w:val="bottom"/>
            <w:vMerge w:val="restart"/>
          </w:tcPr>
          <w:p>
            <w:pPr>
              <w:jc w:val="center"/>
              <w:ind w:right="1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hours per response: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5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4904740</wp:posOffset>
            </wp:positionH>
            <wp:positionV relativeFrom="paragraph">
              <wp:posOffset>-441325</wp:posOffset>
            </wp:positionV>
            <wp:extent cx="48260" cy="4546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" cy="454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3520440</wp:posOffset>
            </wp:positionH>
            <wp:positionV relativeFrom="paragraph">
              <wp:posOffset>-441325</wp:posOffset>
            </wp:positionV>
            <wp:extent cx="48260" cy="4546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" cy="454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-2341245</wp:posOffset>
            </wp:positionH>
            <wp:positionV relativeFrom="paragraph">
              <wp:posOffset>7620</wp:posOffset>
            </wp:positionV>
            <wp:extent cx="7317740" cy="25533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740" cy="2553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940" w:space="720"/>
            <w:col w:w="7820"/>
          </w:cols>
          <w:pgMar w:left="220" w:top="197" w:right="19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2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vertAlign w:val="superscript"/>
              </w:rPr>
              <w:t>*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5. Relationship of Reporting Person(s) to Issuer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14"/>
                <w:szCs w:val="14"/>
                <w:color w:val="0000EE"/>
                <w:w w:val="99"/>
              </w:rPr>
            </w:pPr>
            <w:hyperlink r:id="rId12">
              <w:r>
                <w:rPr>
                  <w:rFonts w:ascii="Arial" w:cs="Arial" w:eastAsia="Arial" w:hAnsi="Arial"/>
                  <w:sz w:val="14"/>
                  <w:szCs w:val="14"/>
                  <w:color w:val="0000EE"/>
                  <w:w w:val="99"/>
                </w:rPr>
                <w:t>LUCIANO JUAN R</w:t>
              </w:r>
            </w:hyperlink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 w:line="72" w:lineRule="exact"/>
              <w:rPr>
                <w:rFonts w:ascii="Arial" w:cs="Arial" w:eastAsia="Arial" w:hAnsi="Arial"/>
                <w:sz w:val="8"/>
                <w:szCs w:val="8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8"/>
                  <w:szCs w:val="8"/>
                  <w:color w:val="0000EE"/>
                </w:rPr>
                <w:t xml:space="preserve">LILLY ELI &amp; CO </w:t>
              </w:r>
            </w:hyperlink>
            <w:r>
              <w:rPr>
                <w:rFonts w:ascii="Arial" w:cs="Arial" w:eastAsia="Arial" w:hAnsi="Arial"/>
                <w:sz w:val="8"/>
                <w:szCs w:val="8"/>
                <w:color w:val="000000"/>
              </w:rPr>
              <w:t>[</w:t>
            </w:r>
            <w:r>
              <w:rPr>
                <w:rFonts w:ascii="Arial" w:cs="Arial" w:eastAsia="Arial" w:hAnsi="Arial"/>
                <w:sz w:val="8"/>
                <w:szCs w:val="8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7"/>
                <w:szCs w:val="7"/>
                <w:color w:val="0000FF"/>
              </w:rPr>
              <w:t>LLY</w:t>
            </w:r>
            <w:r>
              <w:rPr>
                <w:rFonts w:ascii="Arial" w:cs="Arial" w:eastAsia="Arial" w:hAnsi="Arial"/>
                <w:sz w:val="8"/>
                <w:szCs w:val="8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8"/>
                <w:szCs w:val="8"/>
                <w:color w:val="000000"/>
              </w:rPr>
              <w:t>]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(Check all applicable)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2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Director</w:t>
            </w: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Officer (give title below)</w:t>
            </w: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(Last)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(First)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(Middle)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11/30/2016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LILLY CORPORATE CENTER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4. If Amendment, Date of Original Filed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6. Individual or Joint/Group Filing (Check Applicable Line)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X</w:t>
            </w:r>
          </w:p>
        </w:tc>
        <w:tc>
          <w:tcPr>
            <w:tcW w:w="224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Form filed by One Reporting Person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INDIANAPOLIS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IN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46285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Form filed by More than One Reporting Person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(State)</w:t>
            </w:r>
          </w:p>
        </w:tc>
        <w:tc>
          <w:tcPr>
            <w:tcW w:w="10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(Zip)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160" w:type="dxa"/>
            <w:vAlign w:val="bottom"/>
            <w:gridSpan w:val="1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12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2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4. Securities Acquired (A) or Disposed Of (D) (Instr.</w:t>
            </w:r>
          </w:p>
        </w:tc>
        <w:tc>
          <w:tcPr>
            <w:tcW w:w="1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10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6. Ownership Form: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40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Beneficially Owned Following</w:t>
            </w:r>
          </w:p>
        </w:tc>
        <w:tc>
          <w:tcPr>
            <w:tcW w:w="1000" w:type="dxa"/>
            <w:vAlign w:val="bottom"/>
          </w:tcPr>
          <w:p>
            <w:pPr>
              <w:ind w:left="40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Direct (D) or Indirect (I)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4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 Transaction(s)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ind w:left="4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Code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V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8"/>
        </w:trPr>
        <w:tc>
          <w:tcPr>
            <w:tcW w:w="14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Common Stock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9"/>
              </w:rPr>
              <w:t>11/30/2016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1,914</w:t>
            </w:r>
          </w:p>
        </w:tc>
        <w:tc>
          <w:tcPr>
            <w:tcW w:w="9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A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3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76.64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6"/>
              </w:rPr>
              <w:t>1,914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1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80" w:type="dxa"/>
            <w:vAlign w:val="bottom"/>
            <w:gridSpan w:val="8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1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40" w:type="dxa"/>
            <w:vAlign w:val="bottom"/>
            <w:gridSpan w:val="7"/>
          </w:tcPr>
          <w:p>
            <w:pPr>
              <w:jc w:val="center"/>
              <w:ind w:right="3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14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1. Title of Derivative Security (Instr.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2.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4. Transaction Code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5. Number of Derivative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7. Title and Amount of Securities Underlying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10. 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1460" w:type="dxa"/>
            <w:vAlign w:val="bottom"/>
          </w:tcPr>
          <w:p>
            <w:pPr>
              <w:ind w:left="4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3)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(Instr. 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Securities Acquired (A) or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 Security (Instr. 3 and 4)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4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Disposed of (D) (Instr. 3, 4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and 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1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V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(A)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  <w:w w:val="96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Number of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1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1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Remarks: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Tiffany R. Benjamin for Juan R. Luciano,</w:t>
            </w: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11/30/2016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1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8"/>
              </w:rPr>
              <w:t>authorization on file</w:t>
            </w: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1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1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** Signature of Reporting Person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Reminder: Report on a separate line for each class of securities beneficially owned directly or indirectly.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4 (b)(v).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jc w:val="both"/>
        <w:ind w:left="20" w:right="6260" w:hanging="1"/>
        <w:spacing w:after="0" w:line="311" w:lineRule="auto"/>
        <w:tabs>
          <w:tab w:leader="none" w:pos="115" w:val="left"/>
        </w:tabs>
        <w:numPr>
          <w:ilvl w:val="0"/>
          <w:numId w:val="1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480"/>
          </w:cols>
          <w:pgMar w:left="220" w:top="197" w:right="19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Juan Luciano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Lilly Corporate Center</w:t>
      </w:r>
    </w:p>
    <w:p>
      <w:pPr>
        <w:spacing w:after="0"/>
        <w:tabs>
          <w:tab w:leader="none" w:pos="15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Indianapolis, Indiana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1"/>
          <w:szCs w:val="11"/>
          <w:color w:val="auto"/>
        </w:rPr>
        <w:t>46285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Securities and Exchange Commission</w:t>
      </w:r>
    </w:p>
    <w:p>
      <w:pPr>
        <w:spacing w:after="0"/>
        <w:tabs>
          <w:tab w:leader="none" w:pos="12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Washington, D.C.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1"/>
          <w:szCs w:val="11"/>
          <w:color w:val="auto"/>
        </w:rPr>
        <w:t>20549</w:t>
      </w:r>
    </w:p>
    <w:p>
      <w:pPr>
        <w:spacing w:after="0" w:line="13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AuthorizationRegardingReportingForms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80" w:hanging="280"/>
        <w:spacing w:after="0" w:line="46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I hereby authorize and designate the following persons to sign and file with the Commission on my behalf Forms 3, 4 and 5 (including any amendments thereto) coverin Michael J. Harrington, Lilly Corporate Center, Indianapolis, Indiana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Bronwen Mantlo, Lilly Corporate Center, Indianapolis, Indiana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Tiffany R. Benjamin, Lilly Corporate Center, Indianapolis, Indiana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This authorization and designation shall remain in effect until a written revocation is signed by me and provided to the Commission.</w:t>
      </w:r>
    </w:p>
    <w:p>
      <w:pPr>
        <w:spacing w:after="0" w:line="26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Date: June 21, 2016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/s/ Juan Luciano</w:t>
      </w:r>
    </w:p>
    <w:sectPr>
      <w:pgSz w:w="11900" w:h="16838" w:orient="portrait"/>
      <w:cols w:equalWidth="0" w:num="1">
        <w:col w:w="11520"/>
      </w:cols>
      <w:pgMar w:left="220" w:top="137" w:right="1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55792" TargetMode="External"/><Relationship Id="rId13" Type="http://schemas.openxmlformats.org/officeDocument/2006/relationships/hyperlink" Target="http://www.sec.gov/cgi-bin/browse-edgar?action=getcompany&amp;CIK=000005947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2019-12-23T14:28:15Z</dcterms:created>
  <dcterms:modified xsi:type="dcterms:W3CDTF">2019-12-23T14:28:15Z</dcterms:modified>
</cp:coreProperties>
</file>